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A6DCF" w14:textId="23F013F3" w:rsidR="00C06B9C" w:rsidRPr="00397A3E" w:rsidRDefault="00171C91" w:rsidP="007E01B4">
      <w:pPr>
        <w:rPr>
          <w:noProof w:val="0"/>
        </w:rPr>
      </w:pPr>
      <w:r w:rsidRPr="00397A3E">
        <w:drawing>
          <wp:anchor distT="0" distB="0" distL="114300" distR="114300" simplePos="0" relativeHeight="251658240" behindDoc="0" locked="0" layoutInCell="1" allowOverlap="1" wp14:anchorId="2CE21218" wp14:editId="77DCE746">
            <wp:simplePos x="0" y="0"/>
            <wp:positionH relativeFrom="column">
              <wp:posOffset>-1828676</wp:posOffset>
            </wp:positionH>
            <wp:positionV relativeFrom="paragraph">
              <wp:posOffset>-1139512</wp:posOffset>
            </wp:positionV>
            <wp:extent cx="7771163" cy="3954483"/>
            <wp:effectExtent l="19050" t="0" r="0" b="0"/>
            <wp:wrapNone/>
            <wp:docPr id="20" name="Picture 3" descr="cover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descr="cover_header"/>
                    <pic:cNvPicPr>
                      <a:picLocks noChangeAspect="1" noChangeArrowheads="1"/>
                    </pic:cNvPicPr>
                  </pic:nvPicPr>
                  <pic:blipFill>
                    <a:blip r:embed="rId12" cstate="print"/>
                    <a:stretch>
                      <a:fillRect/>
                    </a:stretch>
                  </pic:blipFill>
                  <pic:spPr bwMode="auto">
                    <a:xfrm>
                      <a:off x="0" y="0"/>
                      <a:ext cx="7772400" cy="3956050"/>
                    </a:xfrm>
                    <a:prstGeom prst="rect">
                      <a:avLst/>
                    </a:prstGeom>
                    <a:noFill/>
                    <a:ln w="9525">
                      <a:noFill/>
                      <a:miter lim="800000"/>
                      <a:headEnd/>
                      <a:tailEnd/>
                    </a:ln>
                  </pic:spPr>
                </pic:pic>
              </a:graphicData>
            </a:graphic>
          </wp:anchor>
        </w:drawing>
      </w:r>
      <w:r w:rsidR="00A27399">
        <w:rPr>
          <w:noProof w:val="0"/>
        </w:rPr>
        <w:t>s</w:t>
      </w:r>
      <w:r w:rsidR="00BC02BB" w:rsidRPr="00397A3E">
        <w:rPr>
          <w:noProof w:val="0"/>
        </w:rPr>
        <w:t>pcb</w:t>
      </w:r>
    </w:p>
    <w:p w14:paraId="2873890C" w14:textId="77777777" w:rsidR="00C06B9C" w:rsidRPr="00397A3E" w:rsidRDefault="00C06B9C">
      <w:pPr>
        <w:rPr>
          <w:noProof w:val="0"/>
        </w:rPr>
      </w:pPr>
    </w:p>
    <w:p w14:paraId="735D6C18" w14:textId="77777777" w:rsidR="00C06B9C" w:rsidRPr="00397A3E" w:rsidRDefault="00C06B9C">
      <w:pPr>
        <w:rPr>
          <w:noProof w:val="0"/>
        </w:rPr>
      </w:pPr>
    </w:p>
    <w:p w14:paraId="6208D3A5" w14:textId="77777777" w:rsidR="00C06B9C" w:rsidRPr="00397A3E" w:rsidRDefault="00C06B9C">
      <w:pPr>
        <w:rPr>
          <w:noProof w:val="0"/>
        </w:rPr>
      </w:pPr>
    </w:p>
    <w:p w14:paraId="07AC55C2" w14:textId="77777777" w:rsidR="00C06B9C" w:rsidRPr="00397A3E" w:rsidRDefault="00C06B9C">
      <w:pPr>
        <w:rPr>
          <w:noProof w:val="0"/>
        </w:rPr>
      </w:pPr>
    </w:p>
    <w:p w14:paraId="7962ADC5" w14:textId="77777777" w:rsidR="00C06B9C" w:rsidRPr="00397A3E" w:rsidRDefault="00C06B9C">
      <w:pPr>
        <w:rPr>
          <w:noProof w:val="0"/>
        </w:rPr>
      </w:pPr>
    </w:p>
    <w:p w14:paraId="59B1448B" w14:textId="77777777" w:rsidR="00C06B9C" w:rsidRPr="00397A3E" w:rsidRDefault="00C06B9C">
      <w:pPr>
        <w:rPr>
          <w:noProof w:val="0"/>
        </w:rPr>
      </w:pPr>
    </w:p>
    <w:p w14:paraId="009F6A95" w14:textId="77777777" w:rsidR="008463CE" w:rsidRPr="00397A3E" w:rsidRDefault="008463CE">
      <w:pPr>
        <w:rPr>
          <w:noProof w:val="0"/>
        </w:rPr>
      </w:pPr>
    </w:p>
    <w:p w14:paraId="7EC880AF" w14:textId="77777777" w:rsidR="008463CE" w:rsidRPr="00397A3E" w:rsidRDefault="008463CE">
      <w:pPr>
        <w:rPr>
          <w:noProof w:val="0"/>
        </w:rPr>
      </w:pPr>
    </w:p>
    <w:p w14:paraId="6CFDC05E" w14:textId="77777777" w:rsidR="008463CE" w:rsidRPr="00397A3E" w:rsidRDefault="008463CE">
      <w:pPr>
        <w:rPr>
          <w:noProof w:val="0"/>
        </w:rPr>
      </w:pPr>
    </w:p>
    <w:p w14:paraId="5DC9D932" w14:textId="77777777" w:rsidR="008463CE" w:rsidRPr="00397A3E" w:rsidRDefault="008463CE">
      <w:pPr>
        <w:rPr>
          <w:noProof w:val="0"/>
        </w:rPr>
      </w:pPr>
    </w:p>
    <w:p w14:paraId="1D4BE6B5" w14:textId="4D0466C5" w:rsidR="00704440" w:rsidRPr="00397A3E" w:rsidRDefault="00171C91" w:rsidP="005F554B">
      <w:pPr>
        <w:pStyle w:val="CoverHeadings"/>
        <w:rPr>
          <w:noProof w:val="0"/>
        </w:rPr>
      </w:pPr>
      <w:r w:rsidRPr="00397A3E">
        <w:rPr>
          <w:noProof w:val="0"/>
        </w:rPr>
        <w:t>Evidence Evaluation</w:t>
      </w:r>
      <w:r w:rsidR="00927991" w:rsidRPr="00397A3E">
        <w:rPr>
          <w:noProof w:val="0"/>
        </w:rPr>
        <w:t xml:space="preserve"> Report </w:t>
      </w:r>
      <w:r w:rsidR="008F4405" w:rsidRPr="00397A3E">
        <w:rPr>
          <w:noProof w:val="0"/>
        </w:rPr>
        <w:t>for Narrative Review in support of the NHMRC Recreational Water Quality Guidelines</w:t>
      </w:r>
      <w:r w:rsidRPr="00397A3E">
        <w:rPr>
          <w:noProof w:val="0"/>
        </w:rPr>
        <w:t>:</w:t>
      </w:r>
      <w:r w:rsidR="00625F79" w:rsidRPr="00397A3E">
        <w:rPr>
          <w:noProof w:val="0"/>
        </w:rPr>
        <w:t xml:space="preserve"> </w:t>
      </w:r>
      <w:r w:rsidR="00F93DD8" w:rsidRPr="00397A3E">
        <w:rPr>
          <w:noProof w:val="0"/>
        </w:rPr>
        <w:t>Microbial Risks</w:t>
      </w:r>
    </w:p>
    <w:p w14:paraId="4EC6CC66" w14:textId="27C54A96" w:rsidR="00976F03" w:rsidRPr="00397A3E" w:rsidRDefault="00976F03" w:rsidP="00976F03">
      <w:pPr>
        <w:rPr>
          <w:noProof w:val="0"/>
        </w:rPr>
      </w:pPr>
    </w:p>
    <w:p w14:paraId="35A4A541" w14:textId="1F418DAF" w:rsidR="00B82672" w:rsidRPr="00397A3E" w:rsidRDefault="00B82672" w:rsidP="00976F03">
      <w:pPr>
        <w:rPr>
          <w:noProof w:val="0"/>
        </w:rPr>
      </w:pPr>
    </w:p>
    <w:p w14:paraId="30E54765" w14:textId="66F0B8D8" w:rsidR="005550BA" w:rsidRPr="00397A3E" w:rsidRDefault="005550BA" w:rsidP="00976F03">
      <w:pPr>
        <w:rPr>
          <w:noProof w:val="0"/>
        </w:rPr>
      </w:pPr>
    </w:p>
    <w:p w14:paraId="436DF984" w14:textId="1DB1F84F" w:rsidR="005550BA" w:rsidRDefault="005550BA" w:rsidP="00976F03">
      <w:pPr>
        <w:rPr>
          <w:noProof w:val="0"/>
        </w:rPr>
      </w:pPr>
    </w:p>
    <w:p w14:paraId="4F8FA16D" w14:textId="77777777" w:rsidR="0042092F" w:rsidRPr="00397A3E" w:rsidRDefault="0042092F" w:rsidP="00976F03">
      <w:pPr>
        <w:rPr>
          <w:noProof w:val="0"/>
        </w:rPr>
      </w:pPr>
    </w:p>
    <w:p w14:paraId="22544B92" w14:textId="16E3D7CA" w:rsidR="005550BA" w:rsidRPr="00397A3E" w:rsidRDefault="005550BA" w:rsidP="00976F03">
      <w:pPr>
        <w:rPr>
          <w:noProof w:val="0"/>
        </w:rPr>
      </w:pPr>
    </w:p>
    <w:p w14:paraId="3DDA1941" w14:textId="77777777" w:rsidR="005550BA" w:rsidRPr="00397A3E" w:rsidRDefault="005550BA" w:rsidP="00976F03">
      <w:pPr>
        <w:rPr>
          <w:noProof w:val="0"/>
        </w:rPr>
      </w:pPr>
    </w:p>
    <w:p w14:paraId="4CF833AB" w14:textId="77777777" w:rsidR="007F0E68" w:rsidRPr="00397A3E" w:rsidRDefault="007F0E68" w:rsidP="00A76AEB">
      <w:pPr>
        <w:rPr>
          <w:noProof w:val="0"/>
        </w:rPr>
      </w:pPr>
    </w:p>
    <w:p w14:paraId="66C87920" w14:textId="77777777" w:rsidR="007F0E68" w:rsidRPr="00397A3E" w:rsidRDefault="007F0E68" w:rsidP="00A76AEB">
      <w:pPr>
        <w:rPr>
          <w:noProof w:val="0"/>
        </w:rPr>
      </w:pPr>
    </w:p>
    <w:p w14:paraId="4AC9A333" w14:textId="68E2FB1D" w:rsidR="00A76AEB" w:rsidRPr="00397A3E" w:rsidRDefault="00171C91" w:rsidP="00A76AEB">
      <w:pPr>
        <w:rPr>
          <w:noProof w:val="0"/>
        </w:rPr>
      </w:pPr>
      <w:r w:rsidRPr="00397A3E">
        <w:drawing>
          <wp:inline distT="0" distB="0" distL="0" distR="0" wp14:anchorId="70A17059" wp14:editId="7C5FF359">
            <wp:extent cx="266700" cy="66675"/>
            <wp:effectExtent l="19050" t="0" r="0" b="0"/>
            <wp:docPr id="3" name="Picture 1" descr="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dots"/>
                    <pic:cNvPicPr>
                      <a:picLocks noChangeAspect="1" noChangeArrowheads="1"/>
                    </pic:cNvPicPr>
                  </pic:nvPicPr>
                  <pic:blipFill>
                    <a:blip r:embed="rId13" cstate="print"/>
                    <a:stretch>
                      <a:fillRect/>
                    </a:stretch>
                  </pic:blipFill>
                  <pic:spPr bwMode="auto">
                    <a:xfrm>
                      <a:off x="0" y="0"/>
                      <a:ext cx="266700" cy="66675"/>
                    </a:xfrm>
                    <a:prstGeom prst="rect">
                      <a:avLst/>
                    </a:prstGeom>
                    <a:noFill/>
                    <a:ln w="9525">
                      <a:noFill/>
                      <a:miter lim="800000"/>
                      <a:headEnd/>
                      <a:tailEnd/>
                    </a:ln>
                  </pic:spPr>
                </pic:pic>
              </a:graphicData>
            </a:graphic>
          </wp:inline>
        </w:drawing>
      </w:r>
    </w:p>
    <w:p w14:paraId="3486ABED" w14:textId="3E394393" w:rsidR="00A76AEB" w:rsidRPr="00397A3E" w:rsidRDefault="00171C91" w:rsidP="00D41AAE">
      <w:pPr>
        <w:pStyle w:val="CoverSubheading"/>
        <w:outlineLvl w:val="0"/>
        <w:rPr>
          <w:noProof w:val="0"/>
        </w:rPr>
      </w:pPr>
      <w:r w:rsidRPr="00397A3E">
        <w:rPr>
          <w:noProof w:val="0"/>
        </w:rPr>
        <w:t xml:space="preserve">Report Prepared for </w:t>
      </w:r>
      <w:r w:rsidR="0048257F" w:rsidRPr="00397A3E">
        <w:rPr>
          <w:noProof w:val="0"/>
        </w:rPr>
        <w:t>NHMRC</w:t>
      </w:r>
    </w:p>
    <w:p w14:paraId="2D7E791E" w14:textId="77777777" w:rsidR="00A76AEB" w:rsidRPr="00397A3E" w:rsidRDefault="00171C91" w:rsidP="00A76AEB">
      <w:pPr>
        <w:pStyle w:val="CoverSubheading"/>
        <w:rPr>
          <w:noProof w:val="0"/>
        </w:rPr>
      </w:pPr>
      <w:r w:rsidRPr="00397A3E">
        <w:rPr>
          <w:noProof w:val="0"/>
        </w:rPr>
        <w:t>By Ecos Environmental Consulting Pty Ltd</w:t>
      </w:r>
    </w:p>
    <w:p w14:paraId="67F93B74" w14:textId="77777777" w:rsidR="00A76AEB" w:rsidRPr="00397A3E" w:rsidRDefault="00A76AEB" w:rsidP="00A76AEB">
      <w:pPr>
        <w:pStyle w:val="CoverSubheading"/>
        <w:rPr>
          <w:noProof w:val="0"/>
        </w:rPr>
      </w:pPr>
    </w:p>
    <w:p w14:paraId="5F6ABCE3" w14:textId="1EBC52E1" w:rsidR="00A76AEB" w:rsidRPr="00397A3E" w:rsidRDefault="0042092F" w:rsidP="00A76AEB">
      <w:pPr>
        <w:pStyle w:val="CoverSubheading"/>
        <w:rPr>
          <w:noProof w:val="0"/>
        </w:rPr>
      </w:pPr>
      <w:r>
        <w:rPr>
          <w:noProof w:val="0"/>
        </w:rPr>
        <w:t>June</w:t>
      </w:r>
      <w:r w:rsidRPr="00397A3E">
        <w:rPr>
          <w:noProof w:val="0"/>
        </w:rPr>
        <w:t xml:space="preserve"> </w:t>
      </w:r>
      <w:r w:rsidR="00E877DF" w:rsidRPr="00397A3E">
        <w:rPr>
          <w:noProof w:val="0"/>
        </w:rPr>
        <w:t>20</w:t>
      </w:r>
      <w:r w:rsidR="0048257F" w:rsidRPr="00397A3E">
        <w:rPr>
          <w:noProof w:val="0"/>
        </w:rPr>
        <w:t>2</w:t>
      </w:r>
      <w:r w:rsidR="004C13C4">
        <w:rPr>
          <w:noProof w:val="0"/>
        </w:rPr>
        <w:t>2</w:t>
      </w:r>
    </w:p>
    <w:p w14:paraId="11E409B2" w14:textId="77777777" w:rsidR="00F92298" w:rsidRPr="00397A3E" w:rsidRDefault="00171C91">
      <w:pPr>
        <w:spacing w:before="0" w:after="0" w:line="240" w:lineRule="auto"/>
        <w:rPr>
          <w:rFonts w:cs="Arial"/>
          <w:noProof w:val="0"/>
          <w:sz w:val="22"/>
          <w:szCs w:val="22"/>
          <w:highlight w:val="cyan"/>
          <w:lang w:eastAsia="en-US"/>
        </w:rPr>
      </w:pPr>
      <w:r w:rsidRPr="00397A3E">
        <w:rPr>
          <w:rFonts w:cs="Arial"/>
          <w:noProof w:val="0"/>
          <w:sz w:val="22"/>
          <w:szCs w:val="22"/>
          <w:highlight w:val="cyan"/>
        </w:rPr>
        <w:br w:type="page"/>
      </w:r>
    </w:p>
    <w:p w14:paraId="1CDD31F3" w14:textId="77777777" w:rsidR="00A76AEB" w:rsidRPr="00397A3E" w:rsidRDefault="00171C91" w:rsidP="00D41AAE">
      <w:pPr>
        <w:pStyle w:val="Non-numberedHeading1"/>
        <w:outlineLvl w:val="0"/>
        <w:rPr>
          <w:noProof w:val="0"/>
        </w:rPr>
      </w:pPr>
      <w:r w:rsidRPr="00397A3E">
        <w:rPr>
          <w:noProof w:val="0"/>
        </w:rPr>
        <w:lastRenderedPageBreak/>
        <w:t>Document Information</w:t>
      </w:r>
    </w:p>
    <w:tbl>
      <w:tblPr>
        <w:tblStyle w:val="BlueDocumentInfoTableStyle"/>
        <w:tblW w:w="7869" w:type="dxa"/>
        <w:tblLayout w:type="fixed"/>
        <w:tblLook w:val="01E0" w:firstRow="1" w:lastRow="1" w:firstColumn="1" w:lastColumn="1" w:noHBand="0" w:noVBand="0"/>
      </w:tblPr>
      <w:tblGrid>
        <w:gridCol w:w="846"/>
        <w:gridCol w:w="1134"/>
        <w:gridCol w:w="1417"/>
        <w:gridCol w:w="1099"/>
        <w:gridCol w:w="1169"/>
        <w:gridCol w:w="1079"/>
        <w:gridCol w:w="1125"/>
      </w:tblGrid>
      <w:tr w:rsidR="00785848" w14:paraId="555C01C3" w14:textId="77777777" w:rsidTr="00785848">
        <w:trPr>
          <w:cnfStyle w:val="100000000000" w:firstRow="1" w:lastRow="0" w:firstColumn="0" w:lastColumn="0" w:oddVBand="0" w:evenVBand="0" w:oddHBand="0" w:evenHBand="0" w:firstRowFirstColumn="0" w:firstRowLastColumn="0" w:lastRowFirstColumn="0" w:lastRowLastColumn="0"/>
        </w:trPr>
        <w:tc>
          <w:tcPr>
            <w:tcW w:w="846" w:type="dxa"/>
          </w:tcPr>
          <w:p w14:paraId="6CD1F6D0" w14:textId="77777777" w:rsidR="008463CE" w:rsidRPr="00397A3E" w:rsidRDefault="00171C91" w:rsidP="00C02989">
            <w:pPr>
              <w:spacing w:before="0" w:after="0" w:line="240" w:lineRule="auto"/>
              <w:rPr>
                <w:rFonts w:asciiTheme="minorHAnsi" w:hAnsiTheme="minorHAnsi" w:cstheme="minorHAnsi"/>
                <w:bCs/>
                <w:noProof w:val="0"/>
              </w:rPr>
            </w:pPr>
            <w:r w:rsidRPr="00397A3E">
              <w:rPr>
                <w:rFonts w:asciiTheme="minorHAnsi" w:hAnsiTheme="minorHAnsi" w:cstheme="minorHAnsi"/>
                <w:bCs/>
                <w:noProof w:val="0"/>
              </w:rPr>
              <w:t>Revision</w:t>
            </w:r>
          </w:p>
        </w:tc>
        <w:tc>
          <w:tcPr>
            <w:tcW w:w="1134" w:type="dxa"/>
          </w:tcPr>
          <w:p w14:paraId="4DF68AF7" w14:textId="77777777" w:rsidR="008463CE" w:rsidRPr="00397A3E" w:rsidRDefault="00171C91" w:rsidP="00C02989">
            <w:pPr>
              <w:spacing w:before="0" w:after="0" w:line="240" w:lineRule="auto"/>
              <w:rPr>
                <w:rFonts w:asciiTheme="minorHAnsi" w:hAnsiTheme="minorHAnsi" w:cstheme="minorHAnsi"/>
                <w:bCs/>
                <w:noProof w:val="0"/>
              </w:rPr>
            </w:pPr>
            <w:r w:rsidRPr="00397A3E">
              <w:rPr>
                <w:rFonts w:asciiTheme="minorHAnsi" w:hAnsiTheme="minorHAnsi" w:cstheme="minorHAnsi"/>
                <w:bCs/>
                <w:noProof w:val="0"/>
              </w:rPr>
              <w:t>Status</w:t>
            </w:r>
          </w:p>
        </w:tc>
        <w:tc>
          <w:tcPr>
            <w:tcW w:w="1417" w:type="dxa"/>
          </w:tcPr>
          <w:p w14:paraId="063DF3E2" w14:textId="77777777" w:rsidR="008463CE" w:rsidRPr="00397A3E" w:rsidRDefault="00171C91" w:rsidP="00C02989">
            <w:pPr>
              <w:spacing w:before="0" w:after="0" w:line="240" w:lineRule="auto"/>
              <w:rPr>
                <w:rFonts w:asciiTheme="minorHAnsi" w:hAnsiTheme="minorHAnsi" w:cstheme="minorHAnsi"/>
                <w:bCs/>
                <w:noProof w:val="0"/>
              </w:rPr>
            </w:pPr>
            <w:r w:rsidRPr="00397A3E">
              <w:rPr>
                <w:rFonts w:asciiTheme="minorHAnsi" w:hAnsiTheme="minorHAnsi" w:cstheme="minorHAnsi"/>
                <w:bCs/>
                <w:noProof w:val="0"/>
              </w:rPr>
              <w:t>Prepared by</w:t>
            </w:r>
          </w:p>
        </w:tc>
        <w:tc>
          <w:tcPr>
            <w:tcW w:w="1099" w:type="dxa"/>
          </w:tcPr>
          <w:p w14:paraId="11C1E9E4" w14:textId="77777777" w:rsidR="008463CE" w:rsidRPr="00397A3E" w:rsidRDefault="00171C91" w:rsidP="00C02989">
            <w:pPr>
              <w:spacing w:before="0" w:after="0" w:line="240" w:lineRule="auto"/>
              <w:rPr>
                <w:rFonts w:asciiTheme="minorHAnsi" w:hAnsiTheme="minorHAnsi" w:cstheme="minorHAnsi"/>
                <w:bCs/>
                <w:noProof w:val="0"/>
              </w:rPr>
            </w:pPr>
            <w:r w:rsidRPr="00397A3E">
              <w:rPr>
                <w:rFonts w:asciiTheme="minorHAnsi" w:hAnsiTheme="minorHAnsi" w:cstheme="minorHAnsi"/>
                <w:bCs/>
                <w:noProof w:val="0"/>
              </w:rPr>
              <w:t>Issued to</w:t>
            </w:r>
          </w:p>
        </w:tc>
        <w:tc>
          <w:tcPr>
            <w:tcW w:w="1169" w:type="dxa"/>
          </w:tcPr>
          <w:p w14:paraId="57367990" w14:textId="77777777" w:rsidR="008463CE" w:rsidRPr="00397A3E" w:rsidRDefault="00171C91" w:rsidP="00C02989">
            <w:pPr>
              <w:spacing w:before="0" w:after="0" w:line="240" w:lineRule="auto"/>
              <w:rPr>
                <w:rFonts w:asciiTheme="minorHAnsi" w:hAnsiTheme="minorHAnsi" w:cstheme="minorHAnsi"/>
                <w:bCs/>
                <w:noProof w:val="0"/>
              </w:rPr>
            </w:pPr>
            <w:r w:rsidRPr="00397A3E">
              <w:rPr>
                <w:rFonts w:asciiTheme="minorHAnsi" w:hAnsiTheme="minorHAnsi" w:cstheme="minorHAnsi"/>
                <w:bCs/>
                <w:noProof w:val="0"/>
              </w:rPr>
              <w:t>Date</w:t>
            </w:r>
          </w:p>
        </w:tc>
        <w:tc>
          <w:tcPr>
            <w:tcW w:w="1079" w:type="dxa"/>
          </w:tcPr>
          <w:p w14:paraId="5FE269D2" w14:textId="77777777" w:rsidR="008463CE" w:rsidRPr="00397A3E" w:rsidRDefault="00171C91" w:rsidP="00C02989">
            <w:pPr>
              <w:spacing w:before="0" w:after="0" w:line="240" w:lineRule="auto"/>
              <w:rPr>
                <w:rFonts w:asciiTheme="minorHAnsi" w:hAnsiTheme="minorHAnsi" w:cstheme="minorHAnsi"/>
                <w:bCs/>
                <w:noProof w:val="0"/>
              </w:rPr>
            </w:pPr>
            <w:r w:rsidRPr="00397A3E">
              <w:rPr>
                <w:rFonts w:asciiTheme="minorHAnsi" w:hAnsiTheme="minorHAnsi" w:cstheme="minorHAnsi"/>
                <w:bCs/>
                <w:noProof w:val="0"/>
              </w:rPr>
              <w:t>Reviewed by</w:t>
            </w:r>
          </w:p>
        </w:tc>
        <w:tc>
          <w:tcPr>
            <w:tcW w:w="1125" w:type="dxa"/>
          </w:tcPr>
          <w:p w14:paraId="0C027555" w14:textId="77777777" w:rsidR="008463CE" w:rsidRPr="00397A3E" w:rsidRDefault="00171C91" w:rsidP="00C02989">
            <w:pPr>
              <w:spacing w:before="0" w:after="0" w:line="240" w:lineRule="auto"/>
              <w:rPr>
                <w:rFonts w:asciiTheme="minorHAnsi" w:hAnsiTheme="minorHAnsi" w:cstheme="minorHAnsi"/>
                <w:bCs/>
                <w:noProof w:val="0"/>
              </w:rPr>
            </w:pPr>
            <w:r w:rsidRPr="00397A3E">
              <w:rPr>
                <w:rFonts w:asciiTheme="minorHAnsi" w:hAnsiTheme="minorHAnsi" w:cstheme="minorHAnsi"/>
                <w:bCs/>
                <w:noProof w:val="0"/>
              </w:rPr>
              <w:t>Approved</w:t>
            </w:r>
          </w:p>
        </w:tc>
      </w:tr>
      <w:tr w:rsidR="00785848" w14:paraId="7C41A39E" w14:textId="77777777" w:rsidTr="00785848">
        <w:tc>
          <w:tcPr>
            <w:tcW w:w="846" w:type="dxa"/>
          </w:tcPr>
          <w:p w14:paraId="45BC8568" w14:textId="77777777" w:rsidR="008463CE" w:rsidRPr="004C13C4" w:rsidRDefault="00171C91" w:rsidP="00C02989">
            <w:pPr>
              <w:spacing w:before="0" w:after="0" w:line="240" w:lineRule="auto"/>
              <w:rPr>
                <w:rFonts w:asciiTheme="minorHAnsi" w:hAnsiTheme="minorHAnsi" w:cstheme="minorHAnsi"/>
                <w:noProof w:val="0"/>
              </w:rPr>
            </w:pPr>
            <w:r w:rsidRPr="004C13C4">
              <w:rPr>
                <w:rFonts w:asciiTheme="minorHAnsi" w:hAnsiTheme="minorHAnsi" w:cstheme="minorHAnsi"/>
                <w:noProof w:val="0"/>
              </w:rPr>
              <w:t>1.0</w:t>
            </w:r>
          </w:p>
        </w:tc>
        <w:tc>
          <w:tcPr>
            <w:tcW w:w="1134" w:type="dxa"/>
          </w:tcPr>
          <w:p w14:paraId="6C56D260" w14:textId="5524223D" w:rsidR="008463CE" w:rsidRPr="004C13C4" w:rsidRDefault="00171C91" w:rsidP="00C02989">
            <w:pPr>
              <w:spacing w:before="0" w:after="0" w:line="240" w:lineRule="auto"/>
              <w:rPr>
                <w:rFonts w:asciiTheme="minorHAnsi" w:hAnsiTheme="minorHAnsi" w:cstheme="minorHAnsi"/>
                <w:noProof w:val="0"/>
              </w:rPr>
            </w:pPr>
            <w:r w:rsidRPr="004C13C4">
              <w:rPr>
                <w:rFonts w:asciiTheme="minorHAnsi" w:hAnsiTheme="minorHAnsi" w:cstheme="minorHAnsi"/>
                <w:noProof w:val="0"/>
              </w:rPr>
              <w:t>Draft</w:t>
            </w:r>
          </w:p>
        </w:tc>
        <w:tc>
          <w:tcPr>
            <w:tcW w:w="1417" w:type="dxa"/>
          </w:tcPr>
          <w:p w14:paraId="59D1A6C8" w14:textId="38D82F60" w:rsidR="008463CE" w:rsidRPr="004C13C4" w:rsidRDefault="00171C91" w:rsidP="00C02989">
            <w:pPr>
              <w:spacing w:before="0" w:after="0" w:line="240" w:lineRule="auto"/>
              <w:rPr>
                <w:rFonts w:asciiTheme="minorHAnsi" w:hAnsiTheme="minorHAnsi" w:cstheme="minorHAnsi"/>
                <w:noProof w:val="0"/>
              </w:rPr>
            </w:pPr>
            <w:r w:rsidRPr="004C13C4">
              <w:rPr>
                <w:rFonts w:asciiTheme="minorHAnsi" w:hAnsiTheme="minorHAnsi" w:cstheme="minorHAnsi"/>
                <w:noProof w:val="0"/>
              </w:rPr>
              <w:t>Nick O’Connor</w:t>
            </w:r>
          </w:p>
        </w:tc>
        <w:tc>
          <w:tcPr>
            <w:tcW w:w="1099" w:type="dxa"/>
          </w:tcPr>
          <w:p w14:paraId="5AF834E0" w14:textId="52FFB5C5" w:rsidR="008463CE" w:rsidRPr="004C13C4" w:rsidRDefault="00171C91" w:rsidP="00C02989">
            <w:pPr>
              <w:spacing w:before="0" w:after="0" w:line="240" w:lineRule="auto"/>
              <w:rPr>
                <w:rFonts w:asciiTheme="minorHAnsi" w:hAnsiTheme="minorHAnsi" w:cstheme="minorHAnsi"/>
                <w:noProof w:val="0"/>
              </w:rPr>
            </w:pPr>
            <w:r w:rsidRPr="004C13C4">
              <w:rPr>
                <w:rFonts w:asciiTheme="minorHAnsi" w:hAnsiTheme="minorHAnsi" w:cstheme="minorHAnsi"/>
                <w:noProof w:val="0"/>
              </w:rPr>
              <w:t>NHM</w:t>
            </w:r>
            <w:r w:rsidR="00D76DFB" w:rsidRPr="004C13C4">
              <w:rPr>
                <w:rFonts w:asciiTheme="minorHAnsi" w:hAnsiTheme="minorHAnsi" w:cstheme="minorHAnsi"/>
                <w:noProof w:val="0"/>
              </w:rPr>
              <w:t>R</w:t>
            </w:r>
            <w:r w:rsidRPr="004C13C4">
              <w:rPr>
                <w:rFonts w:asciiTheme="minorHAnsi" w:hAnsiTheme="minorHAnsi" w:cstheme="minorHAnsi"/>
                <w:noProof w:val="0"/>
              </w:rPr>
              <w:t>C</w:t>
            </w:r>
          </w:p>
        </w:tc>
        <w:tc>
          <w:tcPr>
            <w:tcW w:w="1169" w:type="dxa"/>
          </w:tcPr>
          <w:p w14:paraId="7F1156A1" w14:textId="069E2A64" w:rsidR="008463CE" w:rsidRPr="004C13C4" w:rsidRDefault="00171C91" w:rsidP="00014F38">
            <w:pPr>
              <w:spacing w:before="0" w:after="0" w:line="240" w:lineRule="auto"/>
              <w:rPr>
                <w:rFonts w:asciiTheme="minorHAnsi" w:hAnsiTheme="minorHAnsi" w:cstheme="minorHAnsi"/>
                <w:noProof w:val="0"/>
              </w:rPr>
            </w:pPr>
            <w:r w:rsidRPr="004C13C4">
              <w:rPr>
                <w:rFonts w:asciiTheme="minorHAnsi" w:hAnsiTheme="minorHAnsi" w:cstheme="minorHAnsi"/>
                <w:noProof w:val="0"/>
              </w:rPr>
              <w:t>2</w:t>
            </w:r>
            <w:r w:rsidR="004C13C4" w:rsidRPr="004C13C4">
              <w:rPr>
                <w:rFonts w:asciiTheme="minorHAnsi" w:hAnsiTheme="minorHAnsi" w:cstheme="minorHAnsi"/>
                <w:noProof w:val="0"/>
              </w:rPr>
              <w:t>7 January</w:t>
            </w:r>
            <w:r w:rsidR="00111E63" w:rsidRPr="004C13C4">
              <w:rPr>
                <w:rFonts w:asciiTheme="minorHAnsi" w:hAnsiTheme="minorHAnsi" w:cstheme="minorHAnsi"/>
                <w:noProof w:val="0"/>
              </w:rPr>
              <w:t xml:space="preserve"> 202</w:t>
            </w:r>
            <w:r w:rsidR="004C13C4" w:rsidRPr="004C13C4">
              <w:rPr>
                <w:rFonts w:asciiTheme="minorHAnsi" w:hAnsiTheme="minorHAnsi" w:cstheme="minorHAnsi"/>
                <w:noProof w:val="0"/>
              </w:rPr>
              <w:t>2</w:t>
            </w:r>
          </w:p>
        </w:tc>
        <w:tc>
          <w:tcPr>
            <w:tcW w:w="1079" w:type="dxa"/>
          </w:tcPr>
          <w:p w14:paraId="573555D9" w14:textId="77777777" w:rsidR="008463CE" w:rsidRPr="004C13C4" w:rsidRDefault="00171C91" w:rsidP="00C02989">
            <w:pPr>
              <w:spacing w:before="0" w:after="0" w:line="240" w:lineRule="auto"/>
              <w:rPr>
                <w:rFonts w:asciiTheme="minorHAnsi" w:hAnsiTheme="minorHAnsi" w:cstheme="minorHAnsi"/>
                <w:noProof w:val="0"/>
              </w:rPr>
            </w:pPr>
            <w:r w:rsidRPr="004C13C4">
              <w:rPr>
                <w:rFonts w:asciiTheme="minorHAnsi" w:hAnsiTheme="minorHAnsi" w:cstheme="minorHAnsi"/>
                <w:noProof w:val="0"/>
              </w:rPr>
              <w:t>Nick O'Connor</w:t>
            </w:r>
          </w:p>
        </w:tc>
        <w:tc>
          <w:tcPr>
            <w:tcW w:w="1125" w:type="dxa"/>
          </w:tcPr>
          <w:p w14:paraId="342B4D4F" w14:textId="77777777" w:rsidR="008463CE" w:rsidRPr="00397A3E" w:rsidRDefault="00171C91" w:rsidP="00C02989">
            <w:pPr>
              <w:spacing w:before="0" w:after="0" w:line="240" w:lineRule="auto"/>
              <w:rPr>
                <w:rFonts w:asciiTheme="minorHAnsi" w:hAnsiTheme="minorHAnsi" w:cstheme="minorHAnsi"/>
                <w:noProof w:val="0"/>
              </w:rPr>
            </w:pPr>
            <w:r w:rsidRPr="004C13C4">
              <w:rPr>
                <w:rFonts w:asciiTheme="minorHAnsi" w:hAnsiTheme="minorHAnsi" w:cstheme="minorHAnsi"/>
                <w:noProof w:val="0"/>
              </w:rPr>
              <w:t>Nick O'Connor</w:t>
            </w:r>
          </w:p>
        </w:tc>
      </w:tr>
      <w:tr w:rsidR="00785848" w14:paraId="698FD17A" w14:textId="77777777" w:rsidTr="00785848">
        <w:tc>
          <w:tcPr>
            <w:tcW w:w="846" w:type="dxa"/>
          </w:tcPr>
          <w:p w14:paraId="3F5AD5F7" w14:textId="1469B544" w:rsidR="00222288" w:rsidRPr="004C13C4" w:rsidRDefault="00171C91" w:rsidP="00355A2A">
            <w:pPr>
              <w:spacing w:before="0" w:after="0" w:line="240" w:lineRule="auto"/>
              <w:rPr>
                <w:rFonts w:asciiTheme="minorHAnsi" w:hAnsiTheme="minorHAnsi" w:cstheme="minorHAnsi"/>
                <w:noProof w:val="0"/>
              </w:rPr>
            </w:pPr>
            <w:r w:rsidRPr="004C13C4">
              <w:rPr>
                <w:rFonts w:asciiTheme="minorHAnsi" w:hAnsiTheme="minorHAnsi" w:cstheme="minorHAnsi"/>
                <w:noProof w:val="0"/>
              </w:rPr>
              <w:t>1.</w:t>
            </w:r>
            <w:r>
              <w:rPr>
                <w:rFonts w:asciiTheme="minorHAnsi" w:hAnsiTheme="minorHAnsi" w:cstheme="minorHAnsi"/>
                <w:noProof w:val="0"/>
              </w:rPr>
              <w:t>1</w:t>
            </w:r>
          </w:p>
        </w:tc>
        <w:tc>
          <w:tcPr>
            <w:tcW w:w="1134" w:type="dxa"/>
          </w:tcPr>
          <w:p w14:paraId="1ACF44DE" w14:textId="77777777" w:rsidR="00222288" w:rsidRPr="004C13C4" w:rsidRDefault="00171C91" w:rsidP="00355A2A">
            <w:pPr>
              <w:spacing w:before="0" w:after="0" w:line="240" w:lineRule="auto"/>
              <w:rPr>
                <w:rFonts w:asciiTheme="minorHAnsi" w:hAnsiTheme="minorHAnsi" w:cstheme="minorHAnsi"/>
                <w:noProof w:val="0"/>
              </w:rPr>
            </w:pPr>
            <w:r w:rsidRPr="004C13C4">
              <w:rPr>
                <w:rFonts w:asciiTheme="minorHAnsi" w:hAnsiTheme="minorHAnsi" w:cstheme="minorHAnsi"/>
                <w:noProof w:val="0"/>
              </w:rPr>
              <w:t>Draft</w:t>
            </w:r>
          </w:p>
        </w:tc>
        <w:tc>
          <w:tcPr>
            <w:tcW w:w="1417" w:type="dxa"/>
          </w:tcPr>
          <w:p w14:paraId="1C91ADDA" w14:textId="77777777" w:rsidR="00222288" w:rsidRPr="004C13C4" w:rsidRDefault="00171C91" w:rsidP="00355A2A">
            <w:pPr>
              <w:spacing w:before="0" w:after="0" w:line="240" w:lineRule="auto"/>
              <w:rPr>
                <w:rFonts w:asciiTheme="minorHAnsi" w:hAnsiTheme="minorHAnsi" w:cstheme="minorHAnsi"/>
                <w:noProof w:val="0"/>
              </w:rPr>
            </w:pPr>
            <w:r w:rsidRPr="004C13C4">
              <w:rPr>
                <w:rFonts w:asciiTheme="minorHAnsi" w:hAnsiTheme="minorHAnsi" w:cstheme="minorHAnsi"/>
                <w:noProof w:val="0"/>
              </w:rPr>
              <w:t>Nick O’Connor</w:t>
            </w:r>
          </w:p>
        </w:tc>
        <w:tc>
          <w:tcPr>
            <w:tcW w:w="1099" w:type="dxa"/>
          </w:tcPr>
          <w:p w14:paraId="1BC73653" w14:textId="77777777" w:rsidR="00222288" w:rsidRPr="004C13C4" w:rsidRDefault="00171C91" w:rsidP="00355A2A">
            <w:pPr>
              <w:spacing w:before="0" w:after="0" w:line="240" w:lineRule="auto"/>
              <w:rPr>
                <w:rFonts w:asciiTheme="minorHAnsi" w:hAnsiTheme="minorHAnsi" w:cstheme="minorHAnsi"/>
                <w:noProof w:val="0"/>
              </w:rPr>
            </w:pPr>
            <w:r w:rsidRPr="004C13C4">
              <w:rPr>
                <w:rFonts w:asciiTheme="minorHAnsi" w:hAnsiTheme="minorHAnsi" w:cstheme="minorHAnsi"/>
                <w:noProof w:val="0"/>
              </w:rPr>
              <w:t>NHMRC</w:t>
            </w:r>
          </w:p>
        </w:tc>
        <w:tc>
          <w:tcPr>
            <w:tcW w:w="1169" w:type="dxa"/>
          </w:tcPr>
          <w:p w14:paraId="447BD57C" w14:textId="707DF42F" w:rsidR="00222288" w:rsidRPr="004C13C4" w:rsidRDefault="00171C91" w:rsidP="00355A2A">
            <w:pPr>
              <w:spacing w:before="0" w:after="0" w:line="240" w:lineRule="auto"/>
              <w:rPr>
                <w:rFonts w:asciiTheme="minorHAnsi" w:hAnsiTheme="minorHAnsi" w:cstheme="minorHAnsi"/>
                <w:noProof w:val="0"/>
              </w:rPr>
            </w:pPr>
            <w:r w:rsidRPr="004C13C4">
              <w:rPr>
                <w:rFonts w:asciiTheme="minorHAnsi" w:hAnsiTheme="minorHAnsi" w:cstheme="minorHAnsi"/>
                <w:noProof w:val="0"/>
              </w:rPr>
              <w:t xml:space="preserve">7 </w:t>
            </w:r>
            <w:r w:rsidR="009320D6">
              <w:rPr>
                <w:rFonts w:asciiTheme="minorHAnsi" w:hAnsiTheme="minorHAnsi" w:cstheme="minorHAnsi"/>
                <w:noProof w:val="0"/>
              </w:rPr>
              <w:t>February</w:t>
            </w:r>
            <w:r w:rsidRPr="004C13C4">
              <w:rPr>
                <w:rFonts w:asciiTheme="minorHAnsi" w:hAnsiTheme="minorHAnsi" w:cstheme="minorHAnsi"/>
                <w:noProof w:val="0"/>
              </w:rPr>
              <w:t xml:space="preserve"> 2022</w:t>
            </w:r>
          </w:p>
        </w:tc>
        <w:tc>
          <w:tcPr>
            <w:tcW w:w="1079" w:type="dxa"/>
          </w:tcPr>
          <w:p w14:paraId="5DB9CCE3" w14:textId="455DE8E3" w:rsidR="00222288" w:rsidRPr="004C13C4" w:rsidRDefault="00171C91" w:rsidP="00355A2A">
            <w:pPr>
              <w:spacing w:before="0" w:after="0" w:line="240" w:lineRule="auto"/>
              <w:rPr>
                <w:rFonts w:asciiTheme="minorHAnsi" w:hAnsiTheme="minorHAnsi" w:cstheme="minorHAnsi"/>
                <w:noProof w:val="0"/>
              </w:rPr>
            </w:pPr>
            <w:r w:rsidRPr="009320D6">
              <w:rPr>
                <w:rFonts w:asciiTheme="minorHAnsi" w:hAnsiTheme="minorHAnsi" w:cstheme="minorHAnsi"/>
                <w:noProof w:val="0"/>
              </w:rPr>
              <w:t>Kristal Jackson</w:t>
            </w:r>
          </w:p>
        </w:tc>
        <w:tc>
          <w:tcPr>
            <w:tcW w:w="1125" w:type="dxa"/>
          </w:tcPr>
          <w:p w14:paraId="3BF60E4F" w14:textId="77777777" w:rsidR="00222288" w:rsidRPr="00397A3E" w:rsidRDefault="00171C91" w:rsidP="00355A2A">
            <w:pPr>
              <w:spacing w:before="0" w:after="0" w:line="240" w:lineRule="auto"/>
              <w:rPr>
                <w:rFonts w:asciiTheme="minorHAnsi" w:hAnsiTheme="minorHAnsi" w:cstheme="minorHAnsi"/>
                <w:noProof w:val="0"/>
              </w:rPr>
            </w:pPr>
            <w:r w:rsidRPr="004C13C4">
              <w:rPr>
                <w:rFonts w:asciiTheme="minorHAnsi" w:hAnsiTheme="minorHAnsi" w:cstheme="minorHAnsi"/>
                <w:noProof w:val="0"/>
              </w:rPr>
              <w:t>Nick O'Connor</w:t>
            </w:r>
          </w:p>
        </w:tc>
      </w:tr>
      <w:tr w:rsidR="0042092F" w14:paraId="30114A68" w14:textId="77777777" w:rsidTr="00C55674">
        <w:tc>
          <w:tcPr>
            <w:tcW w:w="846" w:type="dxa"/>
          </w:tcPr>
          <w:p w14:paraId="53247072" w14:textId="0706F333" w:rsidR="0042092F" w:rsidRPr="004C13C4" w:rsidRDefault="0042092F" w:rsidP="0042092F">
            <w:pPr>
              <w:spacing w:before="0" w:after="0" w:line="240" w:lineRule="auto"/>
              <w:rPr>
                <w:rFonts w:asciiTheme="minorHAnsi" w:hAnsiTheme="minorHAnsi" w:cstheme="minorHAnsi"/>
                <w:noProof w:val="0"/>
              </w:rPr>
            </w:pPr>
            <w:r w:rsidRPr="004C13C4">
              <w:rPr>
                <w:rFonts w:asciiTheme="minorHAnsi" w:hAnsiTheme="minorHAnsi" w:cstheme="minorHAnsi"/>
                <w:noProof w:val="0"/>
              </w:rPr>
              <w:t>1.</w:t>
            </w:r>
            <w:r>
              <w:rPr>
                <w:rFonts w:asciiTheme="minorHAnsi" w:hAnsiTheme="minorHAnsi" w:cstheme="minorHAnsi"/>
                <w:noProof w:val="0"/>
              </w:rPr>
              <w:t>2</w:t>
            </w:r>
          </w:p>
        </w:tc>
        <w:tc>
          <w:tcPr>
            <w:tcW w:w="1134" w:type="dxa"/>
          </w:tcPr>
          <w:p w14:paraId="37FAA1A7" w14:textId="4C98154B" w:rsidR="0042092F" w:rsidRPr="004C13C4" w:rsidRDefault="0042092F" w:rsidP="0042092F">
            <w:pPr>
              <w:spacing w:before="0" w:after="0" w:line="240" w:lineRule="auto"/>
              <w:rPr>
                <w:rFonts w:asciiTheme="minorHAnsi" w:hAnsiTheme="minorHAnsi" w:cstheme="minorHAnsi"/>
                <w:noProof w:val="0"/>
              </w:rPr>
            </w:pPr>
            <w:r>
              <w:rPr>
                <w:rFonts w:asciiTheme="minorHAnsi" w:hAnsiTheme="minorHAnsi" w:cstheme="minorHAnsi"/>
                <w:noProof w:val="0"/>
              </w:rPr>
              <w:t>Final</w:t>
            </w:r>
          </w:p>
        </w:tc>
        <w:tc>
          <w:tcPr>
            <w:tcW w:w="1417" w:type="dxa"/>
          </w:tcPr>
          <w:p w14:paraId="25184E26" w14:textId="347B87EA" w:rsidR="0042092F" w:rsidRPr="004C13C4" w:rsidRDefault="0042092F" w:rsidP="0042092F">
            <w:pPr>
              <w:spacing w:before="0" w:after="0" w:line="240" w:lineRule="auto"/>
              <w:rPr>
                <w:rFonts w:asciiTheme="minorHAnsi" w:hAnsiTheme="minorHAnsi" w:cstheme="minorHAnsi"/>
                <w:noProof w:val="0"/>
              </w:rPr>
            </w:pPr>
            <w:r w:rsidRPr="004C13C4">
              <w:rPr>
                <w:rFonts w:asciiTheme="minorHAnsi" w:hAnsiTheme="minorHAnsi" w:cstheme="minorHAnsi"/>
                <w:noProof w:val="0"/>
              </w:rPr>
              <w:t>Nick O’Connor</w:t>
            </w:r>
          </w:p>
        </w:tc>
        <w:tc>
          <w:tcPr>
            <w:tcW w:w="1099" w:type="dxa"/>
          </w:tcPr>
          <w:p w14:paraId="307AD069" w14:textId="0219FE9E" w:rsidR="0042092F" w:rsidRPr="004C13C4" w:rsidRDefault="0042092F" w:rsidP="0042092F">
            <w:pPr>
              <w:spacing w:before="0" w:after="0" w:line="240" w:lineRule="auto"/>
              <w:rPr>
                <w:rFonts w:asciiTheme="minorHAnsi" w:hAnsiTheme="minorHAnsi" w:cstheme="minorHAnsi"/>
                <w:noProof w:val="0"/>
              </w:rPr>
            </w:pPr>
            <w:r w:rsidRPr="004C13C4">
              <w:rPr>
                <w:rFonts w:asciiTheme="minorHAnsi" w:hAnsiTheme="minorHAnsi" w:cstheme="minorHAnsi"/>
                <w:noProof w:val="0"/>
              </w:rPr>
              <w:t>NHMRC</w:t>
            </w:r>
          </w:p>
        </w:tc>
        <w:tc>
          <w:tcPr>
            <w:tcW w:w="1169" w:type="dxa"/>
          </w:tcPr>
          <w:p w14:paraId="729A265B" w14:textId="6F3F96DF" w:rsidR="0042092F" w:rsidRPr="004C13C4" w:rsidRDefault="0042092F" w:rsidP="0042092F">
            <w:pPr>
              <w:spacing w:before="0" w:after="0" w:line="240" w:lineRule="auto"/>
              <w:rPr>
                <w:rFonts w:asciiTheme="minorHAnsi" w:hAnsiTheme="minorHAnsi" w:cstheme="minorHAnsi"/>
                <w:noProof w:val="0"/>
              </w:rPr>
            </w:pPr>
            <w:r>
              <w:rPr>
                <w:rFonts w:asciiTheme="minorHAnsi" w:hAnsiTheme="minorHAnsi" w:cstheme="minorHAnsi"/>
                <w:noProof w:val="0"/>
              </w:rPr>
              <w:t>24</w:t>
            </w:r>
            <w:r w:rsidRPr="004C13C4">
              <w:rPr>
                <w:rFonts w:asciiTheme="minorHAnsi" w:hAnsiTheme="minorHAnsi" w:cstheme="minorHAnsi"/>
                <w:noProof w:val="0"/>
              </w:rPr>
              <w:t xml:space="preserve"> </w:t>
            </w:r>
            <w:r>
              <w:rPr>
                <w:rFonts w:asciiTheme="minorHAnsi" w:hAnsiTheme="minorHAnsi" w:cstheme="minorHAnsi"/>
                <w:noProof w:val="0"/>
              </w:rPr>
              <w:t>June</w:t>
            </w:r>
            <w:r w:rsidRPr="004C13C4">
              <w:rPr>
                <w:rFonts w:asciiTheme="minorHAnsi" w:hAnsiTheme="minorHAnsi" w:cstheme="minorHAnsi"/>
                <w:noProof w:val="0"/>
              </w:rPr>
              <w:t xml:space="preserve"> 2022</w:t>
            </w:r>
          </w:p>
        </w:tc>
        <w:tc>
          <w:tcPr>
            <w:tcW w:w="1079" w:type="dxa"/>
          </w:tcPr>
          <w:p w14:paraId="1EBE6593" w14:textId="36CD2E77" w:rsidR="0042092F" w:rsidRPr="009320D6" w:rsidRDefault="0042092F" w:rsidP="0042092F">
            <w:pPr>
              <w:spacing w:before="0" w:after="0" w:line="240" w:lineRule="auto"/>
              <w:rPr>
                <w:rFonts w:asciiTheme="minorHAnsi" w:hAnsiTheme="minorHAnsi" w:cstheme="minorHAnsi"/>
                <w:noProof w:val="0"/>
              </w:rPr>
            </w:pPr>
            <w:r w:rsidRPr="009320D6">
              <w:rPr>
                <w:rFonts w:asciiTheme="minorHAnsi" w:hAnsiTheme="minorHAnsi" w:cstheme="minorHAnsi"/>
                <w:noProof w:val="0"/>
              </w:rPr>
              <w:t>Kristal Jackson</w:t>
            </w:r>
          </w:p>
        </w:tc>
        <w:tc>
          <w:tcPr>
            <w:tcW w:w="1125" w:type="dxa"/>
          </w:tcPr>
          <w:p w14:paraId="094B7D44" w14:textId="787C4F90" w:rsidR="0042092F" w:rsidRPr="004C13C4" w:rsidRDefault="0042092F" w:rsidP="0042092F">
            <w:pPr>
              <w:spacing w:before="0" w:after="0" w:line="240" w:lineRule="auto"/>
              <w:rPr>
                <w:rFonts w:asciiTheme="minorHAnsi" w:hAnsiTheme="minorHAnsi" w:cstheme="minorHAnsi"/>
                <w:noProof w:val="0"/>
              </w:rPr>
            </w:pPr>
            <w:r w:rsidRPr="004C13C4">
              <w:rPr>
                <w:rFonts w:asciiTheme="minorHAnsi" w:hAnsiTheme="minorHAnsi" w:cstheme="minorHAnsi"/>
                <w:noProof w:val="0"/>
              </w:rPr>
              <w:t>Nick O'Connor</w:t>
            </w:r>
          </w:p>
        </w:tc>
      </w:tr>
    </w:tbl>
    <w:p w14:paraId="36966094" w14:textId="77777777" w:rsidR="00A76AEB" w:rsidRPr="00397A3E" w:rsidRDefault="00A76AEB" w:rsidP="00A76AEB">
      <w:pPr>
        <w:rPr>
          <w:noProof w:val="0"/>
        </w:rPr>
      </w:pPr>
    </w:p>
    <w:tbl>
      <w:tblPr>
        <w:tblW w:w="0" w:type="auto"/>
        <w:tblLook w:val="01E0" w:firstRow="1" w:lastRow="1" w:firstColumn="1" w:lastColumn="1" w:noHBand="0" w:noVBand="0"/>
      </w:tblPr>
      <w:tblGrid>
        <w:gridCol w:w="1869"/>
        <w:gridCol w:w="5784"/>
      </w:tblGrid>
      <w:tr w:rsidR="00785848" w14:paraId="42910B91" w14:textId="77777777" w:rsidTr="00C45E02">
        <w:tc>
          <w:tcPr>
            <w:tcW w:w="1869" w:type="dxa"/>
          </w:tcPr>
          <w:p w14:paraId="4203EDAD" w14:textId="77777777" w:rsidR="00C45E02" w:rsidRPr="00397A3E" w:rsidRDefault="00171C91" w:rsidP="00C45E02">
            <w:pPr>
              <w:spacing w:before="0"/>
              <w:rPr>
                <w:b/>
                <w:noProof w:val="0"/>
                <w:color w:val="000000"/>
                <w:sz w:val="16"/>
              </w:rPr>
            </w:pPr>
            <w:r w:rsidRPr="00397A3E">
              <w:rPr>
                <w:b/>
                <w:noProof w:val="0"/>
                <w:color w:val="000000"/>
                <w:sz w:val="16"/>
              </w:rPr>
              <w:t>Created by</w:t>
            </w:r>
          </w:p>
        </w:tc>
        <w:tc>
          <w:tcPr>
            <w:tcW w:w="5784" w:type="dxa"/>
          </w:tcPr>
          <w:p w14:paraId="2BC1CC82" w14:textId="77777777" w:rsidR="00C45E02" w:rsidRPr="00397A3E" w:rsidRDefault="00171C91" w:rsidP="00C45E02">
            <w:pPr>
              <w:spacing w:before="0" w:after="0" w:line="240" w:lineRule="auto"/>
              <w:rPr>
                <w:rFonts w:cs="Arial"/>
                <w:noProof w:val="0"/>
                <w:color w:val="000000"/>
                <w:sz w:val="16"/>
              </w:rPr>
            </w:pPr>
            <w:r w:rsidRPr="00397A3E">
              <w:rPr>
                <w:rFonts w:cs="Arial"/>
                <w:noProof w:val="0"/>
                <w:color w:val="000000"/>
                <w:sz w:val="16"/>
              </w:rPr>
              <w:t>Ecos Environmental Consulting Pty Ltd</w:t>
            </w:r>
          </w:p>
          <w:p w14:paraId="44CF55B7" w14:textId="77777777" w:rsidR="00C45E02" w:rsidRPr="00397A3E" w:rsidRDefault="00171C91" w:rsidP="00C45E02">
            <w:pPr>
              <w:spacing w:before="0" w:after="0" w:line="240" w:lineRule="auto"/>
              <w:rPr>
                <w:rFonts w:cs="Arial"/>
                <w:noProof w:val="0"/>
                <w:color w:val="000000"/>
                <w:sz w:val="16"/>
                <w:szCs w:val="22"/>
              </w:rPr>
            </w:pPr>
            <w:r w:rsidRPr="00397A3E">
              <w:rPr>
                <w:rFonts w:cs="Arial"/>
                <w:noProof w:val="0"/>
                <w:color w:val="000000"/>
                <w:sz w:val="16"/>
              </w:rPr>
              <w:t>ABN 11 086 102 383, ACN 086 102 383</w:t>
            </w:r>
          </w:p>
          <w:p w14:paraId="61183A0D" w14:textId="604F48EB" w:rsidR="00C45E02" w:rsidRPr="00397A3E" w:rsidRDefault="00171C91" w:rsidP="00C45E02">
            <w:pPr>
              <w:spacing w:before="0" w:after="0" w:line="240" w:lineRule="auto"/>
              <w:rPr>
                <w:rFonts w:cs="Arial"/>
                <w:noProof w:val="0"/>
                <w:color w:val="000000"/>
                <w:sz w:val="16"/>
              </w:rPr>
            </w:pPr>
            <w:r w:rsidRPr="00397A3E">
              <w:rPr>
                <w:rFonts w:cs="Arial"/>
                <w:noProof w:val="0"/>
                <w:color w:val="000000"/>
                <w:sz w:val="16"/>
              </w:rPr>
              <w:t>64 Milne Street, Templestowe, Victoria 3106</w:t>
            </w:r>
          </w:p>
          <w:p w14:paraId="1F278B7E" w14:textId="77777777" w:rsidR="00D2700F" w:rsidRPr="00397A3E" w:rsidRDefault="00D2700F" w:rsidP="00C45E02">
            <w:pPr>
              <w:spacing w:before="0" w:after="0" w:line="240" w:lineRule="auto"/>
              <w:rPr>
                <w:rFonts w:cs="Arial"/>
                <w:noProof w:val="0"/>
                <w:color w:val="000000"/>
                <w:sz w:val="16"/>
              </w:rPr>
            </w:pPr>
          </w:p>
          <w:tbl>
            <w:tblPr>
              <w:tblW w:w="0" w:type="auto"/>
              <w:tblLook w:val="01E0" w:firstRow="1" w:lastRow="1" w:firstColumn="1" w:lastColumn="1" w:noHBand="0" w:noVBand="0"/>
            </w:tblPr>
            <w:tblGrid>
              <w:gridCol w:w="926"/>
              <w:gridCol w:w="2793"/>
            </w:tblGrid>
            <w:tr w:rsidR="00785848" w14:paraId="137A62F9" w14:textId="77777777" w:rsidTr="00C55583">
              <w:tc>
                <w:tcPr>
                  <w:tcW w:w="926" w:type="dxa"/>
                </w:tcPr>
                <w:p w14:paraId="7977E620" w14:textId="77777777" w:rsidR="00C45E02" w:rsidRPr="00397A3E" w:rsidRDefault="00171C91" w:rsidP="00C45E02">
                  <w:pPr>
                    <w:spacing w:before="0" w:after="0" w:line="240" w:lineRule="auto"/>
                    <w:rPr>
                      <w:rFonts w:cs="Arial"/>
                      <w:b/>
                      <w:noProof w:val="0"/>
                      <w:color w:val="000000"/>
                      <w:sz w:val="16"/>
                    </w:rPr>
                  </w:pPr>
                  <w:r w:rsidRPr="00397A3E">
                    <w:rPr>
                      <w:rFonts w:cs="Arial"/>
                      <w:b/>
                      <w:noProof w:val="0"/>
                      <w:color w:val="000000"/>
                      <w:sz w:val="16"/>
                    </w:rPr>
                    <w:t>Mail</w:t>
                  </w:r>
                </w:p>
              </w:tc>
              <w:tc>
                <w:tcPr>
                  <w:tcW w:w="2793" w:type="dxa"/>
                </w:tcPr>
                <w:p w14:paraId="07C45EED" w14:textId="77777777" w:rsidR="00C45E02" w:rsidRPr="00397A3E" w:rsidRDefault="00171C91" w:rsidP="00C45E02">
                  <w:pPr>
                    <w:spacing w:before="0" w:after="0" w:line="240" w:lineRule="auto"/>
                    <w:rPr>
                      <w:rFonts w:cs="Arial"/>
                      <w:noProof w:val="0"/>
                      <w:color w:val="000000"/>
                      <w:sz w:val="16"/>
                    </w:rPr>
                  </w:pPr>
                  <w:r w:rsidRPr="00397A3E">
                    <w:rPr>
                      <w:rFonts w:cs="Arial"/>
                      <w:noProof w:val="0"/>
                      <w:color w:val="000000"/>
                      <w:sz w:val="16"/>
                    </w:rPr>
                    <w:t>PO Box 1064G North Balwyn Victoria 3104</w:t>
                  </w:r>
                </w:p>
              </w:tc>
            </w:tr>
            <w:tr w:rsidR="00785848" w14:paraId="5E02A6B8" w14:textId="77777777" w:rsidTr="00C55583">
              <w:tc>
                <w:tcPr>
                  <w:tcW w:w="926" w:type="dxa"/>
                </w:tcPr>
                <w:p w14:paraId="63FD6B46" w14:textId="77777777" w:rsidR="00C45E02" w:rsidRPr="00397A3E" w:rsidRDefault="00171C91" w:rsidP="00C45E02">
                  <w:pPr>
                    <w:spacing w:before="0" w:after="0" w:line="240" w:lineRule="auto"/>
                    <w:rPr>
                      <w:rFonts w:cs="Arial"/>
                      <w:b/>
                      <w:noProof w:val="0"/>
                      <w:color w:val="000000"/>
                      <w:sz w:val="16"/>
                    </w:rPr>
                  </w:pPr>
                  <w:r w:rsidRPr="00397A3E">
                    <w:rPr>
                      <w:rFonts w:cs="Arial"/>
                      <w:b/>
                      <w:noProof w:val="0"/>
                      <w:color w:val="000000"/>
                      <w:sz w:val="16"/>
                    </w:rPr>
                    <w:t>Mob</w:t>
                  </w:r>
                </w:p>
              </w:tc>
              <w:tc>
                <w:tcPr>
                  <w:tcW w:w="2793" w:type="dxa"/>
                </w:tcPr>
                <w:p w14:paraId="0C095B5D" w14:textId="77777777" w:rsidR="00C45E02" w:rsidRPr="00397A3E" w:rsidRDefault="00171C91" w:rsidP="00C45E02">
                  <w:pPr>
                    <w:spacing w:before="0" w:after="0" w:line="240" w:lineRule="auto"/>
                    <w:rPr>
                      <w:rFonts w:cs="Arial"/>
                      <w:noProof w:val="0"/>
                      <w:color w:val="000000"/>
                      <w:sz w:val="16"/>
                    </w:rPr>
                  </w:pPr>
                  <w:r w:rsidRPr="00397A3E">
                    <w:rPr>
                      <w:rFonts w:cs="Arial"/>
                      <w:noProof w:val="0"/>
                      <w:color w:val="000000"/>
                      <w:sz w:val="16"/>
                    </w:rPr>
                    <w:t>0408 520 579 (Nick)</w:t>
                  </w:r>
                </w:p>
              </w:tc>
            </w:tr>
            <w:tr w:rsidR="00785848" w14:paraId="5CCFCFAE" w14:textId="77777777" w:rsidTr="00C55583">
              <w:tc>
                <w:tcPr>
                  <w:tcW w:w="926" w:type="dxa"/>
                </w:tcPr>
                <w:p w14:paraId="26C2D9EE" w14:textId="77777777" w:rsidR="00C45E02" w:rsidRPr="00397A3E" w:rsidRDefault="00171C91" w:rsidP="00C45E02">
                  <w:pPr>
                    <w:spacing w:before="0" w:after="0" w:line="240" w:lineRule="auto"/>
                    <w:rPr>
                      <w:rFonts w:cs="Arial"/>
                      <w:b/>
                      <w:noProof w:val="0"/>
                      <w:color w:val="000000"/>
                      <w:sz w:val="16"/>
                    </w:rPr>
                  </w:pPr>
                  <w:r w:rsidRPr="00397A3E">
                    <w:rPr>
                      <w:rFonts w:cs="Arial"/>
                      <w:b/>
                      <w:noProof w:val="0"/>
                      <w:color w:val="000000"/>
                      <w:sz w:val="16"/>
                    </w:rPr>
                    <w:t>Email</w:t>
                  </w:r>
                </w:p>
              </w:tc>
              <w:tc>
                <w:tcPr>
                  <w:tcW w:w="2793" w:type="dxa"/>
                </w:tcPr>
                <w:p w14:paraId="1C2F4752" w14:textId="4C979CE2" w:rsidR="00C45E02" w:rsidRPr="00397A3E" w:rsidRDefault="00171C91" w:rsidP="00C45E02">
                  <w:pPr>
                    <w:spacing w:before="0" w:after="0" w:line="240" w:lineRule="auto"/>
                    <w:rPr>
                      <w:rFonts w:cs="Arial"/>
                      <w:noProof w:val="0"/>
                      <w:color w:val="000000"/>
                      <w:sz w:val="16"/>
                    </w:rPr>
                  </w:pPr>
                  <w:hyperlink r:id="rId14" w:history="1">
                    <w:r w:rsidRPr="00397A3E">
                      <w:rPr>
                        <w:rStyle w:val="Hyperlink"/>
                        <w:rFonts w:cs="Arial"/>
                        <w:noProof w:val="0"/>
                        <w:sz w:val="16"/>
                      </w:rPr>
                      <w:t>ecos@ecosec.com.au</w:t>
                    </w:r>
                  </w:hyperlink>
                </w:p>
              </w:tc>
            </w:tr>
            <w:tr w:rsidR="00785848" w14:paraId="01404902" w14:textId="77777777" w:rsidTr="00C55583">
              <w:tc>
                <w:tcPr>
                  <w:tcW w:w="926" w:type="dxa"/>
                </w:tcPr>
                <w:p w14:paraId="2B5F3D93" w14:textId="77777777" w:rsidR="00C45E02" w:rsidRPr="00397A3E" w:rsidRDefault="00171C91" w:rsidP="00C45E02">
                  <w:pPr>
                    <w:spacing w:before="0" w:after="0" w:line="240" w:lineRule="auto"/>
                    <w:rPr>
                      <w:rFonts w:cs="Arial"/>
                      <w:b/>
                      <w:noProof w:val="0"/>
                      <w:color w:val="000000"/>
                      <w:sz w:val="16"/>
                    </w:rPr>
                  </w:pPr>
                  <w:r w:rsidRPr="00397A3E">
                    <w:rPr>
                      <w:rFonts w:cs="Arial"/>
                      <w:b/>
                      <w:noProof w:val="0"/>
                      <w:color w:val="000000"/>
                      <w:sz w:val="16"/>
                    </w:rPr>
                    <w:t>Web</w:t>
                  </w:r>
                </w:p>
              </w:tc>
              <w:tc>
                <w:tcPr>
                  <w:tcW w:w="2793" w:type="dxa"/>
                </w:tcPr>
                <w:p w14:paraId="7FC9F170" w14:textId="6F6A648A" w:rsidR="00C45E02" w:rsidRPr="00397A3E" w:rsidRDefault="00171C91" w:rsidP="00C45E02">
                  <w:pPr>
                    <w:spacing w:before="0" w:after="0" w:line="240" w:lineRule="auto"/>
                    <w:rPr>
                      <w:rFonts w:cs="Arial"/>
                      <w:noProof w:val="0"/>
                      <w:color w:val="000000"/>
                      <w:sz w:val="16"/>
                    </w:rPr>
                  </w:pPr>
                  <w:hyperlink r:id="rId15" w:history="1">
                    <w:r w:rsidRPr="00397A3E">
                      <w:rPr>
                        <w:rStyle w:val="Hyperlink"/>
                        <w:rFonts w:cs="Arial"/>
                        <w:noProof w:val="0"/>
                        <w:sz w:val="16"/>
                      </w:rPr>
                      <w:t>www.ecosec.com.au</w:t>
                    </w:r>
                  </w:hyperlink>
                </w:p>
              </w:tc>
            </w:tr>
          </w:tbl>
          <w:p w14:paraId="1A3D73D2" w14:textId="77777777" w:rsidR="00C45E02" w:rsidRPr="00397A3E" w:rsidRDefault="00C45E02" w:rsidP="00C45E02">
            <w:pPr>
              <w:spacing w:before="0"/>
              <w:rPr>
                <w:rFonts w:cs="Arial"/>
                <w:noProof w:val="0"/>
                <w:color w:val="000000"/>
                <w:sz w:val="16"/>
              </w:rPr>
            </w:pPr>
          </w:p>
        </w:tc>
      </w:tr>
      <w:tr w:rsidR="00785848" w14:paraId="0B1CBAB3" w14:textId="77777777" w:rsidTr="00C45E02">
        <w:tc>
          <w:tcPr>
            <w:tcW w:w="1869" w:type="dxa"/>
          </w:tcPr>
          <w:p w14:paraId="51759B92" w14:textId="77777777" w:rsidR="00C45E02" w:rsidRPr="00397A3E" w:rsidRDefault="00171C91" w:rsidP="00C45E02">
            <w:pPr>
              <w:rPr>
                <w:b/>
                <w:noProof w:val="0"/>
                <w:color w:val="000000"/>
                <w:sz w:val="16"/>
              </w:rPr>
            </w:pPr>
            <w:r w:rsidRPr="00397A3E">
              <w:rPr>
                <w:b/>
                <w:noProof w:val="0"/>
                <w:color w:val="000000"/>
                <w:sz w:val="16"/>
              </w:rPr>
              <w:t>File name</w:t>
            </w:r>
          </w:p>
        </w:tc>
        <w:tc>
          <w:tcPr>
            <w:tcW w:w="5784" w:type="dxa"/>
          </w:tcPr>
          <w:p w14:paraId="27DE02C3" w14:textId="6E1E72FF" w:rsidR="00C45E02" w:rsidRPr="00397A3E" w:rsidRDefault="00A70C0E" w:rsidP="009F068F">
            <w:pPr>
              <w:rPr>
                <w:noProof w:val="0"/>
                <w:color w:val="000000"/>
                <w:sz w:val="16"/>
                <w:szCs w:val="16"/>
              </w:rPr>
            </w:pPr>
            <w:r w:rsidRPr="00A70C0E">
              <w:rPr>
                <w:noProof w:val="0"/>
                <w:color w:val="000000"/>
                <w:sz w:val="16"/>
                <w:szCs w:val="16"/>
              </w:rPr>
              <w:t>Y:\Ecos Projects\1344 - NHMRC Narrative reviews for RWQAC\Report - Final\Microbial Risks\1344 - Evidence Evaluation Report Microbial Risks - Final 24June2022.docx</w:t>
            </w:r>
          </w:p>
        </w:tc>
      </w:tr>
      <w:tr w:rsidR="00785848" w14:paraId="5183FA55" w14:textId="77777777" w:rsidTr="00C45E02">
        <w:tc>
          <w:tcPr>
            <w:tcW w:w="1869" w:type="dxa"/>
          </w:tcPr>
          <w:p w14:paraId="68331FEB" w14:textId="77777777" w:rsidR="00C45E02" w:rsidRPr="00397A3E" w:rsidRDefault="00171C91" w:rsidP="00C45E02">
            <w:pPr>
              <w:rPr>
                <w:b/>
                <w:noProof w:val="0"/>
                <w:color w:val="000000"/>
                <w:sz w:val="16"/>
              </w:rPr>
            </w:pPr>
            <w:r w:rsidRPr="00397A3E">
              <w:rPr>
                <w:b/>
                <w:noProof w:val="0"/>
                <w:color w:val="000000"/>
                <w:sz w:val="16"/>
              </w:rPr>
              <w:t>Client</w:t>
            </w:r>
          </w:p>
        </w:tc>
        <w:tc>
          <w:tcPr>
            <w:tcW w:w="5784" w:type="dxa"/>
          </w:tcPr>
          <w:p w14:paraId="0C5C71BC" w14:textId="4DF428BF" w:rsidR="00C45E02" w:rsidRPr="00397A3E" w:rsidRDefault="00171C91" w:rsidP="00C45E02">
            <w:pPr>
              <w:rPr>
                <w:noProof w:val="0"/>
                <w:color w:val="000000"/>
                <w:sz w:val="16"/>
              </w:rPr>
            </w:pPr>
            <w:r w:rsidRPr="00397A3E">
              <w:rPr>
                <w:noProof w:val="0"/>
                <w:color w:val="000000"/>
                <w:sz w:val="16"/>
              </w:rPr>
              <w:t xml:space="preserve">Dr </w:t>
            </w:r>
            <w:r w:rsidR="0048257F" w:rsidRPr="00397A3E">
              <w:rPr>
                <w:noProof w:val="0"/>
                <w:color w:val="000000"/>
                <w:sz w:val="16"/>
              </w:rPr>
              <w:t>Kristal Jackson</w:t>
            </w:r>
          </w:p>
        </w:tc>
      </w:tr>
      <w:tr w:rsidR="00785848" w14:paraId="42E2402B" w14:textId="77777777" w:rsidTr="00C45E02">
        <w:tc>
          <w:tcPr>
            <w:tcW w:w="1869" w:type="dxa"/>
          </w:tcPr>
          <w:p w14:paraId="4F278231" w14:textId="77777777" w:rsidR="00C45E02" w:rsidRPr="00397A3E" w:rsidRDefault="00171C91" w:rsidP="00C45E02">
            <w:pPr>
              <w:rPr>
                <w:b/>
                <w:noProof w:val="0"/>
                <w:color w:val="000000"/>
                <w:sz w:val="16"/>
              </w:rPr>
            </w:pPr>
            <w:r w:rsidRPr="00397A3E">
              <w:rPr>
                <w:b/>
                <w:noProof w:val="0"/>
                <w:color w:val="000000"/>
                <w:sz w:val="16"/>
              </w:rPr>
              <w:t>Name of organisation</w:t>
            </w:r>
          </w:p>
        </w:tc>
        <w:tc>
          <w:tcPr>
            <w:tcW w:w="5784" w:type="dxa"/>
          </w:tcPr>
          <w:p w14:paraId="39BA808C" w14:textId="612EB7DF" w:rsidR="00C45E02" w:rsidRPr="00397A3E" w:rsidRDefault="00171C91" w:rsidP="00C45E02">
            <w:pPr>
              <w:rPr>
                <w:noProof w:val="0"/>
                <w:color w:val="000000"/>
                <w:sz w:val="16"/>
              </w:rPr>
            </w:pPr>
            <w:r w:rsidRPr="00397A3E">
              <w:rPr>
                <w:noProof w:val="0"/>
                <w:color w:val="000000"/>
                <w:sz w:val="16"/>
              </w:rPr>
              <w:t>National Health and Medical Research Council (NHMRC)</w:t>
            </w:r>
          </w:p>
        </w:tc>
      </w:tr>
      <w:tr w:rsidR="00785848" w14:paraId="229FE39E" w14:textId="77777777" w:rsidTr="00C45E02">
        <w:tc>
          <w:tcPr>
            <w:tcW w:w="1869" w:type="dxa"/>
          </w:tcPr>
          <w:p w14:paraId="7CC48C22" w14:textId="77777777" w:rsidR="00C45E02" w:rsidRPr="00397A3E" w:rsidRDefault="00171C91" w:rsidP="00C45E02">
            <w:pPr>
              <w:rPr>
                <w:b/>
                <w:noProof w:val="0"/>
                <w:color w:val="000000"/>
                <w:sz w:val="16"/>
              </w:rPr>
            </w:pPr>
            <w:r w:rsidRPr="00397A3E">
              <w:rPr>
                <w:b/>
                <w:noProof w:val="0"/>
                <w:color w:val="000000"/>
                <w:sz w:val="16"/>
              </w:rPr>
              <w:t>Name of project</w:t>
            </w:r>
          </w:p>
        </w:tc>
        <w:tc>
          <w:tcPr>
            <w:tcW w:w="5784" w:type="dxa"/>
          </w:tcPr>
          <w:p w14:paraId="1B40DE61" w14:textId="6D8609B9" w:rsidR="00C45E02" w:rsidRPr="00397A3E" w:rsidRDefault="00171C91" w:rsidP="00C45E02">
            <w:pPr>
              <w:rPr>
                <w:noProof w:val="0"/>
                <w:color w:val="000000"/>
                <w:sz w:val="16"/>
              </w:rPr>
            </w:pPr>
            <w:r w:rsidRPr="00397A3E">
              <w:rPr>
                <w:noProof w:val="0"/>
                <w:color w:val="000000"/>
                <w:sz w:val="16"/>
              </w:rPr>
              <w:t xml:space="preserve">Evidence Evaluation </w:t>
            </w:r>
            <w:r w:rsidR="00F47F81" w:rsidRPr="00397A3E">
              <w:rPr>
                <w:noProof w:val="0"/>
                <w:color w:val="000000"/>
                <w:sz w:val="16"/>
              </w:rPr>
              <w:t xml:space="preserve">Report </w:t>
            </w:r>
            <w:r w:rsidR="0048257F" w:rsidRPr="00397A3E">
              <w:rPr>
                <w:noProof w:val="0"/>
                <w:color w:val="000000"/>
                <w:sz w:val="16"/>
              </w:rPr>
              <w:t xml:space="preserve">for </w:t>
            </w:r>
            <w:r w:rsidR="00BE0642" w:rsidRPr="00397A3E">
              <w:rPr>
                <w:noProof w:val="0"/>
                <w:color w:val="000000"/>
                <w:sz w:val="16"/>
              </w:rPr>
              <w:t xml:space="preserve">NHMRC </w:t>
            </w:r>
            <w:r w:rsidR="0048257F" w:rsidRPr="00397A3E">
              <w:rPr>
                <w:noProof w:val="0"/>
                <w:color w:val="000000"/>
                <w:sz w:val="16"/>
              </w:rPr>
              <w:t>Recreational Water Quality Advisory Committee</w:t>
            </w:r>
          </w:p>
        </w:tc>
      </w:tr>
      <w:tr w:rsidR="00785848" w14:paraId="04D463B0" w14:textId="77777777" w:rsidTr="00C45E02">
        <w:tc>
          <w:tcPr>
            <w:tcW w:w="1869" w:type="dxa"/>
          </w:tcPr>
          <w:p w14:paraId="6AEBD699" w14:textId="77777777" w:rsidR="00C45E02" w:rsidRPr="00397A3E" w:rsidRDefault="00171C91" w:rsidP="00C45E02">
            <w:pPr>
              <w:rPr>
                <w:b/>
                <w:noProof w:val="0"/>
                <w:color w:val="000000"/>
                <w:sz w:val="16"/>
              </w:rPr>
            </w:pPr>
            <w:r w:rsidRPr="00397A3E">
              <w:rPr>
                <w:b/>
                <w:noProof w:val="0"/>
                <w:color w:val="000000"/>
                <w:sz w:val="16"/>
              </w:rPr>
              <w:t>Name of document</w:t>
            </w:r>
          </w:p>
        </w:tc>
        <w:tc>
          <w:tcPr>
            <w:tcW w:w="5784" w:type="dxa"/>
          </w:tcPr>
          <w:p w14:paraId="7494A03E" w14:textId="7292BA82" w:rsidR="00C45E02" w:rsidRPr="00397A3E" w:rsidRDefault="00A70C0E" w:rsidP="009F068F">
            <w:pPr>
              <w:rPr>
                <w:noProof w:val="0"/>
                <w:color w:val="000000"/>
                <w:sz w:val="16"/>
              </w:rPr>
            </w:pPr>
            <w:r w:rsidRPr="00A70C0E">
              <w:rPr>
                <w:noProof w:val="0"/>
                <w:color w:val="000000"/>
                <w:sz w:val="16"/>
              </w:rPr>
              <w:t>1344 - Evidence Evaluation Report Microbial Risks - Final 24June2022</w:t>
            </w:r>
          </w:p>
        </w:tc>
      </w:tr>
      <w:tr w:rsidR="00785848" w14:paraId="49439810" w14:textId="77777777" w:rsidTr="00C45E02">
        <w:tc>
          <w:tcPr>
            <w:tcW w:w="1869" w:type="dxa"/>
          </w:tcPr>
          <w:p w14:paraId="6300FF79" w14:textId="77777777" w:rsidR="00C45E02" w:rsidRPr="00397A3E" w:rsidRDefault="00171C91" w:rsidP="00C45E02">
            <w:pPr>
              <w:rPr>
                <w:b/>
                <w:noProof w:val="0"/>
                <w:color w:val="000000"/>
                <w:sz w:val="16"/>
              </w:rPr>
            </w:pPr>
            <w:r w:rsidRPr="00397A3E">
              <w:rPr>
                <w:b/>
                <w:noProof w:val="0"/>
                <w:color w:val="000000"/>
                <w:sz w:val="16"/>
              </w:rPr>
              <w:t>Document version</w:t>
            </w:r>
          </w:p>
        </w:tc>
        <w:tc>
          <w:tcPr>
            <w:tcW w:w="5784" w:type="dxa"/>
          </w:tcPr>
          <w:p w14:paraId="3855A910" w14:textId="4870DBD1" w:rsidR="00C45E02" w:rsidRPr="00397A3E" w:rsidRDefault="00171C91" w:rsidP="009F068F">
            <w:pPr>
              <w:rPr>
                <w:noProof w:val="0"/>
                <w:color w:val="000000"/>
                <w:sz w:val="16"/>
              </w:rPr>
            </w:pPr>
            <w:r w:rsidRPr="00397A3E">
              <w:rPr>
                <w:noProof w:val="0"/>
                <w:color w:val="000000"/>
                <w:sz w:val="16"/>
              </w:rPr>
              <w:t>1</w:t>
            </w:r>
            <w:r w:rsidR="00F47F81" w:rsidRPr="00397A3E">
              <w:rPr>
                <w:noProof w:val="0"/>
                <w:color w:val="000000"/>
                <w:sz w:val="16"/>
              </w:rPr>
              <w:t>.</w:t>
            </w:r>
            <w:r w:rsidR="0042092F">
              <w:rPr>
                <w:noProof w:val="0"/>
                <w:color w:val="000000"/>
                <w:sz w:val="16"/>
              </w:rPr>
              <w:t>2</w:t>
            </w:r>
          </w:p>
        </w:tc>
      </w:tr>
      <w:tr w:rsidR="00785848" w14:paraId="7CB248CB" w14:textId="77777777" w:rsidTr="00C45E02">
        <w:tc>
          <w:tcPr>
            <w:tcW w:w="1869" w:type="dxa"/>
          </w:tcPr>
          <w:p w14:paraId="412D8211" w14:textId="77777777" w:rsidR="00837E00" w:rsidRPr="00397A3E" w:rsidRDefault="00171C91" w:rsidP="00837E00">
            <w:pPr>
              <w:rPr>
                <w:rFonts w:cs="Arial"/>
                <w:b/>
                <w:noProof w:val="0"/>
                <w:color w:val="000000"/>
                <w:sz w:val="16"/>
              </w:rPr>
            </w:pPr>
            <w:r w:rsidRPr="00397A3E">
              <w:rPr>
                <w:rFonts w:cs="Arial"/>
                <w:b/>
                <w:noProof w:val="0"/>
                <w:color w:val="000000"/>
                <w:sz w:val="16"/>
              </w:rPr>
              <w:t>Citation</w:t>
            </w:r>
          </w:p>
        </w:tc>
        <w:tc>
          <w:tcPr>
            <w:tcW w:w="5784" w:type="dxa"/>
          </w:tcPr>
          <w:p w14:paraId="09E3A15E" w14:textId="4024DB82" w:rsidR="00837E00" w:rsidRPr="00397A3E" w:rsidRDefault="00171C91" w:rsidP="00737542">
            <w:pPr>
              <w:rPr>
                <w:rFonts w:cs="Arial"/>
                <w:noProof w:val="0"/>
                <w:color w:val="000000"/>
                <w:sz w:val="16"/>
              </w:rPr>
            </w:pPr>
            <w:r w:rsidRPr="00397A3E">
              <w:rPr>
                <w:rFonts w:cs="Arial"/>
                <w:noProof w:val="0"/>
                <w:color w:val="000000"/>
                <w:sz w:val="16"/>
              </w:rPr>
              <w:t>O’Connor, N.A.</w:t>
            </w:r>
            <w:r w:rsidR="00620DAE" w:rsidRPr="00397A3E">
              <w:rPr>
                <w:rFonts w:cs="Arial"/>
                <w:noProof w:val="0"/>
                <w:color w:val="000000"/>
                <w:sz w:val="16"/>
              </w:rPr>
              <w:t xml:space="preserve"> </w:t>
            </w:r>
            <w:r w:rsidRPr="00397A3E">
              <w:rPr>
                <w:rFonts w:cs="Arial"/>
                <w:noProof w:val="0"/>
                <w:color w:val="000000"/>
                <w:sz w:val="16"/>
              </w:rPr>
              <w:t>(20</w:t>
            </w:r>
            <w:r w:rsidR="0048257F" w:rsidRPr="00397A3E">
              <w:rPr>
                <w:rFonts w:cs="Arial"/>
                <w:noProof w:val="0"/>
                <w:color w:val="000000"/>
                <w:sz w:val="16"/>
              </w:rPr>
              <w:t>2</w:t>
            </w:r>
            <w:r w:rsidR="004C13C4">
              <w:rPr>
                <w:rFonts w:cs="Arial"/>
                <w:noProof w:val="0"/>
                <w:color w:val="000000"/>
                <w:sz w:val="16"/>
              </w:rPr>
              <w:t>2</w:t>
            </w:r>
            <w:r w:rsidRPr="00397A3E">
              <w:rPr>
                <w:rFonts w:cs="Arial"/>
                <w:noProof w:val="0"/>
                <w:color w:val="000000"/>
                <w:sz w:val="16"/>
              </w:rPr>
              <w:t xml:space="preserve">).  </w:t>
            </w:r>
            <w:r w:rsidR="00111E63" w:rsidRPr="00397A3E">
              <w:rPr>
                <w:rFonts w:cs="Arial"/>
                <w:noProof w:val="0"/>
                <w:color w:val="000000"/>
                <w:sz w:val="16"/>
              </w:rPr>
              <w:t xml:space="preserve">Evidence Evaluation </w:t>
            </w:r>
            <w:r w:rsidR="00F47F81" w:rsidRPr="00397A3E">
              <w:rPr>
                <w:rFonts w:cs="Arial"/>
                <w:noProof w:val="0"/>
                <w:color w:val="000000"/>
                <w:sz w:val="16"/>
              </w:rPr>
              <w:t xml:space="preserve">Report </w:t>
            </w:r>
            <w:r w:rsidR="00737542" w:rsidRPr="00397A3E">
              <w:rPr>
                <w:rFonts w:cs="Arial"/>
                <w:noProof w:val="0"/>
                <w:color w:val="000000"/>
                <w:sz w:val="16"/>
              </w:rPr>
              <w:t xml:space="preserve">for Narrative Review in support of the NHMRC Recreational Water Quality Guidelines: </w:t>
            </w:r>
            <w:r w:rsidR="00F93DD8" w:rsidRPr="00397A3E">
              <w:rPr>
                <w:rFonts w:cs="Arial"/>
                <w:noProof w:val="0"/>
                <w:color w:val="000000"/>
                <w:sz w:val="16"/>
              </w:rPr>
              <w:t>Microbial Risks</w:t>
            </w:r>
            <w:r w:rsidRPr="00397A3E">
              <w:rPr>
                <w:rFonts w:cs="Arial"/>
                <w:noProof w:val="0"/>
                <w:color w:val="000000"/>
                <w:sz w:val="16"/>
              </w:rPr>
              <w:t xml:space="preserve">. </w:t>
            </w:r>
            <w:r w:rsidR="00913FCC" w:rsidRPr="00397A3E">
              <w:rPr>
                <w:rFonts w:cs="Arial"/>
                <w:noProof w:val="0"/>
                <w:color w:val="000000"/>
                <w:sz w:val="16"/>
              </w:rPr>
              <w:t xml:space="preserve">Ecos Environmental Consulting, </w:t>
            </w:r>
            <w:r w:rsidR="0042092F">
              <w:rPr>
                <w:rFonts w:cs="Arial"/>
                <w:noProof w:val="0"/>
                <w:color w:val="000000"/>
                <w:sz w:val="16"/>
              </w:rPr>
              <w:t>June</w:t>
            </w:r>
            <w:r w:rsidR="0042092F" w:rsidRPr="00397A3E">
              <w:rPr>
                <w:rFonts w:cs="Arial"/>
                <w:noProof w:val="0"/>
                <w:color w:val="000000"/>
                <w:sz w:val="16"/>
              </w:rPr>
              <w:t xml:space="preserve"> </w:t>
            </w:r>
            <w:r w:rsidRPr="00397A3E">
              <w:rPr>
                <w:rFonts w:cs="Arial"/>
                <w:noProof w:val="0"/>
                <w:color w:val="000000"/>
                <w:sz w:val="16"/>
              </w:rPr>
              <w:t>20</w:t>
            </w:r>
            <w:r w:rsidR="0048257F" w:rsidRPr="00397A3E">
              <w:rPr>
                <w:rFonts w:cs="Arial"/>
                <w:noProof w:val="0"/>
                <w:color w:val="000000"/>
                <w:sz w:val="16"/>
              </w:rPr>
              <w:t>2</w:t>
            </w:r>
            <w:r w:rsidR="004C13C4">
              <w:rPr>
                <w:rFonts w:cs="Arial"/>
                <w:noProof w:val="0"/>
                <w:color w:val="000000"/>
                <w:sz w:val="16"/>
              </w:rPr>
              <w:t>2</w:t>
            </w:r>
          </w:p>
        </w:tc>
      </w:tr>
      <w:tr w:rsidR="00785848" w14:paraId="225D927A" w14:textId="77777777" w:rsidTr="00C45E02">
        <w:tc>
          <w:tcPr>
            <w:tcW w:w="1869" w:type="dxa"/>
          </w:tcPr>
          <w:p w14:paraId="5E9F960B" w14:textId="77777777" w:rsidR="00837E00" w:rsidRPr="00397A3E" w:rsidRDefault="00171C91" w:rsidP="00837E00">
            <w:pPr>
              <w:rPr>
                <w:b/>
                <w:noProof w:val="0"/>
                <w:color w:val="000000"/>
                <w:sz w:val="16"/>
              </w:rPr>
            </w:pPr>
            <w:r w:rsidRPr="00397A3E">
              <w:rPr>
                <w:b/>
                <w:noProof w:val="0"/>
                <w:color w:val="000000"/>
                <w:sz w:val="16"/>
              </w:rPr>
              <w:t>Cover</w:t>
            </w:r>
          </w:p>
        </w:tc>
        <w:tc>
          <w:tcPr>
            <w:tcW w:w="5784" w:type="dxa"/>
          </w:tcPr>
          <w:p w14:paraId="2B4C1F68" w14:textId="77777777" w:rsidR="00837E00" w:rsidRPr="00397A3E" w:rsidRDefault="00171C91" w:rsidP="00837E00">
            <w:pPr>
              <w:rPr>
                <w:noProof w:val="0"/>
                <w:color w:val="000000"/>
                <w:sz w:val="16"/>
              </w:rPr>
            </w:pPr>
            <w:r w:rsidRPr="00397A3E">
              <w:rPr>
                <w:noProof w:val="0"/>
                <w:color w:val="000000"/>
                <w:sz w:val="16"/>
              </w:rPr>
              <w:t>Images and logos are © Ecos Environmental Consulting</w:t>
            </w:r>
          </w:p>
        </w:tc>
      </w:tr>
      <w:tr w:rsidR="00785848" w14:paraId="5BB889B8" w14:textId="77777777" w:rsidTr="00C45E02">
        <w:tc>
          <w:tcPr>
            <w:tcW w:w="1869" w:type="dxa"/>
          </w:tcPr>
          <w:p w14:paraId="7AC926E9" w14:textId="77777777" w:rsidR="00837E00" w:rsidRPr="00397A3E" w:rsidRDefault="00171C91" w:rsidP="00837E00">
            <w:pPr>
              <w:rPr>
                <w:b/>
                <w:noProof w:val="0"/>
                <w:color w:val="000000"/>
                <w:sz w:val="16"/>
              </w:rPr>
            </w:pPr>
            <w:r w:rsidRPr="00397A3E">
              <w:rPr>
                <w:b/>
                <w:noProof w:val="0"/>
                <w:color w:val="000000"/>
                <w:sz w:val="16"/>
              </w:rPr>
              <w:t>Sensitivity</w:t>
            </w:r>
          </w:p>
        </w:tc>
        <w:tc>
          <w:tcPr>
            <w:tcW w:w="5784" w:type="dxa"/>
          </w:tcPr>
          <w:p w14:paraId="11E6BB9F" w14:textId="42E13D5E" w:rsidR="00837E00" w:rsidRPr="00397A3E" w:rsidRDefault="00171C91" w:rsidP="00837E00">
            <w:pPr>
              <w:rPr>
                <w:noProof w:val="0"/>
                <w:color w:val="000000"/>
                <w:sz w:val="16"/>
              </w:rPr>
            </w:pPr>
            <w:r w:rsidRPr="00397A3E">
              <w:rPr>
                <w:noProof w:val="0"/>
                <w:color w:val="000000"/>
                <w:sz w:val="16"/>
              </w:rPr>
              <w:t xml:space="preserve">This document and the information, ideas, concepts, methodologies, </w:t>
            </w:r>
            <w:r w:rsidR="00704440" w:rsidRPr="00397A3E">
              <w:rPr>
                <w:noProof w:val="0"/>
                <w:color w:val="000000"/>
                <w:sz w:val="16"/>
              </w:rPr>
              <w:t>technologies,</w:t>
            </w:r>
            <w:r w:rsidRPr="00397A3E">
              <w:rPr>
                <w:noProof w:val="0"/>
                <w:color w:val="000000"/>
                <w:sz w:val="16"/>
              </w:rPr>
              <w:t xml:space="preserve"> and other material it contains remain the intellectual property of Ecos Environmental Consulting P/L and </w:t>
            </w:r>
            <w:r w:rsidR="0048257F" w:rsidRPr="00397A3E">
              <w:rPr>
                <w:noProof w:val="0"/>
                <w:color w:val="000000"/>
                <w:sz w:val="16"/>
              </w:rPr>
              <w:t>NH</w:t>
            </w:r>
            <w:r w:rsidR="00D76DFB" w:rsidRPr="00397A3E">
              <w:rPr>
                <w:noProof w:val="0"/>
                <w:color w:val="000000"/>
                <w:sz w:val="16"/>
              </w:rPr>
              <w:t>M</w:t>
            </w:r>
            <w:r w:rsidR="0048257F" w:rsidRPr="00397A3E">
              <w:rPr>
                <w:noProof w:val="0"/>
                <w:color w:val="000000"/>
                <w:sz w:val="16"/>
              </w:rPr>
              <w:t>RC</w:t>
            </w:r>
            <w:r w:rsidRPr="00397A3E">
              <w:rPr>
                <w:noProof w:val="0"/>
                <w:color w:val="000000"/>
                <w:sz w:val="16"/>
              </w:rPr>
              <w:t>.  The document is not to be copied without the express permission of at least one of the above parties.</w:t>
            </w:r>
          </w:p>
        </w:tc>
      </w:tr>
    </w:tbl>
    <w:p w14:paraId="2BCAEA9B" w14:textId="229716E6" w:rsidR="00713942" w:rsidRPr="00397A3E" w:rsidRDefault="00713942" w:rsidP="00713942">
      <w:pPr>
        <w:rPr>
          <w:noProof w:val="0"/>
          <w:highlight w:val="yellow"/>
        </w:rPr>
      </w:pPr>
    </w:p>
    <w:p w14:paraId="19564030" w14:textId="77777777" w:rsidR="00713942" w:rsidRPr="00397A3E" w:rsidRDefault="00713942" w:rsidP="00713942">
      <w:pPr>
        <w:rPr>
          <w:noProof w:val="0"/>
          <w:highlight w:val="yellow"/>
        </w:rPr>
      </w:pPr>
    </w:p>
    <w:p w14:paraId="0BAC4C5D" w14:textId="28168DD8" w:rsidR="009F5023" w:rsidRPr="00397A3E" w:rsidRDefault="00171C91" w:rsidP="00D41AAE">
      <w:pPr>
        <w:pStyle w:val="Non-numberedHeading1"/>
        <w:outlineLvl w:val="0"/>
        <w:rPr>
          <w:noProof w:val="0"/>
        </w:rPr>
      </w:pPr>
      <w:r w:rsidRPr="00397A3E">
        <w:rPr>
          <w:noProof w:val="0"/>
        </w:rPr>
        <w:lastRenderedPageBreak/>
        <w:t>Executive Summary</w:t>
      </w:r>
    </w:p>
    <w:p w14:paraId="783AB82E" w14:textId="6EB26F09" w:rsidR="0097602E" w:rsidRPr="00397A3E" w:rsidRDefault="00171C91" w:rsidP="0097602E">
      <w:pPr>
        <w:rPr>
          <w:b/>
          <w:bCs/>
          <w:noProof w:val="0"/>
          <w:color w:val="008000"/>
        </w:rPr>
      </w:pPr>
      <w:bookmarkStart w:id="0" w:name="_Hlk72506086"/>
      <w:r w:rsidRPr="00397A3E">
        <w:rPr>
          <w:b/>
          <w:bCs/>
          <w:noProof w:val="0"/>
          <w:color w:val="008000"/>
        </w:rPr>
        <w:t>Background</w:t>
      </w:r>
    </w:p>
    <w:p w14:paraId="675F754E" w14:textId="0B56479B" w:rsidR="00B86DEF" w:rsidRPr="004C13C4" w:rsidRDefault="00171C91" w:rsidP="0045465B">
      <w:pPr>
        <w:rPr>
          <w:noProof w:val="0"/>
        </w:rPr>
      </w:pPr>
      <w:r w:rsidRPr="004C13C4">
        <w:rPr>
          <w:noProof w:val="0"/>
        </w:rPr>
        <w:t>The National Health and Medical Research Council (NHMRC) commissioned Ecos Environmental Consulting P</w:t>
      </w:r>
      <w:r w:rsidR="00AF7656" w:rsidRPr="004C13C4">
        <w:rPr>
          <w:noProof w:val="0"/>
        </w:rPr>
        <w:t xml:space="preserve">ty </w:t>
      </w:r>
      <w:r w:rsidRPr="004C13C4">
        <w:rPr>
          <w:noProof w:val="0"/>
        </w:rPr>
        <w:t>L</w:t>
      </w:r>
      <w:r w:rsidR="00AF7656" w:rsidRPr="004C13C4">
        <w:rPr>
          <w:noProof w:val="0"/>
        </w:rPr>
        <w:t>td</w:t>
      </w:r>
      <w:r w:rsidRPr="004C13C4">
        <w:rPr>
          <w:noProof w:val="0"/>
        </w:rPr>
        <w:t xml:space="preserve"> (Ecos) to conduct this Evidence Evaluation Report as part of a narrative review on </w:t>
      </w:r>
      <w:r w:rsidR="004C13C4" w:rsidRPr="004C13C4">
        <w:rPr>
          <w:noProof w:val="0"/>
        </w:rPr>
        <w:t>microbial</w:t>
      </w:r>
      <w:r w:rsidR="0045465B" w:rsidRPr="004C13C4">
        <w:rPr>
          <w:noProof w:val="0"/>
        </w:rPr>
        <w:t xml:space="preserve"> </w:t>
      </w:r>
      <w:r w:rsidR="004C13C4" w:rsidRPr="004C13C4">
        <w:rPr>
          <w:noProof w:val="0"/>
        </w:rPr>
        <w:t>risks</w:t>
      </w:r>
      <w:r w:rsidR="0045465B" w:rsidRPr="004C13C4">
        <w:rPr>
          <w:noProof w:val="0"/>
        </w:rPr>
        <w:t xml:space="preserve"> in recreational waters </w:t>
      </w:r>
      <w:r w:rsidRPr="004C13C4">
        <w:rPr>
          <w:noProof w:val="0"/>
        </w:rPr>
        <w:t xml:space="preserve">that will be used to update the </w:t>
      </w:r>
      <w:r w:rsidRPr="004C13C4">
        <w:rPr>
          <w:i/>
          <w:iCs/>
          <w:noProof w:val="0"/>
        </w:rPr>
        <w:t xml:space="preserve">Guidelines for Managing Risks </w:t>
      </w:r>
      <w:r w:rsidR="007C49C8">
        <w:rPr>
          <w:i/>
          <w:iCs/>
          <w:noProof w:val="0"/>
        </w:rPr>
        <w:t>in</w:t>
      </w:r>
      <w:r w:rsidR="007C49C8" w:rsidRPr="004C13C4">
        <w:rPr>
          <w:i/>
          <w:iCs/>
          <w:noProof w:val="0"/>
        </w:rPr>
        <w:t xml:space="preserve"> </w:t>
      </w:r>
      <w:r w:rsidRPr="004C13C4">
        <w:rPr>
          <w:i/>
          <w:iCs/>
          <w:noProof w:val="0"/>
        </w:rPr>
        <w:t xml:space="preserve">Recreational Water </w:t>
      </w:r>
      <w:r w:rsidRPr="004C13C4">
        <w:rPr>
          <w:iCs/>
          <w:noProof w:val="0"/>
        </w:rPr>
        <w:fldChar w:fldCharType="begin"/>
      </w:r>
      <w:r w:rsidRPr="004C13C4">
        <w:rPr>
          <w:iCs/>
          <w:noProof w:val="0"/>
        </w:rPr>
        <w:instrText xml:space="preserve"> ADDIN ZOTERO_ITEM CSL_CITATION {"citationID":"5dXRZHiP","properties":{"formattedCitation":"(NHMRC,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4C13C4">
        <w:rPr>
          <w:iCs/>
          <w:noProof w:val="0"/>
        </w:rPr>
        <w:fldChar w:fldCharType="separate"/>
      </w:r>
      <w:r w:rsidRPr="004C13C4">
        <w:rPr>
          <w:rFonts w:cs="Arial"/>
          <w:noProof w:val="0"/>
        </w:rPr>
        <w:t>(NHMRC, 2008)</w:t>
      </w:r>
      <w:r w:rsidRPr="004C13C4">
        <w:rPr>
          <w:iCs/>
          <w:noProof w:val="0"/>
        </w:rPr>
        <w:fldChar w:fldCharType="end"/>
      </w:r>
      <w:r w:rsidR="00B22E84" w:rsidRPr="004C13C4">
        <w:rPr>
          <w:iCs/>
          <w:noProof w:val="0"/>
        </w:rPr>
        <w:t xml:space="preserve"> (the Guidelines)</w:t>
      </w:r>
      <w:r w:rsidRPr="004C13C4">
        <w:rPr>
          <w:noProof w:val="0"/>
        </w:rPr>
        <w:t>.</w:t>
      </w:r>
    </w:p>
    <w:p w14:paraId="594C5E9A" w14:textId="77777777" w:rsidR="003946B1" w:rsidRPr="003946B1" w:rsidRDefault="00171C91" w:rsidP="003946B1">
      <w:pPr>
        <w:rPr>
          <w:noProof w:val="0"/>
        </w:rPr>
      </w:pPr>
      <w:r w:rsidRPr="003946B1">
        <w:rPr>
          <w:noProof w:val="0"/>
        </w:rPr>
        <w:t>Microbial risks in recreational waters may arise from a range of point and non-point (diffuse) sources in the catchment area of the particular recreational water body. For the update to the Australian recreational water guidelines, NHMRC considers it important to determine if there are any site-specific issues that could lead to higher exposures or types of microbial pathogens that may be problematic in most recreational water use situations.</w:t>
      </w:r>
    </w:p>
    <w:p w14:paraId="1F5C49C6" w14:textId="35661133" w:rsidR="0097602E" w:rsidRPr="00397A3E" w:rsidRDefault="00171C91" w:rsidP="00085457">
      <w:pPr>
        <w:rPr>
          <w:b/>
          <w:bCs/>
          <w:noProof w:val="0"/>
          <w:color w:val="008000"/>
        </w:rPr>
      </w:pPr>
      <w:r w:rsidRPr="00397A3E">
        <w:rPr>
          <w:b/>
          <w:bCs/>
          <w:noProof w:val="0"/>
          <w:color w:val="008000"/>
        </w:rPr>
        <w:t>Methods</w:t>
      </w:r>
    </w:p>
    <w:p w14:paraId="6491DB46" w14:textId="77777777" w:rsidR="003946B1" w:rsidRPr="003946B1" w:rsidRDefault="00171C91" w:rsidP="003946B1">
      <w:pPr>
        <w:rPr>
          <w:noProof w:val="0"/>
        </w:rPr>
      </w:pPr>
      <w:r w:rsidRPr="003946B1">
        <w:rPr>
          <w:noProof w:val="0"/>
        </w:rPr>
        <w:t xml:space="preserve">The review process followed a research protocol methodology developed specifically for this narrative review </w:t>
      </w:r>
      <w:r w:rsidRPr="003946B1">
        <w:rPr>
          <w:noProof w:val="0"/>
        </w:rPr>
        <w:fldChar w:fldCharType="begin"/>
      </w:r>
      <w:r w:rsidRPr="003946B1">
        <w:rPr>
          <w:noProof w:val="0"/>
        </w:rPr>
        <w:instrText xml:space="preserve"> ADDIN ZOTERO_ITEM CSL_CITATION {"citationID":"6xDdfxx8","properties":{"formattedCitation":"(O\\uc0\\u8217{}Connor, 2020)","plainCitation":"(O’Connor, 2020)","noteIndex":0},"citationItems":[{"id":17792,"uris":["http://zotero.org/users/148142/items/EFHNEC3E"],"uri":["http://zotero.org/users/148142/items/EFHNEC3E"],"itemData":{"id":17792,"type":"report","title":"Research Protocols for Narrative Reviews in support of the NHMRC Recreational Water Quality Guidelines: Microbial Risks. Ecos Environmental Consulting, September 2020","author":[{"family":"O'Connor","given":"N.A."}],"issued":{"date-parts":[["2020"]]}}}],"schema":"https://github.com/citation-style-language/schema/raw/master/csl-citation.json"} </w:instrText>
      </w:r>
      <w:r w:rsidRPr="003946B1">
        <w:rPr>
          <w:noProof w:val="0"/>
        </w:rPr>
        <w:fldChar w:fldCharType="separate"/>
      </w:r>
      <w:r w:rsidRPr="003946B1">
        <w:rPr>
          <w:noProof w:val="0"/>
        </w:rPr>
        <w:t>(O’Connor, 2020)</w:t>
      </w:r>
      <w:r w:rsidRPr="003946B1">
        <w:rPr>
          <w:noProof w:val="0"/>
        </w:rPr>
        <w:fldChar w:fldCharType="end"/>
      </w:r>
      <w:r w:rsidRPr="003946B1">
        <w:rPr>
          <w:noProof w:val="0"/>
        </w:rPr>
        <w:t xml:space="preserve">.  The protocol involved a systematic search of several international databases of primary scientific research literature (Scopus, Web of Science, PubMed, Google Scholar) using search strings constructed from an extensive key word list.  In addition to primary research literature, a search of grey literature, including existing recreational water quality guidelines and/or reports, was undertaken.  </w:t>
      </w:r>
    </w:p>
    <w:p w14:paraId="4A95EAD7" w14:textId="0805BFC2" w:rsidR="003946B1" w:rsidRPr="003946B1" w:rsidRDefault="00171C91" w:rsidP="003946B1">
      <w:pPr>
        <w:rPr>
          <w:noProof w:val="0"/>
        </w:rPr>
      </w:pPr>
      <w:r w:rsidRPr="003946B1">
        <w:rPr>
          <w:noProof w:val="0"/>
        </w:rPr>
        <w:t>The search strings were constructed to identify literature citations relevant to a primary research question and two secondary research questions supplied by NHM</w:t>
      </w:r>
      <w:r w:rsidR="0075369B">
        <w:rPr>
          <w:noProof w:val="0"/>
        </w:rPr>
        <w:t>R</w:t>
      </w:r>
      <w:r w:rsidRPr="003946B1">
        <w:rPr>
          <w:noProof w:val="0"/>
        </w:rPr>
        <w:t>C’s Recreational Water Quality Advisory Committee</w:t>
      </w:r>
      <w:r w:rsidR="001A5A7F">
        <w:rPr>
          <w:noProof w:val="0"/>
        </w:rPr>
        <w:t xml:space="preserve"> (the Committee)</w:t>
      </w:r>
      <w:r w:rsidRPr="003946B1">
        <w:rPr>
          <w:noProof w:val="0"/>
        </w:rPr>
        <w:t xml:space="preserve">.  The primary research question was: </w:t>
      </w:r>
    </w:p>
    <w:p w14:paraId="745F0ED9" w14:textId="77777777" w:rsidR="003946B1" w:rsidRPr="003946B1" w:rsidRDefault="00171C91" w:rsidP="003946B1">
      <w:pPr>
        <w:ind w:left="720"/>
        <w:rPr>
          <w:i/>
          <w:noProof w:val="0"/>
        </w:rPr>
      </w:pPr>
      <w:r w:rsidRPr="003946B1">
        <w:rPr>
          <w:i/>
          <w:noProof w:val="0"/>
        </w:rPr>
        <w:t>How can we monitor, assess and predict risks from diffuse and point source microbial contamination in recreational waters?</w:t>
      </w:r>
    </w:p>
    <w:p w14:paraId="7DC98560" w14:textId="77777777" w:rsidR="003946B1" w:rsidRPr="003946B1" w:rsidRDefault="00171C91" w:rsidP="003946B1">
      <w:pPr>
        <w:rPr>
          <w:noProof w:val="0"/>
        </w:rPr>
      </w:pPr>
      <w:r w:rsidRPr="003946B1">
        <w:rPr>
          <w:noProof w:val="0"/>
        </w:rPr>
        <w:t xml:space="preserve">The secondary questions were: </w:t>
      </w:r>
    </w:p>
    <w:p w14:paraId="370EBF78" w14:textId="77777777" w:rsidR="003946B1" w:rsidRPr="003946B1" w:rsidRDefault="00171C91" w:rsidP="00764500">
      <w:pPr>
        <w:numPr>
          <w:ilvl w:val="0"/>
          <w:numId w:val="53"/>
        </w:numPr>
        <w:ind w:left="714" w:hanging="357"/>
        <w:contextualSpacing/>
        <w:rPr>
          <w:i/>
          <w:noProof w:val="0"/>
        </w:rPr>
      </w:pPr>
      <w:r w:rsidRPr="003946B1">
        <w:rPr>
          <w:i/>
          <w:noProof w:val="0"/>
        </w:rPr>
        <w:t>What are the indicators/surrogates of this/these risk/s?</w:t>
      </w:r>
    </w:p>
    <w:p w14:paraId="4BD4215B" w14:textId="77777777" w:rsidR="003946B1" w:rsidRPr="003946B1" w:rsidRDefault="00171C91" w:rsidP="00764500">
      <w:pPr>
        <w:numPr>
          <w:ilvl w:val="0"/>
          <w:numId w:val="53"/>
        </w:numPr>
        <w:ind w:left="714" w:hanging="357"/>
        <w:rPr>
          <w:i/>
          <w:iCs/>
          <w:noProof w:val="0"/>
        </w:rPr>
      </w:pPr>
      <w:r w:rsidRPr="003946B1">
        <w:rPr>
          <w:i/>
          <w:iCs/>
          <w:noProof w:val="0"/>
        </w:rPr>
        <w:t>What are the current practices to minimise or manage this/these risk/s?</w:t>
      </w:r>
    </w:p>
    <w:p w14:paraId="241073D5" w14:textId="630B0262" w:rsidR="003946B1" w:rsidRPr="003946B1" w:rsidRDefault="00171C91" w:rsidP="003946B1">
      <w:pPr>
        <w:rPr>
          <w:noProof w:val="0"/>
        </w:rPr>
      </w:pPr>
      <w:r w:rsidRPr="003946B1">
        <w:rPr>
          <w:noProof w:val="0"/>
        </w:rPr>
        <w:t xml:space="preserve">To assist in appropriate assessment of the literature, the search results were classified into two broad categories; (i) </w:t>
      </w:r>
      <w:r w:rsidR="00D95421">
        <w:rPr>
          <w:noProof w:val="0"/>
        </w:rPr>
        <w:t>p</w:t>
      </w:r>
      <w:r w:rsidRPr="003946B1">
        <w:rPr>
          <w:noProof w:val="0"/>
        </w:rPr>
        <w:t xml:space="preserve">rimary </w:t>
      </w:r>
      <w:r w:rsidR="00D95421">
        <w:rPr>
          <w:noProof w:val="0"/>
        </w:rPr>
        <w:t>s</w:t>
      </w:r>
      <w:r w:rsidRPr="003946B1">
        <w:rPr>
          <w:noProof w:val="0"/>
        </w:rPr>
        <w:t xml:space="preserve">tudies that were largely peer-reviewed journal articles and (ii) </w:t>
      </w:r>
      <w:r w:rsidR="00D95421">
        <w:rPr>
          <w:noProof w:val="0"/>
        </w:rPr>
        <w:t>g</w:t>
      </w:r>
      <w:r w:rsidRPr="003946B1">
        <w:rPr>
          <w:noProof w:val="0"/>
        </w:rPr>
        <w:t xml:space="preserve">rey literature which were mainly regulatory guidelines or technical guidance publications produced by federal and state agencies in support of regulatory compliance goals. </w:t>
      </w:r>
    </w:p>
    <w:p w14:paraId="263868B4" w14:textId="3743ECF8" w:rsidR="003946B1" w:rsidRPr="003946B1" w:rsidRDefault="00171C91" w:rsidP="003946B1">
      <w:pPr>
        <w:rPr>
          <w:noProof w:val="0"/>
        </w:rPr>
      </w:pPr>
      <w:r w:rsidRPr="003946B1">
        <w:rPr>
          <w:noProof w:val="0"/>
        </w:rPr>
        <w:t xml:space="preserve">The publication date-range for inclusion was from 2003 to </w:t>
      </w:r>
      <w:bookmarkStart w:id="1" w:name="_Hlk94196892"/>
      <w:r w:rsidRPr="003946B1">
        <w:rPr>
          <w:noProof w:val="0"/>
        </w:rPr>
        <w:t>October 30th</w:t>
      </w:r>
      <w:bookmarkEnd w:id="1"/>
      <w:r w:rsidRPr="003946B1">
        <w:rPr>
          <w:noProof w:val="0"/>
        </w:rPr>
        <w:t>, 2020.</w:t>
      </w:r>
    </w:p>
    <w:p w14:paraId="1F27ECAC" w14:textId="0CD82EC7" w:rsidR="003946B1" w:rsidRPr="003946B1" w:rsidRDefault="00171C91" w:rsidP="003946B1">
      <w:pPr>
        <w:rPr>
          <w:noProof w:val="0"/>
        </w:rPr>
      </w:pPr>
      <w:r w:rsidRPr="003946B1">
        <w:rPr>
          <w:noProof w:val="0"/>
        </w:rPr>
        <w:t xml:space="preserve">The methodological quality of grey literature was assessed using administrative and technical criteria via an assessment tool which was developed </w:t>
      </w:r>
      <w:r w:rsidR="009A288F">
        <w:rPr>
          <w:noProof w:val="0"/>
        </w:rPr>
        <w:t xml:space="preserve">by NHMRC </w:t>
      </w:r>
      <w:r w:rsidRPr="003946B1">
        <w:rPr>
          <w:noProof w:val="0"/>
        </w:rPr>
        <w:t>based on common domains for assessing guidelines and systematic reviews such as the</w:t>
      </w:r>
      <w:r w:rsidR="001A5A7F">
        <w:rPr>
          <w:noProof w:val="0"/>
        </w:rPr>
        <w:t xml:space="preserve"> Appraisal of Guidelines, Research and Evaluation</w:t>
      </w:r>
      <w:r w:rsidRPr="003946B1">
        <w:rPr>
          <w:noProof w:val="0"/>
        </w:rPr>
        <w:t xml:space="preserve"> </w:t>
      </w:r>
      <w:r w:rsidR="001A5A7F" w:rsidRPr="001A5A7F">
        <w:rPr>
          <w:noProof w:val="0"/>
        </w:rPr>
        <w:t>(</w:t>
      </w:r>
      <w:hyperlink r:id="rId16" w:history="1">
        <w:r w:rsidRPr="00666D1F">
          <w:rPr>
            <w:rStyle w:val="Hyperlink"/>
            <w:noProof w:val="0"/>
            <w:color w:val="auto"/>
            <w:u w:val="none"/>
          </w:rPr>
          <w:t>AGREE</w:t>
        </w:r>
        <w:r w:rsidR="001A5A7F" w:rsidRPr="00666D1F">
          <w:rPr>
            <w:rStyle w:val="Hyperlink"/>
            <w:noProof w:val="0"/>
            <w:color w:val="auto"/>
            <w:u w:val="none"/>
          </w:rPr>
          <w:t>)</w:t>
        </w:r>
        <w:r w:rsidRPr="00666D1F">
          <w:rPr>
            <w:rStyle w:val="Hyperlink"/>
            <w:noProof w:val="0"/>
            <w:color w:val="auto"/>
            <w:u w:val="none"/>
          </w:rPr>
          <w:t xml:space="preserve"> tool</w:t>
        </w:r>
      </w:hyperlink>
      <w:r w:rsidRPr="003946B1">
        <w:rPr>
          <w:noProof w:val="0"/>
        </w:rPr>
        <w:t xml:space="preserve">.  For </w:t>
      </w:r>
      <w:r w:rsidR="00D95421">
        <w:rPr>
          <w:noProof w:val="0"/>
        </w:rPr>
        <w:t>p</w:t>
      </w:r>
      <w:r w:rsidRPr="003946B1">
        <w:rPr>
          <w:noProof w:val="0"/>
        </w:rPr>
        <w:t xml:space="preserve">rimary </w:t>
      </w:r>
      <w:r w:rsidR="00D95421">
        <w:rPr>
          <w:noProof w:val="0"/>
        </w:rPr>
        <w:t>s</w:t>
      </w:r>
      <w:r w:rsidRPr="003946B1">
        <w:rPr>
          <w:noProof w:val="0"/>
        </w:rPr>
        <w:t>tudies, a critical appraisal tool was used</w:t>
      </w:r>
      <w:r w:rsidR="00C10786">
        <w:rPr>
          <w:noProof w:val="0"/>
        </w:rPr>
        <w:t xml:space="preserve"> to undertake a quality assessment. The tool</w:t>
      </w:r>
      <w:r w:rsidRPr="003946B1">
        <w:rPr>
          <w:noProof w:val="0"/>
        </w:rPr>
        <w:t xml:space="preserve"> was based on approaches described by</w:t>
      </w:r>
      <w:r w:rsidR="009A288F">
        <w:rPr>
          <w:noProof w:val="0"/>
        </w:rPr>
        <w:t xml:space="preserve"> the</w:t>
      </w:r>
      <w:r w:rsidRPr="003946B1">
        <w:rPr>
          <w:noProof w:val="0"/>
        </w:rPr>
        <w:t xml:space="preserve"> </w:t>
      </w:r>
      <w:r w:rsidR="009A288F" w:rsidRPr="003946B1">
        <w:rPr>
          <w:noProof w:val="0"/>
        </w:rPr>
        <w:t xml:space="preserve">Critical Appraisal Skills Program </w:t>
      </w:r>
      <w:r w:rsidR="009A288F">
        <w:rPr>
          <w:noProof w:val="0"/>
        </w:rPr>
        <w:t>(</w:t>
      </w:r>
      <w:r w:rsidRPr="003946B1">
        <w:rPr>
          <w:noProof w:val="0"/>
        </w:rPr>
        <w:t>CASP</w:t>
      </w:r>
      <w:r w:rsidR="00C10786">
        <w:rPr>
          <w:noProof w:val="0"/>
        </w:rPr>
        <w:t>, Oxford CVTH, 2020</w:t>
      </w:r>
      <w:r w:rsidR="009A288F">
        <w:rPr>
          <w:noProof w:val="0"/>
        </w:rPr>
        <w:t>)</w:t>
      </w:r>
      <w:r w:rsidR="00C10786">
        <w:rPr>
          <w:noProof w:val="0"/>
        </w:rPr>
        <w:t xml:space="preserve"> with a </w:t>
      </w:r>
      <w:r w:rsidR="00D95421">
        <w:rPr>
          <w:noProof w:val="0"/>
        </w:rPr>
        <w:t>r</w:t>
      </w:r>
      <w:r w:rsidRPr="003946B1">
        <w:rPr>
          <w:noProof w:val="0"/>
        </w:rPr>
        <w:t>isk-of-</w:t>
      </w:r>
      <w:r w:rsidR="00D95421">
        <w:rPr>
          <w:noProof w:val="0"/>
        </w:rPr>
        <w:t>b</w:t>
      </w:r>
      <w:r w:rsidRPr="003946B1">
        <w:rPr>
          <w:noProof w:val="0"/>
        </w:rPr>
        <w:t xml:space="preserve">ias </w:t>
      </w:r>
      <w:r w:rsidR="00D95421">
        <w:rPr>
          <w:noProof w:val="0"/>
        </w:rPr>
        <w:t xml:space="preserve">rating </w:t>
      </w:r>
      <w:r w:rsidR="00C10786">
        <w:rPr>
          <w:noProof w:val="0"/>
        </w:rPr>
        <w:t>similar to</w:t>
      </w:r>
      <w:r w:rsidRPr="003946B1">
        <w:rPr>
          <w:noProof w:val="0"/>
        </w:rPr>
        <w:t xml:space="preserve"> </w:t>
      </w:r>
      <w:r w:rsidR="00D842E3">
        <w:rPr>
          <w:noProof w:val="0"/>
        </w:rPr>
        <w:t xml:space="preserve">that used in </w:t>
      </w:r>
      <w:r w:rsidRPr="003946B1">
        <w:rPr>
          <w:noProof w:val="0"/>
        </w:rPr>
        <w:t>the US Office of Health Assessment and Translation (OHAT) Risk-of-Bias Tool</w:t>
      </w:r>
      <w:r w:rsidR="00D95421">
        <w:rPr>
          <w:noProof w:val="0"/>
        </w:rPr>
        <w:t xml:space="preserve"> (OHAT, 2015)</w:t>
      </w:r>
      <w:r w:rsidRPr="003946B1">
        <w:rPr>
          <w:noProof w:val="0"/>
        </w:rPr>
        <w:t>.</w:t>
      </w:r>
    </w:p>
    <w:p w14:paraId="0C2DFF1F" w14:textId="7B8A473C" w:rsidR="00BA1458" w:rsidRPr="003946B1" w:rsidRDefault="00171C91" w:rsidP="00BA1458">
      <w:pPr>
        <w:rPr>
          <w:noProof w:val="0"/>
        </w:rPr>
      </w:pPr>
      <w:r w:rsidRPr="003946B1">
        <w:rPr>
          <w:noProof w:val="0"/>
        </w:rPr>
        <w:t xml:space="preserve">A process based on the OHAT approach to using the </w:t>
      </w:r>
      <w:r w:rsidR="00B83DE2" w:rsidRPr="003946B1">
        <w:rPr>
          <w:noProof w:val="0"/>
        </w:rPr>
        <w:t>Grading of Recommendations Assessment, Development and Evaluation (</w:t>
      </w:r>
      <w:r w:rsidRPr="003946B1">
        <w:rPr>
          <w:noProof w:val="0"/>
        </w:rPr>
        <w:t>GRADE</w:t>
      </w:r>
      <w:r w:rsidR="00B83DE2" w:rsidRPr="003946B1">
        <w:rPr>
          <w:noProof w:val="0"/>
        </w:rPr>
        <w:t>)</w:t>
      </w:r>
      <w:r w:rsidRPr="003946B1">
        <w:rPr>
          <w:noProof w:val="0"/>
        </w:rPr>
        <w:t xml:space="preserve"> system was used to assess the certainty of the body of evidence from </w:t>
      </w:r>
      <w:r w:rsidR="001A3BA0" w:rsidRPr="003946B1">
        <w:rPr>
          <w:noProof w:val="0"/>
        </w:rPr>
        <w:t>p</w:t>
      </w:r>
      <w:r w:rsidRPr="003946B1">
        <w:rPr>
          <w:noProof w:val="0"/>
        </w:rPr>
        <w:t xml:space="preserve">rimary </w:t>
      </w:r>
      <w:r w:rsidR="001A3BA0" w:rsidRPr="003946B1">
        <w:rPr>
          <w:noProof w:val="0"/>
        </w:rPr>
        <w:t>s</w:t>
      </w:r>
      <w:r w:rsidRPr="003946B1">
        <w:rPr>
          <w:noProof w:val="0"/>
        </w:rPr>
        <w:t xml:space="preserve">tudies and permit upgrading or downgrading </w:t>
      </w:r>
      <w:r w:rsidR="00B83DE2" w:rsidRPr="003946B1">
        <w:rPr>
          <w:noProof w:val="0"/>
        </w:rPr>
        <w:t xml:space="preserve">of </w:t>
      </w:r>
      <w:r w:rsidRPr="003946B1">
        <w:rPr>
          <w:noProof w:val="0"/>
        </w:rPr>
        <w:t>the body of evidence</w:t>
      </w:r>
      <w:r w:rsidR="00B83DE2" w:rsidRPr="003946B1">
        <w:rPr>
          <w:noProof w:val="0"/>
        </w:rPr>
        <w:t>,</w:t>
      </w:r>
      <w:r w:rsidRPr="003946B1">
        <w:rPr>
          <w:noProof w:val="0"/>
        </w:rPr>
        <w:t xml:space="preserve"> as appropriate</w:t>
      </w:r>
      <w:r w:rsidR="00FB4B9D">
        <w:rPr>
          <w:noProof w:val="0"/>
        </w:rPr>
        <w:t xml:space="preserve"> (OHAT, 2019)</w:t>
      </w:r>
      <w:r w:rsidRPr="003946B1">
        <w:rPr>
          <w:noProof w:val="0"/>
        </w:rPr>
        <w:t xml:space="preserve">.  </w:t>
      </w:r>
      <w:r w:rsidRPr="000272C9">
        <w:rPr>
          <w:noProof w:val="0"/>
        </w:rPr>
        <w:t xml:space="preserve">For </w:t>
      </w:r>
      <w:r w:rsidR="006544A2" w:rsidRPr="000272C9">
        <w:rPr>
          <w:noProof w:val="0"/>
        </w:rPr>
        <w:t>existing g</w:t>
      </w:r>
      <w:r w:rsidRPr="000272C9">
        <w:rPr>
          <w:noProof w:val="0"/>
        </w:rPr>
        <w:t>uidelines, the assessment methodology for the body of evidence drew on the GRADE approach as well as the outcomes of relevance to the primary and secondary research questions</w:t>
      </w:r>
      <w:r w:rsidRPr="003946B1">
        <w:rPr>
          <w:noProof w:val="0"/>
        </w:rPr>
        <w:t>.</w:t>
      </w:r>
    </w:p>
    <w:p w14:paraId="1C930603" w14:textId="735D3BA7" w:rsidR="0097602E" w:rsidRPr="00397A3E" w:rsidRDefault="00171C91" w:rsidP="00085457">
      <w:pPr>
        <w:rPr>
          <w:b/>
          <w:bCs/>
          <w:noProof w:val="0"/>
          <w:color w:val="008000"/>
        </w:rPr>
      </w:pPr>
      <w:r w:rsidRPr="00397A3E">
        <w:rPr>
          <w:b/>
          <w:bCs/>
          <w:noProof w:val="0"/>
          <w:color w:val="008000"/>
        </w:rPr>
        <w:t>Results</w:t>
      </w:r>
    </w:p>
    <w:p w14:paraId="0C05AEFD" w14:textId="089A04C6" w:rsidR="003946B1" w:rsidRPr="003946B1" w:rsidRDefault="00171C91" w:rsidP="003946B1">
      <w:pPr>
        <w:rPr>
          <w:noProof w:val="0"/>
        </w:rPr>
      </w:pPr>
      <w:r w:rsidRPr="003946B1">
        <w:rPr>
          <w:noProof w:val="0"/>
        </w:rPr>
        <w:t xml:space="preserve">Searches for </w:t>
      </w:r>
      <w:bookmarkStart w:id="2" w:name="_Hlk89356412"/>
      <w:r w:rsidRPr="003946B1">
        <w:rPr>
          <w:noProof w:val="0"/>
        </w:rPr>
        <w:t>grey literature</w:t>
      </w:r>
      <w:bookmarkEnd w:id="2"/>
      <w:r w:rsidRPr="003946B1">
        <w:rPr>
          <w:noProof w:val="0"/>
        </w:rPr>
        <w:t xml:space="preserve"> identified 38 documents.  Each document was evaluated for its relevance to the primary and secondary research questions and if </w:t>
      </w:r>
      <w:r w:rsidR="00362A3B">
        <w:rPr>
          <w:noProof w:val="0"/>
        </w:rPr>
        <w:t xml:space="preserve">determined to </w:t>
      </w:r>
      <w:r w:rsidRPr="003946B1">
        <w:rPr>
          <w:noProof w:val="0"/>
        </w:rPr>
        <w:t xml:space="preserve">not </w:t>
      </w:r>
      <w:r w:rsidR="00362A3B">
        <w:rPr>
          <w:noProof w:val="0"/>
        </w:rPr>
        <w:t xml:space="preserve">be </w:t>
      </w:r>
      <w:r w:rsidRPr="003946B1">
        <w:rPr>
          <w:noProof w:val="0"/>
        </w:rPr>
        <w:t xml:space="preserve">relevant was screened out.  This process identified 16 grey literature documents relevant to the primary and secondary research questions.  Following quality assessments, 10 documents were considered ineligible on quality grounds, leaving </w:t>
      </w:r>
      <w:r w:rsidR="00A5646A">
        <w:rPr>
          <w:noProof w:val="0"/>
        </w:rPr>
        <w:t>six</w:t>
      </w:r>
      <w:r w:rsidR="00A5646A" w:rsidRPr="003946B1">
        <w:rPr>
          <w:noProof w:val="0"/>
        </w:rPr>
        <w:t xml:space="preserve"> </w:t>
      </w:r>
      <w:r w:rsidRPr="003946B1">
        <w:rPr>
          <w:noProof w:val="0"/>
        </w:rPr>
        <w:t xml:space="preserve">grey literature documents for evaluation and synthesis.  </w:t>
      </w:r>
    </w:p>
    <w:p w14:paraId="5116D39C" w14:textId="6105D740" w:rsidR="003946B1" w:rsidRPr="003946B1" w:rsidRDefault="00171C91" w:rsidP="003946B1">
      <w:pPr>
        <w:rPr>
          <w:noProof w:val="0"/>
        </w:rPr>
      </w:pPr>
      <w:r w:rsidRPr="003946B1">
        <w:rPr>
          <w:noProof w:val="0"/>
        </w:rPr>
        <w:t xml:space="preserve">For </w:t>
      </w:r>
      <w:r w:rsidR="00D95421">
        <w:rPr>
          <w:noProof w:val="0"/>
        </w:rPr>
        <w:t>p</w:t>
      </w:r>
      <w:r w:rsidRPr="003946B1">
        <w:rPr>
          <w:noProof w:val="0"/>
        </w:rPr>
        <w:t xml:space="preserve">rimary </w:t>
      </w:r>
      <w:r w:rsidR="00362A3B">
        <w:rPr>
          <w:noProof w:val="0"/>
        </w:rPr>
        <w:t>s</w:t>
      </w:r>
      <w:r w:rsidRPr="003946B1">
        <w:rPr>
          <w:noProof w:val="0"/>
        </w:rPr>
        <w:t xml:space="preserve">tudies, search results by database yielded 7381 citations initially and after removal of duplicates the numbers was 2563.  Further screening using relevancy and logical exclusion criteria (e.g. limiting studies to comparable </w:t>
      </w:r>
      <w:r w:rsidR="001A5A7F">
        <w:rPr>
          <w:noProof w:val="0"/>
        </w:rPr>
        <w:t>Organisation for Economic Co-operation and Development [</w:t>
      </w:r>
      <w:r w:rsidRPr="003946B1">
        <w:rPr>
          <w:noProof w:val="0"/>
        </w:rPr>
        <w:t>OECD</w:t>
      </w:r>
      <w:r w:rsidR="001A5A7F">
        <w:rPr>
          <w:noProof w:val="0"/>
        </w:rPr>
        <w:t>]</w:t>
      </w:r>
      <w:r w:rsidRPr="003946B1">
        <w:rPr>
          <w:noProof w:val="0"/>
        </w:rPr>
        <w:t xml:space="preserve"> countries) to control the volume of literature to review, identified 42 studies for final detailed assessment.  These studies</w:t>
      </w:r>
      <w:r w:rsidR="008F14DD">
        <w:rPr>
          <w:noProof w:val="0"/>
        </w:rPr>
        <w:t xml:space="preserve"> were</w:t>
      </w:r>
      <w:r w:rsidRPr="003946B1">
        <w:rPr>
          <w:noProof w:val="0"/>
        </w:rPr>
        <w:t xml:space="preserve"> assessed for eligibility on the basis of quality, including </w:t>
      </w:r>
      <w:r w:rsidR="008F14DD">
        <w:rPr>
          <w:noProof w:val="0"/>
        </w:rPr>
        <w:t>risk of bias</w:t>
      </w:r>
      <w:r w:rsidRPr="003946B1">
        <w:rPr>
          <w:noProof w:val="0"/>
        </w:rPr>
        <w:t>, which resulted in 13 studies remaining for evaluation and synthesis.</w:t>
      </w:r>
    </w:p>
    <w:p w14:paraId="73C0EE3F" w14:textId="38F7FCF8" w:rsidR="003946B1" w:rsidRPr="003946B1" w:rsidRDefault="00171C91" w:rsidP="003946B1">
      <w:pPr>
        <w:rPr>
          <w:noProof w:val="0"/>
        </w:rPr>
      </w:pPr>
      <w:r w:rsidRPr="003946B1">
        <w:rPr>
          <w:noProof w:val="0"/>
        </w:rPr>
        <w:t xml:space="preserve">For the </w:t>
      </w:r>
      <w:r w:rsidR="00A5646A">
        <w:rPr>
          <w:noProof w:val="0"/>
        </w:rPr>
        <w:t>six</w:t>
      </w:r>
      <w:r w:rsidR="00A5646A" w:rsidRPr="003946B1">
        <w:rPr>
          <w:noProof w:val="0"/>
        </w:rPr>
        <w:t xml:space="preserve"> </w:t>
      </w:r>
      <w:r w:rsidRPr="003946B1">
        <w:rPr>
          <w:noProof w:val="0"/>
        </w:rPr>
        <w:t>grey literature documents and 13 primary studies eligible for evaluation, data for evaluation was extracted from each document into standard forms developed for the purpose.  The information contained in the quality assessment and data extraction forms was used in th</w:t>
      </w:r>
      <w:r w:rsidR="0025795B">
        <w:rPr>
          <w:noProof w:val="0"/>
        </w:rPr>
        <w:t xml:space="preserve">is </w:t>
      </w:r>
      <w:r w:rsidRPr="003946B1">
        <w:rPr>
          <w:noProof w:val="0"/>
        </w:rPr>
        <w:t>Evidence Evaluation Report.</w:t>
      </w:r>
    </w:p>
    <w:p w14:paraId="73DCF8CB" w14:textId="3986CD67" w:rsidR="0097602E" w:rsidRPr="00397A3E" w:rsidRDefault="00171C91" w:rsidP="00085457">
      <w:pPr>
        <w:rPr>
          <w:b/>
          <w:bCs/>
          <w:noProof w:val="0"/>
          <w:color w:val="008000"/>
        </w:rPr>
      </w:pPr>
      <w:r w:rsidRPr="003A23C2">
        <w:rPr>
          <w:b/>
          <w:bCs/>
          <w:noProof w:val="0"/>
          <w:color w:val="008000"/>
        </w:rPr>
        <w:t>Conclusions</w:t>
      </w:r>
    </w:p>
    <w:bookmarkEnd w:id="0"/>
    <w:p w14:paraId="0382B48D" w14:textId="77041DE3" w:rsidR="0097602E" w:rsidRPr="00526DC6" w:rsidRDefault="00171C91" w:rsidP="00085457">
      <w:pPr>
        <w:rPr>
          <w:i/>
          <w:iCs/>
          <w:noProof w:val="0"/>
        </w:rPr>
      </w:pPr>
      <w:r w:rsidRPr="00526DC6">
        <w:rPr>
          <w:i/>
          <w:iCs/>
          <w:noProof w:val="0"/>
        </w:rPr>
        <w:t>Primary research question</w:t>
      </w:r>
    </w:p>
    <w:p w14:paraId="10A4C178" w14:textId="7B8BE3BD" w:rsidR="00526DC6" w:rsidRDefault="00171C91" w:rsidP="00526DC6">
      <w:pPr>
        <w:rPr>
          <w:noProof w:val="0"/>
        </w:rPr>
      </w:pPr>
      <w:r w:rsidRPr="00526DC6">
        <w:rPr>
          <w:noProof w:val="0"/>
        </w:rPr>
        <w:t xml:space="preserve">In response to the primary research question evidence was sought from quality grey literature and primary studies that addressed monitoring, assessment, and prediction of risks from microbial diffuse and point sources in recreational waters.  Given the broad nature of the research question, there was substantial heterogeneity in the literature which made it challenging to distil the review findings.  Similarly, there was some overlap with the secondary research questions, particularly with respect to the use of indicators and/or surrogates of microbial risk. </w:t>
      </w:r>
      <w:r w:rsidR="00F7634B">
        <w:rPr>
          <w:noProof w:val="0"/>
        </w:rPr>
        <w:t>S</w:t>
      </w:r>
      <w:r w:rsidRPr="00526DC6">
        <w:rPr>
          <w:noProof w:val="0"/>
        </w:rPr>
        <w:t>ome broad themes, consistent with the primary research question, were present in the selected literature</w:t>
      </w:r>
      <w:r w:rsidR="00F7634B">
        <w:rPr>
          <w:noProof w:val="0"/>
        </w:rPr>
        <w:t>:</w:t>
      </w:r>
      <w:r w:rsidRPr="00526DC6">
        <w:rPr>
          <w:noProof w:val="0"/>
        </w:rPr>
        <w:t xml:space="preserve">  </w:t>
      </w:r>
    </w:p>
    <w:p w14:paraId="588DD3EF" w14:textId="78072F50" w:rsidR="00764500" w:rsidRPr="00397A3E" w:rsidRDefault="00171C91" w:rsidP="00A612B8">
      <w:pPr>
        <w:pStyle w:val="ListParagraph"/>
        <w:numPr>
          <w:ilvl w:val="0"/>
          <w:numId w:val="54"/>
        </w:numPr>
        <w:ind w:hanging="294"/>
        <w:contextualSpacing/>
      </w:pPr>
      <w:r w:rsidRPr="00397A3E">
        <w:t xml:space="preserve">The use of </w:t>
      </w:r>
      <w:r>
        <w:t>quantitative microbial risk assessment (</w:t>
      </w:r>
      <w:r w:rsidRPr="00397A3E">
        <w:t>QMRA</w:t>
      </w:r>
      <w:r>
        <w:t>)</w:t>
      </w:r>
      <w:r w:rsidRPr="00397A3E">
        <w:t xml:space="preserve"> to evaluate alternative pollution events and management scenarios.</w:t>
      </w:r>
    </w:p>
    <w:p w14:paraId="5408552F" w14:textId="55B602A9" w:rsidR="00764500" w:rsidRPr="00397A3E" w:rsidRDefault="00171C91" w:rsidP="00A612B8">
      <w:pPr>
        <w:pStyle w:val="ListParagraph"/>
        <w:numPr>
          <w:ilvl w:val="0"/>
          <w:numId w:val="54"/>
        </w:numPr>
        <w:ind w:hanging="294"/>
        <w:contextualSpacing/>
      </w:pPr>
      <w:r w:rsidRPr="00397A3E">
        <w:t xml:space="preserve">Systematic review findings broadly supportive of current paradigms of sources of microbial risks to recreational waters, types of situations or events increasing risk of </w:t>
      </w:r>
      <w:r>
        <w:t>gastrointestinal illness (</w:t>
      </w:r>
      <w:r w:rsidRPr="00397A3E">
        <w:t>GI</w:t>
      </w:r>
      <w:r>
        <w:t>)</w:t>
      </w:r>
      <w:r w:rsidRPr="00397A3E">
        <w:t>, and classificatory approaches to management of GI risk.</w:t>
      </w:r>
    </w:p>
    <w:p w14:paraId="5EB8D25A" w14:textId="77777777" w:rsidR="00764500" w:rsidRPr="00397A3E" w:rsidRDefault="00171C91" w:rsidP="00A612B8">
      <w:pPr>
        <w:pStyle w:val="ListParagraph"/>
        <w:numPr>
          <w:ilvl w:val="0"/>
          <w:numId w:val="54"/>
        </w:numPr>
        <w:ind w:hanging="294"/>
        <w:contextualSpacing/>
      </w:pPr>
      <w:r w:rsidRPr="00397A3E">
        <w:t>Limited but emerging recognition of the greater susceptibility of children to health effects from exposure to pathogens in recreational waters.</w:t>
      </w:r>
    </w:p>
    <w:p w14:paraId="736A9E35" w14:textId="2315BC30" w:rsidR="00764500" w:rsidRPr="00397A3E" w:rsidRDefault="00171C91" w:rsidP="00A612B8">
      <w:pPr>
        <w:pStyle w:val="ListParagraph"/>
        <w:numPr>
          <w:ilvl w:val="0"/>
          <w:numId w:val="54"/>
        </w:numPr>
        <w:ind w:hanging="294"/>
        <w:contextualSpacing/>
      </w:pPr>
      <w:r w:rsidRPr="00397A3E">
        <w:t xml:space="preserve">Retention of existing </w:t>
      </w:r>
      <w:r>
        <w:t>faecal indicator bacteria (</w:t>
      </w:r>
      <w:r w:rsidRPr="00397A3E">
        <w:t>FIB</w:t>
      </w:r>
      <w:r>
        <w:t>)</w:t>
      </w:r>
      <w:r w:rsidRPr="00397A3E">
        <w:t xml:space="preserve"> </w:t>
      </w:r>
      <w:r w:rsidRPr="00764500">
        <w:rPr>
          <w:i/>
          <w:iCs/>
        </w:rPr>
        <w:t>E. coli</w:t>
      </w:r>
      <w:r w:rsidRPr="00397A3E">
        <w:t xml:space="preserve"> and enterococci for monitoring and assessing the extent of faecal contamination of recreational waters and thus GI risk.</w:t>
      </w:r>
    </w:p>
    <w:p w14:paraId="5C445D73" w14:textId="40ACC37E" w:rsidR="00764500" w:rsidRPr="00397A3E" w:rsidRDefault="00171C91" w:rsidP="00A612B8">
      <w:pPr>
        <w:pStyle w:val="ListParagraph"/>
        <w:numPr>
          <w:ilvl w:val="0"/>
          <w:numId w:val="54"/>
        </w:numPr>
        <w:ind w:hanging="294"/>
        <w:contextualSpacing/>
      </w:pPr>
      <w:r w:rsidRPr="00397A3E">
        <w:t xml:space="preserve">Availability of </w:t>
      </w:r>
      <w:r>
        <w:t>q</w:t>
      </w:r>
      <w:r w:rsidRPr="00764500">
        <w:rPr>
          <w:lang w:val="en-AU"/>
        </w:rPr>
        <w:t>uantitative polymerase chain reaction</w:t>
      </w:r>
      <w:r>
        <w:t xml:space="preserve"> (</w:t>
      </w:r>
      <w:r w:rsidRPr="00397A3E">
        <w:t>qPC</w:t>
      </w:r>
      <w:r w:rsidR="00724D43">
        <w:t>R</w:t>
      </w:r>
      <w:r>
        <w:t>)</w:t>
      </w:r>
      <w:r w:rsidRPr="00397A3E">
        <w:t xml:space="preserve"> enterococci criteria values to trigger implementation of beach management actions and enterococci calibrated directly to observed health risk in epidemiological studies.</w:t>
      </w:r>
    </w:p>
    <w:p w14:paraId="45C1EAE8" w14:textId="226023FF" w:rsidR="00764500" w:rsidRPr="00397A3E" w:rsidRDefault="00171C91" w:rsidP="00A612B8">
      <w:pPr>
        <w:pStyle w:val="ListParagraph"/>
        <w:numPr>
          <w:ilvl w:val="0"/>
          <w:numId w:val="54"/>
        </w:numPr>
        <w:ind w:hanging="294"/>
        <w:contextualSpacing/>
      </w:pPr>
      <w:r w:rsidRPr="00397A3E">
        <w:t xml:space="preserve">Further research opportunities for </w:t>
      </w:r>
      <w:r>
        <w:t>microbial source tracking (</w:t>
      </w:r>
      <w:r w:rsidRPr="00397A3E">
        <w:t>MST</w:t>
      </w:r>
      <w:r>
        <w:t>)</w:t>
      </w:r>
      <w:r w:rsidRPr="00397A3E">
        <w:t xml:space="preserve">, QMRA, </w:t>
      </w:r>
      <w:r>
        <w:t>antimicrobial-resistant bacteria (</w:t>
      </w:r>
      <w:r w:rsidRPr="00397A3E">
        <w:t>AMRB</w:t>
      </w:r>
      <w:r>
        <w:t>) and</w:t>
      </w:r>
      <w:r w:rsidRPr="00397A3E">
        <w:t xml:space="preserve"> standardisation of methods.</w:t>
      </w:r>
    </w:p>
    <w:p w14:paraId="3B5D8FDD" w14:textId="77777777" w:rsidR="00764500" w:rsidRPr="00397A3E" w:rsidRDefault="00171C91" w:rsidP="00A612B8">
      <w:pPr>
        <w:pStyle w:val="ListParagraph"/>
        <w:numPr>
          <w:ilvl w:val="0"/>
          <w:numId w:val="54"/>
        </w:numPr>
        <w:ind w:hanging="294"/>
        <w:contextualSpacing/>
      </w:pPr>
      <w:r>
        <w:t>A positive relationship in recreational waters between the relative contribution of human faecal matter among pollution sources and greater health impacts on users compared to animal sources.</w:t>
      </w:r>
    </w:p>
    <w:p w14:paraId="0F64D300" w14:textId="1E946605" w:rsidR="00764500" w:rsidRPr="00397A3E" w:rsidRDefault="00171C91" w:rsidP="00A612B8">
      <w:pPr>
        <w:pStyle w:val="ListParagraph"/>
        <w:numPr>
          <w:ilvl w:val="0"/>
          <w:numId w:val="54"/>
        </w:numPr>
        <w:ind w:hanging="294"/>
        <w:contextualSpacing/>
      </w:pPr>
      <w:r w:rsidRPr="00145BDF">
        <w:t xml:space="preserve">Positive association between increased exposure rates in marine waters and higher levels of FIB and in GI and </w:t>
      </w:r>
      <w:r>
        <w:t>respiratory illness (</w:t>
      </w:r>
      <w:r w:rsidRPr="00145BDF">
        <w:t>RI</w:t>
      </w:r>
      <w:r>
        <w:t>)</w:t>
      </w:r>
      <w:r w:rsidRPr="00145BDF">
        <w:t xml:space="preserve"> in swimmers including surfers.</w:t>
      </w:r>
    </w:p>
    <w:p w14:paraId="29FF65F1" w14:textId="77777777" w:rsidR="00764500" w:rsidRPr="00397A3E" w:rsidRDefault="00171C91" w:rsidP="00A612B8">
      <w:pPr>
        <w:pStyle w:val="ListParagraph"/>
        <w:numPr>
          <w:ilvl w:val="0"/>
          <w:numId w:val="54"/>
        </w:numPr>
        <w:ind w:hanging="294"/>
        <w:contextualSpacing/>
      </w:pPr>
      <w:r w:rsidRPr="00BD43A4">
        <w:t>Recognition that certain beach geomorphology attributes and certain beach management practices greatly influence the probability of compliance with regulatory standards</w:t>
      </w:r>
      <w:r w:rsidRPr="00397A3E">
        <w:t>.</w:t>
      </w:r>
    </w:p>
    <w:p w14:paraId="45F69835" w14:textId="77777777" w:rsidR="00764500" w:rsidRPr="006E6DB0" w:rsidRDefault="00171C91" w:rsidP="00A612B8">
      <w:pPr>
        <w:pStyle w:val="ListParagraph"/>
        <w:numPr>
          <w:ilvl w:val="0"/>
          <w:numId w:val="54"/>
        </w:numPr>
        <w:ind w:hanging="294"/>
        <w:contextualSpacing/>
      </w:pPr>
      <w:r w:rsidRPr="006E6DB0">
        <w:t>Positive relationship between rivers flows and increased concentrations of FIB, biomarkers and pathogens in estuarine recreational waters.</w:t>
      </w:r>
    </w:p>
    <w:p w14:paraId="0A9164CC" w14:textId="25B3DCFB" w:rsidR="00AD3EC9" w:rsidRPr="00666D1F" w:rsidRDefault="00171C91" w:rsidP="00526DC6">
      <w:pPr>
        <w:rPr>
          <w:i/>
          <w:iCs/>
          <w:noProof w:val="0"/>
        </w:rPr>
      </w:pPr>
      <w:r w:rsidRPr="00666D1F">
        <w:rPr>
          <w:i/>
          <w:iCs/>
          <w:noProof w:val="0"/>
        </w:rPr>
        <w:t>GRADE assessment</w:t>
      </w:r>
    </w:p>
    <w:p w14:paraId="708F977C" w14:textId="3ED4A01A" w:rsidR="00AD3EC9" w:rsidRDefault="00171C91" w:rsidP="00526DC6">
      <w:pPr>
        <w:rPr>
          <w:noProof w:val="0"/>
        </w:rPr>
      </w:pPr>
      <w:r w:rsidRPr="00397A3E">
        <w:rPr>
          <w:noProof w:val="0"/>
        </w:rPr>
        <w:t>The GRADE assessment of the overall quality of the primary studies body of evidence was undertaken for the outcome identified for the primary research question</w:t>
      </w:r>
      <w:r>
        <w:rPr>
          <w:noProof w:val="0"/>
        </w:rPr>
        <w:t>.</w:t>
      </w:r>
      <w:r w:rsidRPr="00397A3E">
        <w:rPr>
          <w:noProof w:val="0"/>
        </w:rPr>
        <w:t xml:space="preserve"> </w:t>
      </w:r>
      <w:r>
        <w:rPr>
          <w:noProof w:val="0"/>
        </w:rPr>
        <w:t xml:space="preserve"> </w:t>
      </w:r>
      <w:r w:rsidRPr="00397A3E">
        <w:rPr>
          <w:noProof w:val="0"/>
        </w:rPr>
        <w:t xml:space="preserve">The </w:t>
      </w:r>
      <w:r>
        <w:rPr>
          <w:noProof w:val="0"/>
        </w:rPr>
        <w:t>overall certainty rating was</w:t>
      </w:r>
      <w:r w:rsidRPr="00397A3E">
        <w:rPr>
          <w:noProof w:val="0"/>
        </w:rPr>
        <w:t xml:space="preserve"> </w:t>
      </w:r>
      <w:r>
        <w:rPr>
          <w:noProof w:val="0"/>
        </w:rPr>
        <w:t xml:space="preserve">“moderate” for </w:t>
      </w:r>
      <w:r w:rsidR="002A32BC">
        <w:rPr>
          <w:noProof w:val="0"/>
        </w:rPr>
        <w:t xml:space="preserve">two studies (a </w:t>
      </w:r>
      <w:r>
        <w:rPr>
          <w:noProof w:val="0"/>
        </w:rPr>
        <w:t>systematic review and cohort study</w:t>
      </w:r>
      <w:r w:rsidR="002A32BC">
        <w:rPr>
          <w:noProof w:val="0"/>
        </w:rPr>
        <w:t>)</w:t>
      </w:r>
      <w:r>
        <w:rPr>
          <w:noProof w:val="0"/>
        </w:rPr>
        <w:t>, leading to a final certainty rating of “</w:t>
      </w:r>
      <w:r w:rsidRPr="000D57CB">
        <w:rPr>
          <w:i/>
          <w:noProof w:val="0"/>
        </w:rPr>
        <w:t>moderately confident in the reported associations</w:t>
      </w:r>
      <w:r>
        <w:rPr>
          <w:noProof w:val="0"/>
        </w:rPr>
        <w:t>”. The overall certainty rating was “l</w:t>
      </w:r>
      <w:r w:rsidRPr="00397A3E">
        <w:rPr>
          <w:noProof w:val="0"/>
        </w:rPr>
        <w:t xml:space="preserve">ow” </w:t>
      </w:r>
      <w:r>
        <w:rPr>
          <w:noProof w:val="0"/>
        </w:rPr>
        <w:t>for 11 qua</w:t>
      </w:r>
      <w:r w:rsidR="002A32BC">
        <w:rPr>
          <w:noProof w:val="0"/>
        </w:rPr>
        <w:t>l</w:t>
      </w:r>
      <w:r>
        <w:rPr>
          <w:noProof w:val="0"/>
        </w:rPr>
        <w:t>itative studies</w:t>
      </w:r>
      <w:r w:rsidR="002A32BC">
        <w:rPr>
          <w:noProof w:val="0"/>
        </w:rPr>
        <w:t xml:space="preserve"> and</w:t>
      </w:r>
      <w:r>
        <w:rPr>
          <w:noProof w:val="0"/>
        </w:rPr>
        <w:t xml:space="preserve"> </w:t>
      </w:r>
      <w:r w:rsidR="002A32BC">
        <w:rPr>
          <w:noProof w:val="0"/>
        </w:rPr>
        <w:t>t</w:t>
      </w:r>
      <w:r w:rsidRPr="00397A3E">
        <w:rPr>
          <w:noProof w:val="0"/>
        </w:rPr>
        <w:t>his led to a final certainty rating of “</w:t>
      </w:r>
      <w:r w:rsidRPr="00397A3E">
        <w:rPr>
          <w:i/>
          <w:iCs/>
          <w:noProof w:val="0"/>
        </w:rPr>
        <w:t>limited confidence in the reported associations</w:t>
      </w:r>
      <w:r w:rsidRPr="00397A3E">
        <w:rPr>
          <w:noProof w:val="0"/>
        </w:rPr>
        <w:t>”.  This result stems from the high degree of heterogeneity in study focus of the 13 studies that made it through the screening and quality assessment stages of the literature review.  The broad nature of the primary research question resulted in a wide range of study types being eligible for inclusion and consequently it was not possible to apply gradings for some the categories in the GRADE assessment (e.g. magnitude of effect).  None of the factors that could influence a change in the grading of certainty of the body of evidence were identified.</w:t>
      </w:r>
    </w:p>
    <w:p w14:paraId="2EE034A9" w14:textId="77777777" w:rsidR="00AD3EC9" w:rsidRPr="00526DC6" w:rsidRDefault="00AD3EC9" w:rsidP="00526DC6">
      <w:pPr>
        <w:rPr>
          <w:noProof w:val="0"/>
        </w:rPr>
      </w:pPr>
    </w:p>
    <w:p w14:paraId="5F3882D3" w14:textId="5C863280" w:rsidR="00733D99" w:rsidRPr="00B970CB" w:rsidRDefault="00171C91" w:rsidP="00733D99">
      <w:pPr>
        <w:rPr>
          <w:i/>
          <w:iCs/>
          <w:noProof w:val="0"/>
        </w:rPr>
      </w:pPr>
      <w:r w:rsidRPr="00B970CB">
        <w:rPr>
          <w:i/>
          <w:iCs/>
          <w:noProof w:val="0"/>
        </w:rPr>
        <w:t>Secondary research questions</w:t>
      </w:r>
    </w:p>
    <w:p w14:paraId="3DBB1F33" w14:textId="088DC13F" w:rsidR="00733D99" w:rsidRPr="00B970CB" w:rsidRDefault="00171C91" w:rsidP="00733D99">
      <w:pPr>
        <w:rPr>
          <w:noProof w:val="0"/>
        </w:rPr>
      </w:pPr>
      <w:r w:rsidRPr="00B970CB">
        <w:rPr>
          <w:noProof w:val="0"/>
        </w:rPr>
        <w:t xml:space="preserve">Evidence for the secondary research questions was limited to </w:t>
      </w:r>
      <w:r w:rsidR="008C0042" w:rsidRPr="00B970CB">
        <w:rPr>
          <w:noProof w:val="0"/>
        </w:rPr>
        <w:t xml:space="preserve">existing </w:t>
      </w:r>
      <w:r w:rsidR="00B970CB" w:rsidRPr="00B970CB">
        <w:rPr>
          <w:noProof w:val="0"/>
        </w:rPr>
        <w:t>grey literature</w:t>
      </w:r>
      <w:r w:rsidR="006D2309" w:rsidRPr="00B970CB">
        <w:rPr>
          <w:noProof w:val="0"/>
        </w:rPr>
        <w:t xml:space="preserve"> </w:t>
      </w:r>
      <w:r w:rsidRPr="00B970CB">
        <w:rPr>
          <w:noProof w:val="0"/>
        </w:rPr>
        <w:t xml:space="preserve">as </w:t>
      </w:r>
      <w:r w:rsidR="008C0042" w:rsidRPr="00B970CB">
        <w:rPr>
          <w:noProof w:val="0"/>
        </w:rPr>
        <w:t>outlined in the research protocol</w:t>
      </w:r>
      <w:r w:rsidRPr="00B970CB">
        <w:rPr>
          <w:noProof w:val="0"/>
        </w:rPr>
        <w:t xml:space="preserve">, with different suites of </w:t>
      </w:r>
      <w:r w:rsidR="00B970CB" w:rsidRPr="00B970CB">
        <w:rPr>
          <w:noProof w:val="0"/>
        </w:rPr>
        <w:t>documents</w:t>
      </w:r>
      <w:r w:rsidRPr="00B970CB">
        <w:rPr>
          <w:noProof w:val="0"/>
        </w:rPr>
        <w:t xml:space="preserve"> relevant depending on the research question.</w:t>
      </w:r>
    </w:p>
    <w:p w14:paraId="785AB41D" w14:textId="0419DA49" w:rsidR="00B970CB" w:rsidRPr="00110A49" w:rsidRDefault="00171C91" w:rsidP="00733D99">
      <w:pPr>
        <w:rPr>
          <w:noProof w:val="0"/>
        </w:rPr>
      </w:pPr>
      <w:r w:rsidRPr="00110A49">
        <w:rPr>
          <w:noProof w:val="0"/>
        </w:rPr>
        <w:t xml:space="preserve">In relation to secondary </w:t>
      </w:r>
      <w:r w:rsidR="00076DC2" w:rsidRPr="00110A49">
        <w:rPr>
          <w:noProof w:val="0"/>
        </w:rPr>
        <w:t xml:space="preserve">research </w:t>
      </w:r>
      <w:r w:rsidRPr="00110A49">
        <w:rPr>
          <w:noProof w:val="0"/>
        </w:rPr>
        <w:t xml:space="preserve">question 1, from the review of grey literature documents commentary was provided on the use of genetic markers in MST where it was noted that </w:t>
      </w:r>
      <w:r w:rsidR="00110A49" w:rsidRPr="00110A49">
        <w:rPr>
          <w:noProof w:val="0"/>
        </w:rPr>
        <w:t xml:space="preserve">although </w:t>
      </w:r>
      <w:r w:rsidRPr="00110A49">
        <w:rPr>
          <w:noProof w:val="0"/>
        </w:rPr>
        <w:t xml:space="preserve">the concept behind </w:t>
      </w:r>
      <w:r w:rsidR="00110A49" w:rsidRPr="00110A49">
        <w:rPr>
          <w:noProof w:val="0"/>
        </w:rPr>
        <w:t>MST</w:t>
      </w:r>
      <w:r w:rsidRPr="00110A49">
        <w:rPr>
          <w:noProof w:val="0"/>
        </w:rPr>
        <w:t xml:space="preserve"> is conceptually clear, </w:t>
      </w:r>
      <w:r w:rsidR="00110A49" w:rsidRPr="00110A49">
        <w:rPr>
          <w:noProof w:val="0"/>
        </w:rPr>
        <w:t>quantification of sources relies on a number of assumptions which often are not fully met or are untested</w:t>
      </w:r>
      <w:r w:rsidR="00110A49">
        <w:rPr>
          <w:noProof w:val="0"/>
        </w:rPr>
        <w:t xml:space="preserve"> and that </w:t>
      </w:r>
      <w:r w:rsidR="00110A49" w:rsidRPr="00C01E8E">
        <w:rPr>
          <w:noProof w:val="0"/>
        </w:rPr>
        <w:t>opportunities remain for further refinement of qPCR methodologies</w:t>
      </w:r>
      <w:r w:rsidR="00110A49">
        <w:rPr>
          <w:noProof w:val="0"/>
        </w:rPr>
        <w:t xml:space="preserve"> underpinning MST</w:t>
      </w:r>
      <w:r w:rsidR="00110A49" w:rsidRPr="00110A49">
        <w:rPr>
          <w:noProof w:val="0"/>
        </w:rPr>
        <w:t>.  It was concluded that such issues need to be clarified and some level of standardisation of methods is required to assist in the incorporation of MST methods within regulatory frameworks.</w:t>
      </w:r>
    </w:p>
    <w:p w14:paraId="55943112" w14:textId="0E8A7567" w:rsidR="005B6813" w:rsidRPr="00B20C38" w:rsidRDefault="00171C91" w:rsidP="00733D99">
      <w:pPr>
        <w:rPr>
          <w:noProof w:val="0"/>
        </w:rPr>
      </w:pPr>
      <w:r w:rsidRPr="00B20C38">
        <w:rPr>
          <w:noProof w:val="0"/>
        </w:rPr>
        <w:t xml:space="preserve">For secondary </w:t>
      </w:r>
      <w:r w:rsidR="00076DC2" w:rsidRPr="00B20C38">
        <w:rPr>
          <w:noProof w:val="0"/>
        </w:rPr>
        <w:t xml:space="preserve">research </w:t>
      </w:r>
      <w:r w:rsidRPr="00B20C38">
        <w:rPr>
          <w:noProof w:val="0"/>
        </w:rPr>
        <w:t xml:space="preserve">question 2, </w:t>
      </w:r>
      <w:r w:rsidR="00C94763" w:rsidRPr="00B20C38">
        <w:rPr>
          <w:noProof w:val="0"/>
        </w:rPr>
        <w:t xml:space="preserve">evidence discussed in support retention of the existing NHMRC management framework which </w:t>
      </w:r>
      <w:r w:rsidR="00C94763" w:rsidRPr="006F0198">
        <w:rPr>
          <w:noProof w:val="0"/>
        </w:rPr>
        <w:t>involves microbial-based categorisation of the water using a combination of sanitary inspection</w:t>
      </w:r>
      <w:r w:rsidR="00C94763" w:rsidRPr="00B20C38">
        <w:rPr>
          <w:noProof w:val="0"/>
        </w:rPr>
        <w:t>,</w:t>
      </w:r>
      <w:r w:rsidR="00C94763" w:rsidRPr="006F0198">
        <w:rPr>
          <w:noProof w:val="0"/>
        </w:rPr>
        <w:t xml:space="preserve"> microbial water-quality assessment</w:t>
      </w:r>
      <w:r w:rsidR="00B20C38" w:rsidRPr="00B20C38">
        <w:rPr>
          <w:noProof w:val="0"/>
        </w:rPr>
        <w:t>,</w:t>
      </w:r>
      <w:r w:rsidR="00C94763" w:rsidRPr="00B20C38">
        <w:rPr>
          <w:noProof w:val="0"/>
        </w:rPr>
        <w:t xml:space="preserve"> and prevention of exposure at times of increased risk</w:t>
      </w:r>
      <w:r w:rsidR="00B20C38" w:rsidRPr="00B20C38">
        <w:rPr>
          <w:noProof w:val="0"/>
        </w:rPr>
        <w:t xml:space="preserve">.  Furthermore information, supporting improvements and augmentation of details for the existing guidelines is described.  Of particular relevance here is the recent NSW Department of Planning, Industry and Environment </w:t>
      </w:r>
      <w:r w:rsidR="00B20C38" w:rsidRPr="00B20C38">
        <w:rPr>
          <w:i/>
          <w:iCs/>
          <w:noProof w:val="0"/>
        </w:rPr>
        <w:t>Protocol for Assessment and Management of Microbial Risks in Recreational Waters.</w:t>
      </w:r>
    </w:p>
    <w:p w14:paraId="55313E86" w14:textId="02F72FF2" w:rsidR="00733D99" w:rsidRPr="00397A3E" w:rsidRDefault="00171C91" w:rsidP="005B6813">
      <w:pPr>
        <w:keepNext/>
        <w:rPr>
          <w:b/>
          <w:bCs/>
          <w:noProof w:val="0"/>
          <w:color w:val="008000"/>
        </w:rPr>
      </w:pPr>
      <w:r>
        <w:rPr>
          <w:b/>
          <w:bCs/>
          <w:noProof w:val="0"/>
          <w:color w:val="008000"/>
        </w:rPr>
        <w:t>Concluding comments</w:t>
      </w:r>
    </w:p>
    <w:p w14:paraId="19A35A52" w14:textId="0C9730E9" w:rsidR="00B970CB" w:rsidRDefault="00171C91" w:rsidP="00526DC6">
      <w:pPr>
        <w:rPr>
          <w:noProof w:val="0"/>
        </w:rPr>
      </w:pPr>
      <w:r w:rsidRPr="00526DC6">
        <w:rPr>
          <w:noProof w:val="0"/>
        </w:rPr>
        <w:t>An evaluation of evidence contained in six grey literature documents and 13 primary research studies provided satisfactory evidence to support detailed responses to the primary and secondary research documents.  The findings from each study are described in the text and summarised in tables.  This is followed by thematic summaries based on the major themes identified relevant to each of the three research questions (1 primary and 2 secondary).</w:t>
      </w:r>
    </w:p>
    <w:p w14:paraId="2EF32E20" w14:textId="663415D2" w:rsidR="008E7800" w:rsidRPr="00C606DF" w:rsidRDefault="00171C91" w:rsidP="00733D99">
      <w:pPr>
        <w:rPr>
          <w:noProof w:val="0"/>
        </w:rPr>
      </w:pPr>
      <w:r w:rsidRPr="00526DC6">
        <w:rPr>
          <w:noProof w:val="0"/>
        </w:rPr>
        <w:t>Finally a section responding to a series of additional questions posed by the Committee is included which draws on the evidence identified for the review.</w:t>
      </w:r>
    </w:p>
    <w:p w14:paraId="3982AF82" w14:textId="77777777" w:rsidR="00A207BE" w:rsidRPr="00397A3E" w:rsidRDefault="00171C91" w:rsidP="00D41AAE">
      <w:pPr>
        <w:pStyle w:val="Non-numberedHeading1"/>
        <w:outlineLvl w:val="0"/>
        <w:rPr>
          <w:noProof w:val="0"/>
        </w:rPr>
      </w:pPr>
      <w:r w:rsidRPr="00397A3E">
        <w:rPr>
          <w:noProof w:val="0"/>
        </w:rPr>
        <w:t>Table of Contents</w:t>
      </w:r>
    </w:p>
    <w:p w14:paraId="10347A77" w14:textId="251C407B" w:rsidR="001A0E9F" w:rsidRDefault="00171C91">
      <w:pPr>
        <w:pStyle w:val="TOC1"/>
        <w:tabs>
          <w:tab w:val="left" w:pos="400"/>
          <w:tab w:val="right" w:leader="dot" w:pos="7643"/>
        </w:tabs>
        <w:rPr>
          <w:rFonts w:asciiTheme="minorHAnsi" w:eastAsiaTheme="minorEastAsia" w:hAnsiTheme="minorHAnsi" w:cstheme="minorBidi"/>
          <w:sz w:val="22"/>
          <w:szCs w:val="22"/>
        </w:rPr>
      </w:pPr>
      <w:r w:rsidRPr="00397A3E">
        <w:rPr>
          <w:rFonts w:cs="Arial"/>
          <w:noProof w:val="0"/>
          <w:szCs w:val="20"/>
          <w:highlight w:val="yellow"/>
        </w:rPr>
        <w:fldChar w:fldCharType="begin"/>
      </w:r>
      <w:r w:rsidR="00AE2161" w:rsidRPr="00397A3E">
        <w:rPr>
          <w:rFonts w:cs="Arial"/>
          <w:noProof w:val="0"/>
          <w:szCs w:val="20"/>
          <w:highlight w:val="yellow"/>
        </w:rPr>
        <w:instrText xml:space="preserve"> TOC  \* MERGEFORMAT </w:instrText>
      </w:r>
      <w:r w:rsidRPr="00397A3E">
        <w:rPr>
          <w:rFonts w:cs="Arial"/>
          <w:noProof w:val="0"/>
          <w:szCs w:val="20"/>
          <w:highlight w:val="yellow"/>
        </w:rPr>
        <w:fldChar w:fldCharType="separate"/>
      </w:r>
      <w:r w:rsidR="001A0E9F">
        <w:t>1</w:t>
      </w:r>
      <w:r w:rsidR="001A0E9F">
        <w:rPr>
          <w:rFonts w:asciiTheme="minorHAnsi" w:eastAsiaTheme="minorEastAsia" w:hAnsiTheme="minorHAnsi" w:cstheme="minorBidi"/>
          <w:sz w:val="22"/>
          <w:szCs w:val="22"/>
        </w:rPr>
        <w:tab/>
      </w:r>
      <w:r w:rsidR="001A0E9F">
        <w:t>Introduction</w:t>
      </w:r>
      <w:r w:rsidR="001A0E9F">
        <w:tab/>
      </w:r>
      <w:r w:rsidR="001A0E9F">
        <w:fldChar w:fldCharType="begin"/>
      </w:r>
      <w:r w:rsidR="001A0E9F">
        <w:instrText xml:space="preserve"> PAGEREF _Toc106964795 \h </w:instrText>
      </w:r>
      <w:r w:rsidR="001A0E9F">
        <w:fldChar w:fldCharType="separate"/>
      </w:r>
      <w:r w:rsidR="00D41A43">
        <w:t>12</w:t>
      </w:r>
      <w:r w:rsidR="001A0E9F">
        <w:fldChar w:fldCharType="end"/>
      </w:r>
    </w:p>
    <w:p w14:paraId="484AE6C5" w14:textId="53C845F6" w:rsidR="001A0E9F" w:rsidRDefault="001A0E9F">
      <w:pPr>
        <w:pStyle w:val="TOC2"/>
        <w:tabs>
          <w:tab w:val="left" w:pos="880"/>
          <w:tab w:val="right" w:leader="dot" w:pos="7643"/>
        </w:tabs>
        <w:rPr>
          <w:rFonts w:asciiTheme="minorHAnsi" w:eastAsiaTheme="minorEastAsia" w:hAnsiTheme="minorHAnsi" w:cstheme="minorBidi"/>
          <w:sz w:val="22"/>
          <w:szCs w:val="22"/>
        </w:rPr>
      </w:pPr>
      <w:r>
        <w:t>1.1.</w:t>
      </w:r>
      <w:r>
        <w:rPr>
          <w:rFonts w:asciiTheme="minorHAnsi" w:eastAsiaTheme="minorEastAsia" w:hAnsiTheme="minorHAnsi" w:cstheme="minorBidi"/>
          <w:sz w:val="22"/>
          <w:szCs w:val="22"/>
        </w:rPr>
        <w:tab/>
      </w:r>
      <w:r>
        <w:t>Purpose and objectives of review</w:t>
      </w:r>
      <w:r>
        <w:tab/>
      </w:r>
      <w:r>
        <w:fldChar w:fldCharType="begin"/>
      </w:r>
      <w:r>
        <w:instrText xml:space="preserve"> PAGEREF _Toc106964796 \h </w:instrText>
      </w:r>
      <w:r>
        <w:fldChar w:fldCharType="separate"/>
      </w:r>
      <w:r w:rsidR="00D41A43">
        <w:t>12</w:t>
      </w:r>
      <w:r>
        <w:fldChar w:fldCharType="end"/>
      </w:r>
    </w:p>
    <w:p w14:paraId="7C83EE9A" w14:textId="7C85DF06" w:rsidR="001A0E9F" w:rsidRDefault="001A0E9F">
      <w:pPr>
        <w:pStyle w:val="TOC1"/>
        <w:tabs>
          <w:tab w:val="left" w:pos="400"/>
          <w:tab w:val="right" w:leader="dot" w:pos="7643"/>
        </w:tabs>
        <w:rPr>
          <w:rFonts w:asciiTheme="minorHAnsi" w:eastAsiaTheme="minorEastAsia" w:hAnsiTheme="minorHAnsi" w:cstheme="minorBidi"/>
          <w:sz w:val="22"/>
          <w:szCs w:val="22"/>
        </w:rPr>
      </w:pPr>
      <w:r>
        <w:t>2</w:t>
      </w:r>
      <w:r>
        <w:rPr>
          <w:rFonts w:asciiTheme="minorHAnsi" w:eastAsiaTheme="minorEastAsia" w:hAnsiTheme="minorHAnsi" w:cstheme="minorBidi"/>
          <w:sz w:val="22"/>
          <w:szCs w:val="22"/>
        </w:rPr>
        <w:tab/>
      </w:r>
      <w:r>
        <w:t>Methodology</w:t>
      </w:r>
      <w:r>
        <w:tab/>
      </w:r>
      <w:r>
        <w:fldChar w:fldCharType="begin"/>
      </w:r>
      <w:r>
        <w:instrText xml:space="preserve"> PAGEREF _Toc106964797 \h </w:instrText>
      </w:r>
      <w:r>
        <w:fldChar w:fldCharType="separate"/>
      </w:r>
      <w:r w:rsidR="00D41A43">
        <w:t>13</w:t>
      </w:r>
      <w:r>
        <w:fldChar w:fldCharType="end"/>
      </w:r>
    </w:p>
    <w:p w14:paraId="6C657E62" w14:textId="7BA65F5D" w:rsidR="001A0E9F" w:rsidRDefault="001A0E9F">
      <w:pPr>
        <w:pStyle w:val="TOC2"/>
        <w:tabs>
          <w:tab w:val="left" w:pos="880"/>
          <w:tab w:val="right" w:leader="dot" w:pos="7643"/>
        </w:tabs>
        <w:rPr>
          <w:rFonts w:asciiTheme="minorHAnsi" w:eastAsiaTheme="minorEastAsia" w:hAnsiTheme="minorHAnsi" w:cstheme="minorBidi"/>
          <w:sz w:val="22"/>
          <w:szCs w:val="22"/>
        </w:rPr>
      </w:pPr>
      <w:r>
        <w:t>2.1.</w:t>
      </w:r>
      <w:r>
        <w:rPr>
          <w:rFonts w:asciiTheme="minorHAnsi" w:eastAsiaTheme="minorEastAsia" w:hAnsiTheme="minorHAnsi" w:cstheme="minorBidi"/>
          <w:sz w:val="22"/>
          <w:szCs w:val="22"/>
        </w:rPr>
        <w:tab/>
      </w:r>
      <w:r>
        <w:t>Review Period</w:t>
      </w:r>
      <w:r>
        <w:tab/>
      </w:r>
      <w:r>
        <w:fldChar w:fldCharType="begin"/>
      </w:r>
      <w:r>
        <w:instrText xml:space="preserve"> PAGEREF _Toc106964798 \h </w:instrText>
      </w:r>
      <w:r>
        <w:fldChar w:fldCharType="separate"/>
      </w:r>
      <w:r w:rsidR="00D41A43">
        <w:t>13</w:t>
      </w:r>
      <w:r>
        <w:fldChar w:fldCharType="end"/>
      </w:r>
    </w:p>
    <w:p w14:paraId="0CAE59EF" w14:textId="3A98AF5B" w:rsidR="001A0E9F" w:rsidRDefault="001A0E9F">
      <w:pPr>
        <w:pStyle w:val="TOC2"/>
        <w:tabs>
          <w:tab w:val="left" w:pos="880"/>
          <w:tab w:val="right" w:leader="dot" w:pos="7643"/>
        </w:tabs>
        <w:rPr>
          <w:rFonts w:asciiTheme="minorHAnsi" w:eastAsiaTheme="minorEastAsia" w:hAnsiTheme="minorHAnsi" w:cstheme="minorBidi"/>
          <w:sz w:val="22"/>
          <w:szCs w:val="22"/>
        </w:rPr>
      </w:pPr>
      <w:r>
        <w:t>2.2.</w:t>
      </w:r>
      <w:r>
        <w:rPr>
          <w:rFonts w:asciiTheme="minorHAnsi" w:eastAsiaTheme="minorEastAsia" w:hAnsiTheme="minorHAnsi" w:cstheme="minorBidi"/>
          <w:sz w:val="22"/>
          <w:szCs w:val="22"/>
        </w:rPr>
        <w:tab/>
      </w:r>
      <w:r>
        <w:t>Definitions</w:t>
      </w:r>
      <w:r>
        <w:tab/>
      </w:r>
      <w:r>
        <w:fldChar w:fldCharType="begin"/>
      </w:r>
      <w:r>
        <w:instrText xml:space="preserve"> PAGEREF _Toc106964799 \h </w:instrText>
      </w:r>
      <w:r>
        <w:fldChar w:fldCharType="separate"/>
      </w:r>
      <w:r w:rsidR="00D41A43">
        <w:t>13</w:t>
      </w:r>
      <w:r>
        <w:fldChar w:fldCharType="end"/>
      </w:r>
    </w:p>
    <w:p w14:paraId="17BCE1B2" w14:textId="2C7BF10D" w:rsidR="001A0E9F" w:rsidRDefault="001A0E9F">
      <w:pPr>
        <w:pStyle w:val="TOC2"/>
        <w:tabs>
          <w:tab w:val="left" w:pos="880"/>
          <w:tab w:val="right" w:leader="dot" w:pos="7643"/>
        </w:tabs>
        <w:rPr>
          <w:rFonts w:asciiTheme="minorHAnsi" w:eastAsiaTheme="minorEastAsia" w:hAnsiTheme="minorHAnsi" w:cstheme="minorBidi"/>
          <w:sz w:val="22"/>
          <w:szCs w:val="22"/>
        </w:rPr>
      </w:pPr>
      <w:r>
        <w:t>2.3.</w:t>
      </w:r>
      <w:r>
        <w:rPr>
          <w:rFonts w:asciiTheme="minorHAnsi" w:eastAsiaTheme="minorEastAsia" w:hAnsiTheme="minorHAnsi" w:cstheme="minorBidi"/>
          <w:sz w:val="22"/>
          <w:szCs w:val="22"/>
        </w:rPr>
        <w:tab/>
      </w:r>
      <w:r>
        <w:t>Research Questions</w:t>
      </w:r>
      <w:r>
        <w:tab/>
      </w:r>
      <w:r>
        <w:fldChar w:fldCharType="begin"/>
      </w:r>
      <w:r>
        <w:instrText xml:space="preserve"> PAGEREF _Toc106964800 \h </w:instrText>
      </w:r>
      <w:r>
        <w:fldChar w:fldCharType="separate"/>
      </w:r>
      <w:r w:rsidR="00D41A43">
        <w:t>13</w:t>
      </w:r>
      <w:r>
        <w:fldChar w:fldCharType="end"/>
      </w:r>
    </w:p>
    <w:p w14:paraId="442B2229" w14:textId="5AE8CA72" w:rsidR="001A0E9F" w:rsidRDefault="001A0E9F">
      <w:pPr>
        <w:pStyle w:val="TOC3"/>
        <w:tabs>
          <w:tab w:val="left" w:pos="1320"/>
          <w:tab w:val="right" w:leader="dot" w:pos="7643"/>
        </w:tabs>
        <w:rPr>
          <w:rFonts w:asciiTheme="minorHAnsi" w:eastAsiaTheme="minorEastAsia" w:hAnsiTheme="minorHAnsi" w:cstheme="minorBidi"/>
          <w:sz w:val="22"/>
          <w:szCs w:val="22"/>
        </w:rPr>
      </w:pPr>
      <w:r w:rsidRPr="001208AF">
        <w:t>2.3.1.</w:t>
      </w:r>
      <w:r>
        <w:rPr>
          <w:rFonts w:asciiTheme="minorHAnsi" w:eastAsiaTheme="minorEastAsia" w:hAnsiTheme="minorHAnsi" w:cstheme="minorBidi"/>
          <w:sz w:val="22"/>
          <w:szCs w:val="22"/>
        </w:rPr>
        <w:tab/>
      </w:r>
      <w:r w:rsidRPr="001208AF">
        <w:t>Primary question</w:t>
      </w:r>
      <w:r>
        <w:tab/>
      </w:r>
      <w:r>
        <w:fldChar w:fldCharType="begin"/>
      </w:r>
      <w:r>
        <w:instrText xml:space="preserve"> PAGEREF _Toc106964801 \h </w:instrText>
      </w:r>
      <w:r>
        <w:fldChar w:fldCharType="separate"/>
      </w:r>
      <w:r w:rsidR="00D41A43">
        <w:t>13</w:t>
      </w:r>
      <w:r>
        <w:fldChar w:fldCharType="end"/>
      </w:r>
    </w:p>
    <w:p w14:paraId="45CA5716" w14:textId="5CB780FF" w:rsidR="001A0E9F" w:rsidRDefault="001A0E9F">
      <w:pPr>
        <w:pStyle w:val="TOC3"/>
        <w:tabs>
          <w:tab w:val="left" w:pos="1320"/>
          <w:tab w:val="right" w:leader="dot" w:pos="7643"/>
        </w:tabs>
        <w:rPr>
          <w:rFonts w:asciiTheme="minorHAnsi" w:eastAsiaTheme="minorEastAsia" w:hAnsiTheme="minorHAnsi" w:cstheme="minorBidi"/>
          <w:sz w:val="22"/>
          <w:szCs w:val="22"/>
        </w:rPr>
      </w:pPr>
      <w:r w:rsidRPr="001208AF">
        <w:t>2.3.2.</w:t>
      </w:r>
      <w:r>
        <w:rPr>
          <w:rFonts w:asciiTheme="minorHAnsi" w:eastAsiaTheme="minorEastAsia" w:hAnsiTheme="minorHAnsi" w:cstheme="minorBidi"/>
          <w:sz w:val="22"/>
          <w:szCs w:val="22"/>
        </w:rPr>
        <w:tab/>
      </w:r>
      <w:r w:rsidRPr="001208AF">
        <w:t>Secondary questions</w:t>
      </w:r>
      <w:r>
        <w:tab/>
      </w:r>
      <w:r>
        <w:fldChar w:fldCharType="begin"/>
      </w:r>
      <w:r>
        <w:instrText xml:space="preserve"> PAGEREF _Toc106964802 \h </w:instrText>
      </w:r>
      <w:r>
        <w:fldChar w:fldCharType="separate"/>
      </w:r>
      <w:r w:rsidR="00D41A43">
        <w:t>14</w:t>
      </w:r>
      <w:r>
        <w:fldChar w:fldCharType="end"/>
      </w:r>
    </w:p>
    <w:p w14:paraId="7E7BB8CF" w14:textId="5879B4A7" w:rsidR="001A0E9F" w:rsidRDefault="001A0E9F">
      <w:pPr>
        <w:pStyle w:val="TOC3"/>
        <w:tabs>
          <w:tab w:val="left" w:pos="1320"/>
          <w:tab w:val="right" w:leader="dot" w:pos="7643"/>
        </w:tabs>
        <w:rPr>
          <w:rFonts w:asciiTheme="minorHAnsi" w:eastAsiaTheme="minorEastAsia" w:hAnsiTheme="minorHAnsi" w:cstheme="minorBidi"/>
          <w:sz w:val="22"/>
          <w:szCs w:val="22"/>
        </w:rPr>
      </w:pPr>
      <w:r w:rsidRPr="001208AF">
        <w:t>2.3.3.</w:t>
      </w:r>
      <w:r>
        <w:rPr>
          <w:rFonts w:asciiTheme="minorHAnsi" w:eastAsiaTheme="minorEastAsia" w:hAnsiTheme="minorHAnsi" w:cstheme="minorBidi"/>
          <w:sz w:val="22"/>
          <w:szCs w:val="22"/>
        </w:rPr>
        <w:tab/>
      </w:r>
      <w:r w:rsidRPr="001208AF">
        <w:t xml:space="preserve">Additional commentary and guidance from </w:t>
      </w:r>
      <w:r>
        <w:t>Committee</w:t>
      </w:r>
      <w:r>
        <w:tab/>
      </w:r>
      <w:r>
        <w:fldChar w:fldCharType="begin"/>
      </w:r>
      <w:r>
        <w:instrText xml:space="preserve"> PAGEREF _Toc106964803 \h </w:instrText>
      </w:r>
      <w:r>
        <w:fldChar w:fldCharType="separate"/>
      </w:r>
      <w:r w:rsidR="00D41A43">
        <w:t>14</w:t>
      </w:r>
      <w:r>
        <w:fldChar w:fldCharType="end"/>
      </w:r>
    </w:p>
    <w:p w14:paraId="6B6DEAE3" w14:textId="36190F71" w:rsidR="001A0E9F" w:rsidRDefault="001A0E9F">
      <w:pPr>
        <w:pStyle w:val="TOC2"/>
        <w:tabs>
          <w:tab w:val="left" w:pos="880"/>
          <w:tab w:val="right" w:leader="dot" w:pos="7643"/>
        </w:tabs>
        <w:rPr>
          <w:rFonts w:asciiTheme="minorHAnsi" w:eastAsiaTheme="minorEastAsia" w:hAnsiTheme="minorHAnsi" w:cstheme="minorBidi"/>
          <w:sz w:val="22"/>
          <w:szCs w:val="22"/>
        </w:rPr>
      </w:pPr>
      <w:r>
        <w:t>2.4.</w:t>
      </w:r>
      <w:r>
        <w:rPr>
          <w:rFonts w:asciiTheme="minorHAnsi" w:eastAsiaTheme="minorEastAsia" w:hAnsiTheme="minorHAnsi" w:cstheme="minorBidi"/>
          <w:sz w:val="22"/>
          <w:szCs w:val="22"/>
        </w:rPr>
        <w:tab/>
      </w:r>
      <w:r>
        <w:t>Search Strategy and Selection of Evidence</w:t>
      </w:r>
      <w:r>
        <w:tab/>
      </w:r>
      <w:r>
        <w:fldChar w:fldCharType="begin"/>
      </w:r>
      <w:r>
        <w:instrText xml:space="preserve"> PAGEREF _Toc106964804 \h </w:instrText>
      </w:r>
      <w:r>
        <w:fldChar w:fldCharType="separate"/>
      </w:r>
      <w:r w:rsidR="00D41A43">
        <w:t>15</w:t>
      </w:r>
      <w:r>
        <w:fldChar w:fldCharType="end"/>
      </w:r>
    </w:p>
    <w:p w14:paraId="72D8F2E2" w14:textId="087C6D84" w:rsidR="001A0E9F" w:rsidRDefault="001A0E9F">
      <w:pPr>
        <w:pStyle w:val="TOC3"/>
        <w:tabs>
          <w:tab w:val="left" w:pos="1320"/>
          <w:tab w:val="right" w:leader="dot" w:pos="7643"/>
        </w:tabs>
        <w:rPr>
          <w:rFonts w:asciiTheme="minorHAnsi" w:eastAsiaTheme="minorEastAsia" w:hAnsiTheme="minorHAnsi" w:cstheme="minorBidi"/>
          <w:sz w:val="22"/>
          <w:szCs w:val="22"/>
        </w:rPr>
      </w:pPr>
      <w:r w:rsidRPr="001208AF">
        <w:t>2.4.1.</w:t>
      </w:r>
      <w:r>
        <w:rPr>
          <w:rFonts w:asciiTheme="minorHAnsi" w:eastAsiaTheme="minorEastAsia" w:hAnsiTheme="minorHAnsi" w:cstheme="minorBidi"/>
          <w:sz w:val="22"/>
          <w:szCs w:val="22"/>
        </w:rPr>
        <w:tab/>
      </w:r>
      <w:r w:rsidRPr="001208AF">
        <w:t>Overview</w:t>
      </w:r>
      <w:r>
        <w:tab/>
      </w:r>
      <w:r>
        <w:fldChar w:fldCharType="begin"/>
      </w:r>
      <w:r>
        <w:instrText xml:space="preserve"> PAGEREF _Toc106964805 \h </w:instrText>
      </w:r>
      <w:r>
        <w:fldChar w:fldCharType="separate"/>
      </w:r>
      <w:r w:rsidR="00D41A43">
        <w:t>15</w:t>
      </w:r>
      <w:r>
        <w:fldChar w:fldCharType="end"/>
      </w:r>
    </w:p>
    <w:p w14:paraId="07EAC203" w14:textId="22BB0199" w:rsidR="001A0E9F" w:rsidRDefault="001A0E9F">
      <w:pPr>
        <w:pStyle w:val="TOC3"/>
        <w:tabs>
          <w:tab w:val="left" w:pos="1320"/>
          <w:tab w:val="right" w:leader="dot" w:pos="7643"/>
        </w:tabs>
        <w:rPr>
          <w:rFonts w:asciiTheme="minorHAnsi" w:eastAsiaTheme="minorEastAsia" w:hAnsiTheme="minorHAnsi" w:cstheme="minorBidi"/>
          <w:sz w:val="22"/>
          <w:szCs w:val="22"/>
        </w:rPr>
      </w:pPr>
      <w:r w:rsidRPr="001208AF">
        <w:t>2.4.2.</w:t>
      </w:r>
      <w:r>
        <w:rPr>
          <w:rFonts w:asciiTheme="minorHAnsi" w:eastAsiaTheme="minorEastAsia" w:hAnsiTheme="minorHAnsi" w:cstheme="minorBidi"/>
          <w:sz w:val="22"/>
          <w:szCs w:val="22"/>
        </w:rPr>
        <w:tab/>
      </w:r>
      <w:r w:rsidRPr="001208AF">
        <w:t>Inclusion and exclusion criteria</w:t>
      </w:r>
      <w:r>
        <w:tab/>
      </w:r>
      <w:r>
        <w:fldChar w:fldCharType="begin"/>
      </w:r>
      <w:r>
        <w:instrText xml:space="preserve"> PAGEREF _Toc106964806 \h </w:instrText>
      </w:r>
      <w:r>
        <w:fldChar w:fldCharType="separate"/>
      </w:r>
      <w:r w:rsidR="00D41A43">
        <w:t>16</w:t>
      </w:r>
      <w:r>
        <w:fldChar w:fldCharType="end"/>
      </w:r>
    </w:p>
    <w:p w14:paraId="5421B4F2" w14:textId="584E6AE4" w:rsidR="001A0E9F" w:rsidRDefault="001A0E9F">
      <w:pPr>
        <w:pStyle w:val="TOC2"/>
        <w:tabs>
          <w:tab w:val="left" w:pos="880"/>
          <w:tab w:val="right" w:leader="dot" w:pos="7643"/>
        </w:tabs>
        <w:rPr>
          <w:rFonts w:asciiTheme="minorHAnsi" w:eastAsiaTheme="minorEastAsia" w:hAnsiTheme="minorHAnsi" w:cstheme="minorBidi"/>
          <w:sz w:val="22"/>
          <w:szCs w:val="22"/>
        </w:rPr>
      </w:pPr>
      <w:r>
        <w:t>2.5.</w:t>
      </w:r>
      <w:r>
        <w:rPr>
          <w:rFonts w:asciiTheme="minorHAnsi" w:eastAsiaTheme="minorEastAsia" w:hAnsiTheme="minorHAnsi" w:cstheme="minorBidi"/>
          <w:sz w:val="22"/>
          <w:szCs w:val="22"/>
        </w:rPr>
        <w:tab/>
      </w:r>
      <w:r>
        <w:t>Evidence Collection</w:t>
      </w:r>
      <w:r>
        <w:tab/>
      </w:r>
      <w:r>
        <w:fldChar w:fldCharType="begin"/>
      </w:r>
      <w:r>
        <w:instrText xml:space="preserve"> PAGEREF _Toc106964807 \h </w:instrText>
      </w:r>
      <w:r>
        <w:fldChar w:fldCharType="separate"/>
      </w:r>
      <w:r w:rsidR="00D41A43">
        <w:t>17</w:t>
      </w:r>
      <w:r>
        <w:fldChar w:fldCharType="end"/>
      </w:r>
    </w:p>
    <w:p w14:paraId="2C27892C" w14:textId="47160F3D" w:rsidR="001A0E9F" w:rsidRDefault="001A0E9F">
      <w:pPr>
        <w:pStyle w:val="TOC3"/>
        <w:tabs>
          <w:tab w:val="left" w:pos="1320"/>
          <w:tab w:val="right" w:leader="dot" w:pos="7643"/>
        </w:tabs>
        <w:rPr>
          <w:rFonts w:asciiTheme="minorHAnsi" w:eastAsiaTheme="minorEastAsia" w:hAnsiTheme="minorHAnsi" w:cstheme="minorBidi"/>
          <w:sz w:val="22"/>
          <w:szCs w:val="22"/>
        </w:rPr>
      </w:pPr>
      <w:r w:rsidRPr="001208AF">
        <w:t>2.5.1.</w:t>
      </w:r>
      <w:r>
        <w:rPr>
          <w:rFonts w:asciiTheme="minorHAnsi" w:eastAsiaTheme="minorEastAsia" w:hAnsiTheme="minorHAnsi" w:cstheme="minorBidi"/>
          <w:sz w:val="22"/>
          <w:szCs w:val="22"/>
        </w:rPr>
        <w:tab/>
      </w:r>
      <w:r w:rsidRPr="001208AF">
        <w:t>Classification of the evidence</w:t>
      </w:r>
      <w:r>
        <w:tab/>
      </w:r>
      <w:r>
        <w:fldChar w:fldCharType="begin"/>
      </w:r>
      <w:r>
        <w:instrText xml:space="preserve"> PAGEREF _Toc106964808 \h </w:instrText>
      </w:r>
      <w:r>
        <w:fldChar w:fldCharType="separate"/>
      </w:r>
      <w:r w:rsidR="00D41A43">
        <w:t>17</w:t>
      </w:r>
      <w:r>
        <w:fldChar w:fldCharType="end"/>
      </w:r>
    </w:p>
    <w:p w14:paraId="03C62DFC" w14:textId="01818EE6" w:rsidR="001A0E9F" w:rsidRDefault="001A0E9F">
      <w:pPr>
        <w:pStyle w:val="TOC4"/>
        <w:tabs>
          <w:tab w:val="left" w:pos="1540"/>
          <w:tab w:val="right" w:leader="dot" w:pos="7643"/>
        </w:tabs>
        <w:rPr>
          <w:rFonts w:asciiTheme="minorHAnsi" w:eastAsiaTheme="minorEastAsia" w:hAnsiTheme="minorHAnsi" w:cstheme="minorBidi"/>
          <w:sz w:val="22"/>
          <w:szCs w:val="22"/>
        </w:rPr>
      </w:pPr>
      <w:r w:rsidRPr="001208AF">
        <w:t>2.5.1.1.</w:t>
      </w:r>
      <w:r>
        <w:rPr>
          <w:rFonts w:asciiTheme="minorHAnsi" w:eastAsiaTheme="minorEastAsia" w:hAnsiTheme="minorHAnsi" w:cstheme="minorBidi"/>
          <w:sz w:val="22"/>
          <w:szCs w:val="22"/>
        </w:rPr>
        <w:tab/>
      </w:r>
      <w:r w:rsidRPr="001208AF">
        <w:t>Grey literature</w:t>
      </w:r>
      <w:r>
        <w:tab/>
      </w:r>
      <w:r>
        <w:fldChar w:fldCharType="begin"/>
      </w:r>
      <w:r>
        <w:instrText xml:space="preserve"> PAGEREF _Toc106964809 \h </w:instrText>
      </w:r>
      <w:r>
        <w:fldChar w:fldCharType="separate"/>
      </w:r>
      <w:r w:rsidR="00D41A43">
        <w:t>17</w:t>
      </w:r>
      <w:r>
        <w:fldChar w:fldCharType="end"/>
      </w:r>
    </w:p>
    <w:p w14:paraId="64DEDD95" w14:textId="4174A957" w:rsidR="001A0E9F" w:rsidRDefault="001A0E9F">
      <w:pPr>
        <w:pStyle w:val="TOC4"/>
        <w:tabs>
          <w:tab w:val="left" w:pos="1540"/>
          <w:tab w:val="right" w:leader="dot" w:pos="7643"/>
        </w:tabs>
        <w:rPr>
          <w:rFonts w:asciiTheme="minorHAnsi" w:eastAsiaTheme="minorEastAsia" w:hAnsiTheme="minorHAnsi" w:cstheme="minorBidi"/>
          <w:sz w:val="22"/>
          <w:szCs w:val="22"/>
        </w:rPr>
      </w:pPr>
      <w:r w:rsidRPr="001208AF">
        <w:t>2.5.1.2.</w:t>
      </w:r>
      <w:r>
        <w:rPr>
          <w:rFonts w:asciiTheme="minorHAnsi" w:eastAsiaTheme="minorEastAsia" w:hAnsiTheme="minorHAnsi" w:cstheme="minorBidi"/>
          <w:sz w:val="22"/>
          <w:szCs w:val="22"/>
        </w:rPr>
        <w:tab/>
      </w:r>
      <w:r w:rsidRPr="001208AF">
        <w:t>Primary studies</w:t>
      </w:r>
      <w:r>
        <w:tab/>
      </w:r>
      <w:r>
        <w:fldChar w:fldCharType="begin"/>
      </w:r>
      <w:r>
        <w:instrText xml:space="preserve"> PAGEREF _Toc106964810 \h </w:instrText>
      </w:r>
      <w:r>
        <w:fldChar w:fldCharType="separate"/>
      </w:r>
      <w:r w:rsidR="00D41A43">
        <w:t>18</w:t>
      </w:r>
      <w:r>
        <w:fldChar w:fldCharType="end"/>
      </w:r>
    </w:p>
    <w:p w14:paraId="54E79071" w14:textId="660B40CD" w:rsidR="001A0E9F" w:rsidRDefault="001A0E9F">
      <w:pPr>
        <w:pStyle w:val="TOC3"/>
        <w:tabs>
          <w:tab w:val="left" w:pos="1320"/>
          <w:tab w:val="right" w:leader="dot" w:pos="7643"/>
        </w:tabs>
        <w:rPr>
          <w:rFonts w:asciiTheme="minorHAnsi" w:eastAsiaTheme="minorEastAsia" w:hAnsiTheme="minorHAnsi" w:cstheme="minorBidi"/>
          <w:sz w:val="22"/>
          <w:szCs w:val="22"/>
        </w:rPr>
      </w:pPr>
      <w:r w:rsidRPr="001208AF">
        <w:t>2.5.2.</w:t>
      </w:r>
      <w:r>
        <w:rPr>
          <w:rFonts w:asciiTheme="minorHAnsi" w:eastAsiaTheme="minorEastAsia" w:hAnsiTheme="minorHAnsi" w:cstheme="minorBidi"/>
          <w:sz w:val="22"/>
          <w:szCs w:val="22"/>
        </w:rPr>
        <w:tab/>
      </w:r>
      <w:r w:rsidRPr="001208AF">
        <w:t>Quality assessment (by types)</w:t>
      </w:r>
      <w:r>
        <w:tab/>
      </w:r>
      <w:r>
        <w:fldChar w:fldCharType="begin"/>
      </w:r>
      <w:r>
        <w:instrText xml:space="preserve"> PAGEREF _Toc106964811 \h </w:instrText>
      </w:r>
      <w:r>
        <w:fldChar w:fldCharType="separate"/>
      </w:r>
      <w:r w:rsidR="00D41A43">
        <w:t>18</w:t>
      </w:r>
      <w:r>
        <w:fldChar w:fldCharType="end"/>
      </w:r>
    </w:p>
    <w:p w14:paraId="529D2DCB" w14:textId="22BBCA0D" w:rsidR="001A0E9F" w:rsidRDefault="001A0E9F">
      <w:pPr>
        <w:pStyle w:val="TOC4"/>
        <w:tabs>
          <w:tab w:val="left" w:pos="1540"/>
          <w:tab w:val="right" w:leader="dot" w:pos="7643"/>
        </w:tabs>
        <w:rPr>
          <w:rFonts w:asciiTheme="minorHAnsi" w:eastAsiaTheme="minorEastAsia" w:hAnsiTheme="minorHAnsi" w:cstheme="minorBidi"/>
          <w:sz w:val="22"/>
          <w:szCs w:val="22"/>
        </w:rPr>
      </w:pPr>
      <w:r w:rsidRPr="001208AF">
        <w:t>2.5.2.1.</w:t>
      </w:r>
      <w:r>
        <w:rPr>
          <w:rFonts w:asciiTheme="minorHAnsi" w:eastAsiaTheme="minorEastAsia" w:hAnsiTheme="minorHAnsi" w:cstheme="minorBidi"/>
          <w:sz w:val="22"/>
          <w:szCs w:val="22"/>
        </w:rPr>
        <w:tab/>
      </w:r>
      <w:r w:rsidRPr="001208AF">
        <w:t>Grey literature</w:t>
      </w:r>
      <w:r>
        <w:tab/>
      </w:r>
      <w:r>
        <w:fldChar w:fldCharType="begin"/>
      </w:r>
      <w:r>
        <w:instrText xml:space="preserve"> PAGEREF _Toc106964812 \h </w:instrText>
      </w:r>
      <w:r>
        <w:fldChar w:fldCharType="separate"/>
      </w:r>
      <w:r w:rsidR="00D41A43">
        <w:t>18</w:t>
      </w:r>
      <w:r>
        <w:fldChar w:fldCharType="end"/>
      </w:r>
    </w:p>
    <w:p w14:paraId="72F2B06A" w14:textId="3CD1F05D" w:rsidR="001A0E9F" w:rsidRDefault="001A0E9F">
      <w:pPr>
        <w:pStyle w:val="TOC4"/>
        <w:tabs>
          <w:tab w:val="left" w:pos="1540"/>
          <w:tab w:val="right" w:leader="dot" w:pos="7643"/>
        </w:tabs>
        <w:rPr>
          <w:rFonts w:asciiTheme="minorHAnsi" w:eastAsiaTheme="minorEastAsia" w:hAnsiTheme="minorHAnsi" w:cstheme="minorBidi"/>
          <w:sz w:val="22"/>
          <w:szCs w:val="22"/>
        </w:rPr>
      </w:pPr>
      <w:r w:rsidRPr="001208AF">
        <w:t>2.5.2.2.</w:t>
      </w:r>
      <w:r>
        <w:rPr>
          <w:rFonts w:asciiTheme="minorHAnsi" w:eastAsiaTheme="minorEastAsia" w:hAnsiTheme="minorHAnsi" w:cstheme="minorBidi"/>
          <w:sz w:val="22"/>
          <w:szCs w:val="22"/>
        </w:rPr>
        <w:tab/>
      </w:r>
      <w:r w:rsidRPr="001208AF">
        <w:t>Primary studies</w:t>
      </w:r>
      <w:r>
        <w:tab/>
      </w:r>
      <w:r>
        <w:fldChar w:fldCharType="begin"/>
      </w:r>
      <w:r>
        <w:instrText xml:space="preserve"> PAGEREF _Toc106964813 \h </w:instrText>
      </w:r>
      <w:r>
        <w:fldChar w:fldCharType="separate"/>
      </w:r>
      <w:r w:rsidR="00D41A43">
        <w:t>18</w:t>
      </w:r>
      <w:r>
        <w:fldChar w:fldCharType="end"/>
      </w:r>
    </w:p>
    <w:p w14:paraId="6366D362" w14:textId="39D2C24B" w:rsidR="001A0E9F" w:rsidRDefault="001A0E9F">
      <w:pPr>
        <w:pStyle w:val="TOC2"/>
        <w:tabs>
          <w:tab w:val="left" w:pos="880"/>
          <w:tab w:val="right" w:leader="dot" w:pos="7643"/>
        </w:tabs>
        <w:rPr>
          <w:rFonts w:asciiTheme="minorHAnsi" w:eastAsiaTheme="minorEastAsia" w:hAnsiTheme="minorHAnsi" w:cstheme="minorBidi"/>
          <w:sz w:val="22"/>
          <w:szCs w:val="22"/>
        </w:rPr>
      </w:pPr>
      <w:r>
        <w:t>2.6.</w:t>
      </w:r>
      <w:r>
        <w:rPr>
          <w:rFonts w:asciiTheme="minorHAnsi" w:eastAsiaTheme="minorEastAsia" w:hAnsiTheme="minorHAnsi" w:cstheme="minorBidi"/>
          <w:sz w:val="22"/>
          <w:szCs w:val="22"/>
        </w:rPr>
        <w:tab/>
      </w:r>
      <w:r>
        <w:t>Data Extraction</w:t>
      </w:r>
      <w:r>
        <w:tab/>
      </w:r>
      <w:r>
        <w:fldChar w:fldCharType="begin"/>
      </w:r>
      <w:r>
        <w:instrText xml:space="preserve"> PAGEREF _Toc106964814 \h </w:instrText>
      </w:r>
      <w:r>
        <w:fldChar w:fldCharType="separate"/>
      </w:r>
      <w:r w:rsidR="00D41A43">
        <w:t>20</w:t>
      </w:r>
      <w:r>
        <w:fldChar w:fldCharType="end"/>
      </w:r>
    </w:p>
    <w:p w14:paraId="7AC8409F" w14:textId="42D7F735" w:rsidR="001A0E9F" w:rsidRDefault="001A0E9F">
      <w:pPr>
        <w:pStyle w:val="TOC2"/>
        <w:tabs>
          <w:tab w:val="left" w:pos="880"/>
          <w:tab w:val="right" w:leader="dot" w:pos="7643"/>
        </w:tabs>
        <w:rPr>
          <w:rFonts w:asciiTheme="minorHAnsi" w:eastAsiaTheme="minorEastAsia" w:hAnsiTheme="minorHAnsi" w:cstheme="minorBidi"/>
          <w:sz w:val="22"/>
          <w:szCs w:val="22"/>
        </w:rPr>
      </w:pPr>
      <w:r>
        <w:t>2.7.</w:t>
      </w:r>
      <w:r>
        <w:rPr>
          <w:rFonts w:asciiTheme="minorHAnsi" w:eastAsiaTheme="minorEastAsia" w:hAnsiTheme="minorHAnsi" w:cstheme="minorBidi"/>
          <w:sz w:val="22"/>
          <w:szCs w:val="22"/>
        </w:rPr>
        <w:tab/>
      </w:r>
      <w:r>
        <w:t>Process for Assessing the Body of Evidence</w:t>
      </w:r>
      <w:r>
        <w:tab/>
      </w:r>
      <w:r>
        <w:fldChar w:fldCharType="begin"/>
      </w:r>
      <w:r>
        <w:instrText xml:space="preserve"> PAGEREF _Toc106964815 \h </w:instrText>
      </w:r>
      <w:r>
        <w:fldChar w:fldCharType="separate"/>
      </w:r>
      <w:r w:rsidR="00D41A43">
        <w:t>20</w:t>
      </w:r>
      <w:r>
        <w:fldChar w:fldCharType="end"/>
      </w:r>
    </w:p>
    <w:p w14:paraId="6F6414C9" w14:textId="4004DD5D" w:rsidR="001A0E9F" w:rsidRDefault="001A0E9F">
      <w:pPr>
        <w:pStyle w:val="TOC3"/>
        <w:tabs>
          <w:tab w:val="left" w:pos="1320"/>
          <w:tab w:val="right" w:leader="dot" w:pos="7643"/>
        </w:tabs>
        <w:rPr>
          <w:rFonts w:asciiTheme="minorHAnsi" w:eastAsiaTheme="minorEastAsia" w:hAnsiTheme="minorHAnsi" w:cstheme="minorBidi"/>
          <w:sz w:val="22"/>
          <w:szCs w:val="22"/>
        </w:rPr>
      </w:pPr>
      <w:r>
        <w:t>2.7.1.</w:t>
      </w:r>
      <w:r>
        <w:rPr>
          <w:rFonts w:asciiTheme="minorHAnsi" w:eastAsiaTheme="minorEastAsia" w:hAnsiTheme="minorHAnsi" w:cstheme="minorBidi"/>
          <w:sz w:val="22"/>
          <w:szCs w:val="22"/>
        </w:rPr>
        <w:tab/>
      </w:r>
      <w:r>
        <w:t>Overview</w:t>
      </w:r>
      <w:r>
        <w:tab/>
      </w:r>
      <w:r>
        <w:fldChar w:fldCharType="begin"/>
      </w:r>
      <w:r>
        <w:instrText xml:space="preserve"> PAGEREF _Toc106964816 \h </w:instrText>
      </w:r>
      <w:r>
        <w:fldChar w:fldCharType="separate"/>
      </w:r>
      <w:r w:rsidR="00D41A43">
        <w:t>20</w:t>
      </w:r>
      <w:r>
        <w:fldChar w:fldCharType="end"/>
      </w:r>
    </w:p>
    <w:p w14:paraId="6D7E5B21" w14:textId="2909F452" w:rsidR="001A0E9F" w:rsidRDefault="001A0E9F">
      <w:pPr>
        <w:pStyle w:val="TOC3"/>
        <w:tabs>
          <w:tab w:val="left" w:pos="1320"/>
          <w:tab w:val="right" w:leader="dot" w:pos="7643"/>
        </w:tabs>
        <w:rPr>
          <w:rFonts w:asciiTheme="minorHAnsi" w:eastAsiaTheme="minorEastAsia" w:hAnsiTheme="minorHAnsi" w:cstheme="minorBidi"/>
          <w:sz w:val="22"/>
          <w:szCs w:val="22"/>
        </w:rPr>
      </w:pPr>
      <w:r w:rsidRPr="001208AF">
        <w:t>2.7.2.</w:t>
      </w:r>
      <w:r>
        <w:rPr>
          <w:rFonts w:asciiTheme="minorHAnsi" w:eastAsiaTheme="minorEastAsia" w:hAnsiTheme="minorHAnsi" w:cstheme="minorBidi"/>
          <w:sz w:val="22"/>
          <w:szCs w:val="22"/>
        </w:rPr>
        <w:tab/>
      </w:r>
      <w:r w:rsidRPr="001208AF">
        <w:t>Assessment of the body of evidence – primary studies</w:t>
      </w:r>
      <w:r>
        <w:tab/>
      </w:r>
      <w:r>
        <w:fldChar w:fldCharType="begin"/>
      </w:r>
      <w:r>
        <w:instrText xml:space="preserve"> PAGEREF _Toc106964817 \h </w:instrText>
      </w:r>
      <w:r>
        <w:fldChar w:fldCharType="separate"/>
      </w:r>
      <w:r w:rsidR="00D41A43">
        <w:t>20</w:t>
      </w:r>
      <w:r>
        <w:fldChar w:fldCharType="end"/>
      </w:r>
    </w:p>
    <w:p w14:paraId="237AE16C" w14:textId="48A1A8DF" w:rsidR="001A0E9F" w:rsidRDefault="001A0E9F">
      <w:pPr>
        <w:pStyle w:val="TOC4"/>
        <w:tabs>
          <w:tab w:val="left" w:pos="1540"/>
          <w:tab w:val="right" w:leader="dot" w:pos="7643"/>
        </w:tabs>
        <w:rPr>
          <w:rFonts w:asciiTheme="minorHAnsi" w:eastAsiaTheme="minorEastAsia" w:hAnsiTheme="minorHAnsi" w:cstheme="minorBidi"/>
          <w:sz w:val="22"/>
          <w:szCs w:val="22"/>
        </w:rPr>
      </w:pPr>
      <w:r>
        <w:t>2.7.2.1.</w:t>
      </w:r>
      <w:r>
        <w:rPr>
          <w:rFonts w:asciiTheme="minorHAnsi" w:eastAsiaTheme="minorEastAsia" w:hAnsiTheme="minorHAnsi" w:cstheme="minorBidi"/>
          <w:sz w:val="22"/>
          <w:szCs w:val="22"/>
        </w:rPr>
        <w:tab/>
      </w:r>
      <w:r>
        <w:t>Outcome definition and prioritisation</w:t>
      </w:r>
      <w:r>
        <w:tab/>
      </w:r>
      <w:r>
        <w:fldChar w:fldCharType="begin"/>
      </w:r>
      <w:r>
        <w:instrText xml:space="preserve"> PAGEREF _Toc106964818 \h </w:instrText>
      </w:r>
      <w:r>
        <w:fldChar w:fldCharType="separate"/>
      </w:r>
      <w:r w:rsidR="00D41A43">
        <w:t>21</w:t>
      </w:r>
      <w:r>
        <w:fldChar w:fldCharType="end"/>
      </w:r>
    </w:p>
    <w:p w14:paraId="3C26BD62" w14:textId="12BE0536" w:rsidR="001A0E9F" w:rsidRDefault="001A0E9F">
      <w:pPr>
        <w:pStyle w:val="TOC4"/>
        <w:tabs>
          <w:tab w:val="left" w:pos="1540"/>
          <w:tab w:val="right" w:leader="dot" w:pos="7643"/>
        </w:tabs>
        <w:rPr>
          <w:rFonts w:asciiTheme="minorHAnsi" w:eastAsiaTheme="minorEastAsia" w:hAnsiTheme="minorHAnsi" w:cstheme="minorBidi"/>
          <w:sz w:val="22"/>
          <w:szCs w:val="22"/>
        </w:rPr>
      </w:pPr>
      <w:r w:rsidRPr="001208AF">
        <w:t>2.7.2.2.</w:t>
      </w:r>
      <w:r>
        <w:rPr>
          <w:rFonts w:asciiTheme="minorHAnsi" w:eastAsiaTheme="minorEastAsia" w:hAnsiTheme="minorHAnsi" w:cstheme="minorBidi"/>
          <w:sz w:val="22"/>
          <w:szCs w:val="22"/>
        </w:rPr>
        <w:tab/>
      </w:r>
      <w:r w:rsidRPr="001208AF">
        <w:t>GRADE assessment</w:t>
      </w:r>
      <w:r>
        <w:tab/>
      </w:r>
      <w:r>
        <w:fldChar w:fldCharType="begin"/>
      </w:r>
      <w:r>
        <w:instrText xml:space="preserve"> PAGEREF _Toc106964819 \h </w:instrText>
      </w:r>
      <w:r>
        <w:fldChar w:fldCharType="separate"/>
      </w:r>
      <w:r w:rsidR="00D41A43">
        <w:t>22</w:t>
      </w:r>
      <w:r>
        <w:fldChar w:fldCharType="end"/>
      </w:r>
    </w:p>
    <w:p w14:paraId="353C2794" w14:textId="47746A6B" w:rsidR="001A0E9F" w:rsidRDefault="001A0E9F">
      <w:pPr>
        <w:pStyle w:val="TOC4"/>
        <w:tabs>
          <w:tab w:val="left" w:pos="1540"/>
          <w:tab w:val="right" w:leader="dot" w:pos="7643"/>
        </w:tabs>
        <w:rPr>
          <w:rFonts w:asciiTheme="minorHAnsi" w:eastAsiaTheme="minorEastAsia" w:hAnsiTheme="minorHAnsi" w:cstheme="minorBidi"/>
          <w:sz w:val="22"/>
          <w:szCs w:val="22"/>
        </w:rPr>
      </w:pPr>
      <w:r w:rsidRPr="001208AF">
        <w:t>2.7.2.3.</w:t>
      </w:r>
      <w:r>
        <w:rPr>
          <w:rFonts w:asciiTheme="minorHAnsi" w:eastAsiaTheme="minorEastAsia" w:hAnsiTheme="minorHAnsi" w:cstheme="minorBidi"/>
          <w:sz w:val="22"/>
          <w:szCs w:val="22"/>
        </w:rPr>
        <w:tab/>
      </w:r>
      <w:r w:rsidRPr="001208AF">
        <w:t>Upgrading or downgrading certainty of evidence</w:t>
      </w:r>
      <w:r>
        <w:tab/>
      </w:r>
      <w:r>
        <w:fldChar w:fldCharType="begin"/>
      </w:r>
      <w:r>
        <w:instrText xml:space="preserve"> PAGEREF _Toc106964820 \h </w:instrText>
      </w:r>
      <w:r>
        <w:fldChar w:fldCharType="separate"/>
      </w:r>
      <w:r w:rsidR="00D41A43">
        <w:t>23</w:t>
      </w:r>
      <w:r>
        <w:fldChar w:fldCharType="end"/>
      </w:r>
    </w:p>
    <w:p w14:paraId="5FC71D79" w14:textId="63878D02" w:rsidR="001A0E9F" w:rsidRDefault="001A0E9F">
      <w:pPr>
        <w:pStyle w:val="TOC3"/>
        <w:tabs>
          <w:tab w:val="left" w:pos="1320"/>
          <w:tab w:val="right" w:leader="dot" w:pos="7643"/>
        </w:tabs>
        <w:rPr>
          <w:rFonts w:asciiTheme="minorHAnsi" w:eastAsiaTheme="minorEastAsia" w:hAnsiTheme="minorHAnsi" w:cstheme="minorBidi"/>
          <w:sz w:val="22"/>
          <w:szCs w:val="22"/>
        </w:rPr>
      </w:pPr>
      <w:r w:rsidRPr="001208AF">
        <w:t>2.7.3.</w:t>
      </w:r>
      <w:r>
        <w:rPr>
          <w:rFonts w:asciiTheme="minorHAnsi" w:eastAsiaTheme="minorEastAsia" w:hAnsiTheme="minorHAnsi" w:cstheme="minorBidi"/>
          <w:sz w:val="22"/>
          <w:szCs w:val="22"/>
        </w:rPr>
        <w:tab/>
      </w:r>
      <w:r w:rsidRPr="001208AF">
        <w:t>Assessment of the body of evidence for grey literature</w:t>
      </w:r>
      <w:r>
        <w:tab/>
      </w:r>
      <w:r>
        <w:fldChar w:fldCharType="begin"/>
      </w:r>
      <w:r>
        <w:instrText xml:space="preserve"> PAGEREF _Toc106964821 \h </w:instrText>
      </w:r>
      <w:r>
        <w:fldChar w:fldCharType="separate"/>
      </w:r>
      <w:r w:rsidR="00D41A43">
        <w:t>24</w:t>
      </w:r>
      <w:r>
        <w:fldChar w:fldCharType="end"/>
      </w:r>
    </w:p>
    <w:p w14:paraId="74C29A73" w14:textId="5080F36A" w:rsidR="001A0E9F" w:rsidRDefault="001A0E9F">
      <w:pPr>
        <w:pStyle w:val="TOC1"/>
        <w:tabs>
          <w:tab w:val="left" w:pos="400"/>
          <w:tab w:val="right" w:leader="dot" w:pos="7643"/>
        </w:tabs>
        <w:rPr>
          <w:rFonts w:asciiTheme="minorHAnsi" w:eastAsiaTheme="minorEastAsia" w:hAnsiTheme="minorHAnsi" w:cstheme="minorBidi"/>
          <w:sz w:val="22"/>
          <w:szCs w:val="22"/>
        </w:rPr>
      </w:pPr>
      <w:r>
        <w:t>3</w:t>
      </w:r>
      <w:r>
        <w:rPr>
          <w:rFonts w:asciiTheme="minorHAnsi" w:eastAsiaTheme="minorEastAsia" w:hAnsiTheme="minorHAnsi" w:cstheme="minorBidi"/>
          <w:sz w:val="22"/>
          <w:szCs w:val="22"/>
        </w:rPr>
        <w:tab/>
      </w:r>
      <w:r>
        <w:t>Literature search results</w:t>
      </w:r>
      <w:r>
        <w:tab/>
      </w:r>
      <w:r>
        <w:fldChar w:fldCharType="begin"/>
      </w:r>
      <w:r>
        <w:instrText xml:space="preserve"> PAGEREF _Toc106964822 \h </w:instrText>
      </w:r>
      <w:r>
        <w:fldChar w:fldCharType="separate"/>
      </w:r>
      <w:r w:rsidR="00D41A43">
        <w:t>26</w:t>
      </w:r>
      <w:r>
        <w:fldChar w:fldCharType="end"/>
      </w:r>
    </w:p>
    <w:p w14:paraId="68AC1267" w14:textId="6CDC0D3A" w:rsidR="001A0E9F" w:rsidRDefault="001A0E9F">
      <w:pPr>
        <w:pStyle w:val="TOC2"/>
        <w:tabs>
          <w:tab w:val="left" w:pos="880"/>
          <w:tab w:val="right" w:leader="dot" w:pos="7643"/>
        </w:tabs>
        <w:rPr>
          <w:rFonts w:asciiTheme="minorHAnsi" w:eastAsiaTheme="minorEastAsia" w:hAnsiTheme="minorHAnsi" w:cstheme="minorBidi"/>
          <w:sz w:val="22"/>
          <w:szCs w:val="22"/>
        </w:rPr>
      </w:pPr>
      <w:r>
        <w:t>3.1.</w:t>
      </w:r>
      <w:r>
        <w:rPr>
          <w:rFonts w:asciiTheme="minorHAnsi" w:eastAsiaTheme="minorEastAsia" w:hAnsiTheme="minorHAnsi" w:cstheme="minorBidi"/>
          <w:sz w:val="22"/>
          <w:szCs w:val="22"/>
        </w:rPr>
        <w:tab/>
      </w:r>
      <w:r>
        <w:t>Grey literature</w:t>
      </w:r>
      <w:r>
        <w:tab/>
      </w:r>
      <w:r>
        <w:fldChar w:fldCharType="begin"/>
      </w:r>
      <w:r>
        <w:instrText xml:space="preserve"> PAGEREF _Toc106964823 \h </w:instrText>
      </w:r>
      <w:r>
        <w:fldChar w:fldCharType="separate"/>
      </w:r>
      <w:r w:rsidR="00D41A43">
        <w:t>26</w:t>
      </w:r>
      <w:r>
        <w:fldChar w:fldCharType="end"/>
      </w:r>
    </w:p>
    <w:p w14:paraId="2C4AF786" w14:textId="4A7E5E1C" w:rsidR="001A0E9F" w:rsidRDefault="001A0E9F">
      <w:pPr>
        <w:pStyle w:val="TOC2"/>
        <w:tabs>
          <w:tab w:val="left" w:pos="880"/>
          <w:tab w:val="right" w:leader="dot" w:pos="7643"/>
        </w:tabs>
        <w:rPr>
          <w:rFonts w:asciiTheme="minorHAnsi" w:eastAsiaTheme="minorEastAsia" w:hAnsiTheme="minorHAnsi" w:cstheme="minorBidi"/>
          <w:sz w:val="22"/>
          <w:szCs w:val="22"/>
        </w:rPr>
      </w:pPr>
      <w:r>
        <w:t>3.2.</w:t>
      </w:r>
      <w:r>
        <w:rPr>
          <w:rFonts w:asciiTheme="minorHAnsi" w:eastAsiaTheme="minorEastAsia" w:hAnsiTheme="minorHAnsi" w:cstheme="minorBidi"/>
          <w:sz w:val="22"/>
          <w:szCs w:val="22"/>
        </w:rPr>
        <w:tab/>
      </w:r>
      <w:r>
        <w:t>Primary studies</w:t>
      </w:r>
      <w:r>
        <w:tab/>
      </w:r>
      <w:r>
        <w:fldChar w:fldCharType="begin"/>
      </w:r>
      <w:r>
        <w:instrText xml:space="preserve"> PAGEREF _Toc106964824 \h </w:instrText>
      </w:r>
      <w:r>
        <w:fldChar w:fldCharType="separate"/>
      </w:r>
      <w:r w:rsidR="00D41A43">
        <w:t>26</w:t>
      </w:r>
      <w:r>
        <w:fldChar w:fldCharType="end"/>
      </w:r>
    </w:p>
    <w:p w14:paraId="53069E0E" w14:textId="62231494" w:rsidR="001A0E9F" w:rsidRDefault="001A0E9F">
      <w:pPr>
        <w:pStyle w:val="TOC1"/>
        <w:tabs>
          <w:tab w:val="left" w:pos="400"/>
          <w:tab w:val="right" w:leader="dot" w:pos="7643"/>
        </w:tabs>
        <w:rPr>
          <w:rFonts w:asciiTheme="minorHAnsi" w:eastAsiaTheme="minorEastAsia" w:hAnsiTheme="minorHAnsi" w:cstheme="minorBidi"/>
          <w:sz w:val="22"/>
          <w:szCs w:val="22"/>
        </w:rPr>
      </w:pPr>
      <w:r>
        <w:t>4</w:t>
      </w:r>
      <w:r>
        <w:rPr>
          <w:rFonts w:asciiTheme="minorHAnsi" w:eastAsiaTheme="minorEastAsia" w:hAnsiTheme="minorHAnsi" w:cstheme="minorBidi"/>
          <w:sz w:val="22"/>
          <w:szCs w:val="22"/>
        </w:rPr>
        <w:tab/>
      </w:r>
      <w:r>
        <w:t>Quality of evidence</w:t>
      </w:r>
      <w:r>
        <w:tab/>
      </w:r>
      <w:r>
        <w:fldChar w:fldCharType="begin"/>
      </w:r>
      <w:r>
        <w:instrText xml:space="preserve"> PAGEREF _Toc106964825 \h </w:instrText>
      </w:r>
      <w:r>
        <w:fldChar w:fldCharType="separate"/>
      </w:r>
      <w:r w:rsidR="00D41A43">
        <w:t>29</w:t>
      </w:r>
      <w:r>
        <w:fldChar w:fldCharType="end"/>
      </w:r>
    </w:p>
    <w:p w14:paraId="3FEA58C7" w14:textId="0DF35469" w:rsidR="001A0E9F" w:rsidRDefault="001A0E9F">
      <w:pPr>
        <w:pStyle w:val="TOC2"/>
        <w:tabs>
          <w:tab w:val="left" w:pos="880"/>
          <w:tab w:val="right" w:leader="dot" w:pos="7643"/>
        </w:tabs>
        <w:rPr>
          <w:rFonts w:asciiTheme="minorHAnsi" w:eastAsiaTheme="minorEastAsia" w:hAnsiTheme="minorHAnsi" w:cstheme="minorBidi"/>
          <w:sz w:val="22"/>
          <w:szCs w:val="22"/>
        </w:rPr>
      </w:pPr>
      <w:r>
        <w:t>4.1.</w:t>
      </w:r>
      <w:r>
        <w:rPr>
          <w:rFonts w:asciiTheme="minorHAnsi" w:eastAsiaTheme="minorEastAsia" w:hAnsiTheme="minorHAnsi" w:cstheme="minorBidi"/>
          <w:sz w:val="22"/>
          <w:szCs w:val="22"/>
        </w:rPr>
        <w:tab/>
      </w:r>
      <w:r>
        <w:t>Grey literature</w:t>
      </w:r>
      <w:r>
        <w:tab/>
      </w:r>
      <w:r>
        <w:fldChar w:fldCharType="begin"/>
      </w:r>
      <w:r>
        <w:instrText xml:space="preserve"> PAGEREF _Toc106964826 \h </w:instrText>
      </w:r>
      <w:r>
        <w:fldChar w:fldCharType="separate"/>
      </w:r>
      <w:r w:rsidR="00D41A43">
        <w:t>29</w:t>
      </w:r>
      <w:r>
        <w:fldChar w:fldCharType="end"/>
      </w:r>
    </w:p>
    <w:p w14:paraId="1C5C8E08" w14:textId="700A0331" w:rsidR="001A0E9F" w:rsidRDefault="001A0E9F">
      <w:pPr>
        <w:pStyle w:val="TOC3"/>
        <w:tabs>
          <w:tab w:val="left" w:pos="1320"/>
          <w:tab w:val="right" w:leader="dot" w:pos="7643"/>
        </w:tabs>
        <w:rPr>
          <w:rFonts w:asciiTheme="minorHAnsi" w:eastAsiaTheme="minorEastAsia" w:hAnsiTheme="minorHAnsi" w:cstheme="minorBidi"/>
          <w:sz w:val="22"/>
          <w:szCs w:val="22"/>
        </w:rPr>
      </w:pPr>
      <w:r w:rsidRPr="001208AF">
        <w:t>4.1.1.</w:t>
      </w:r>
      <w:r>
        <w:rPr>
          <w:rFonts w:asciiTheme="minorHAnsi" w:eastAsiaTheme="minorEastAsia" w:hAnsiTheme="minorHAnsi" w:cstheme="minorBidi"/>
          <w:sz w:val="22"/>
          <w:szCs w:val="22"/>
        </w:rPr>
        <w:tab/>
      </w:r>
      <w:r w:rsidRPr="001208AF">
        <w:t>Quality of included grey literature</w:t>
      </w:r>
      <w:r>
        <w:tab/>
      </w:r>
      <w:r>
        <w:fldChar w:fldCharType="begin"/>
      </w:r>
      <w:r>
        <w:instrText xml:space="preserve"> PAGEREF _Toc106964827 \h </w:instrText>
      </w:r>
      <w:r>
        <w:fldChar w:fldCharType="separate"/>
      </w:r>
      <w:r w:rsidR="00D41A43">
        <w:t>29</w:t>
      </w:r>
      <w:r>
        <w:fldChar w:fldCharType="end"/>
      </w:r>
    </w:p>
    <w:p w14:paraId="25C1842D" w14:textId="0EF91219" w:rsidR="001A0E9F" w:rsidRDefault="001A0E9F">
      <w:pPr>
        <w:pStyle w:val="TOC2"/>
        <w:tabs>
          <w:tab w:val="left" w:pos="880"/>
          <w:tab w:val="right" w:leader="dot" w:pos="7643"/>
        </w:tabs>
        <w:rPr>
          <w:rFonts w:asciiTheme="minorHAnsi" w:eastAsiaTheme="minorEastAsia" w:hAnsiTheme="minorHAnsi" w:cstheme="minorBidi"/>
          <w:sz w:val="22"/>
          <w:szCs w:val="22"/>
        </w:rPr>
      </w:pPr>
      <w:r>
        <w:t>4.2.</w:t>
      </w:r>
      <w:r>
        <w:rPr>
          <w:rFonts w:asciiTheme="minorHAnsi" w:eastAsiaTheme="minorEastAsia" w:hAnsiTheme="minorHAnsi" w:cstheme="minorBidi"/>
          <w:sz w:val="22"/>
          <w:szCs w:val="22"/>
        </w:rPr>
        <w:tab/>
      </w:r>
      <w:r>
        <w:t>Primary studies</w:t>
      </w:r>
      <w:r>
        <w:tab/>
      </w:r>
      <w:r>
        <w:fldChar w:fldCharType="begin"/>
      </w:r>
      <w:r>
        <w:instrText xml:space="preserve"> PAGEREF _Toc106964828 \h </w:instrText>
      </w:r>
      <w:r>
        <w:fldChar w:fldCharType="separate"/>
      </w:r>
      <w:r w:rsidR="00D41A43">
        <w:t>32</w:t>
      </w:r>
      <w:r>
        <w:fldChar w:fldCharType="end"/>
      </w:r>
    </w:p>
    <w:p w14:paraId="0BF87FD4" w14:textId="72B5AD8F" w:rsidR="001A0E9F" w:rsidRDefault="001A0E9F">
      <w:pPr>
        <w:pStyle w:val="TOC3"/>
        <w:tabs>
          <w:tab w:val="left" w:pos="1320"/>
          <w:tab w:val="right" w:leader="dot" w:pos="7643"/>
        </w:tabs>
        <w:rPr>
          <w:rFonts w:asciiTheme="minorHAnsi" w:eastAsiaTheme="minorEastAsia" w:hAnsiTheme="minorHAnsi" w:cstheme="minorBidi"/>
          <w:sz w:val="22"/>
          <w:szCs w:val="22"/>
        </w:rPr>
      </w:pPr>
      <w:r>
        <w:t>4.2.1.</w:t>
      </w:r>
      <w:r>
        <w:rPr>
          <w:rFonts w:asciiTheme="minorHAnsi" w:eastAsiaTheme="minorEastAsia" w:hAnsiTheme="minorHAnsi" w:cstheme="minorBidi"/>
          <w:sz w:val="22"/>
          <w:szCs w:val="22"/>
        </w:rPr>
        <w:tab/>
      </w:r>
      <w:r>
        <w:t>Quality of included studies</w:t>
      </w:r>
      <w:r>
        <w:tab/>
      </w:r>
      <w:r>
        <w:fldChar w:fldCharType="begin"/>
      </w:r>
      <w:r>
        <w:instrText xml:space="preserve"> PAGEREF _Toc106964829 \h </w:instrText>
      </w:r>
      <w:r>
        <w:fldChar w:fldCharType="separate"/>
      </w:r>
      <w:r w:rsidR="00D41A43">
        <w:t>32</w:t>
      </w:r>
      <w:r>
        <w:fldChar w:fldCharType="end"/>
      </w:r>
    </w:p>
    <w:p w14:paraId="574C9472" w14:textId="54F92F80" w:rsidR="001A0E9F" w:rsidRDefault="001A0E9F">
      <w:pPr>
        <w:pStyle w:val="TOC4"/>
        <w:tabs>
          <w:tab w:val="left" w:pos="1540"/>
          <w:tab w:val="right" w:leader="dot" w:pos="7643"/>
        </w:tabs>
        <w:rPr>
          <w:rFonts w:asciiTheme="minorHAnsi" w:eastAsiaTheme="minorEastAsia" w:hAnsiTheme="minorHAnsi" w:cstheme="minorBidi"/>
          <w:sz w:val="22"/>
          <w:szCs w:val="22"/>
        </w:rPr>
      </w:pPr>
      <w:r w:rsidRPr="001208AF">
        <w:t>4.2.1.1.</w:t>
      </w:r>
      <w:r>
        <w:rPr>
          <w:rFonts w:asciiTheme="minorHAnsi" w:eastAsiaTheme="minorEastAsia" w:hAnsiTheme="minorHAnsi" w:cstheme="minorBidi"/>
          <w:sz w:val="22"/>
          <w:szCs w:val="22"/>
        </w:rPr>
        <w:tab/>
      </w:r>
      <w:r w:rsidRPr="001208AF">
        <w:t>Qualitative Research Studies</w:t>
      </w:r>
      <w:r>
        <w:tab/>
      </w:r>
      <w:r>
        <w:fldChar w:fldCharType="begin"/>
      </w:r>
      <w:r>
        <w:instrText xml:space="preserve"> PAGEREF _Toc106964830 \h </w:instrText>
      </w:r>
      <w:r>
        <w:fldChar w:fldCharType="separate"/>
      </w:r>
      <w:r w:rsidR="00D41A43">
        <w:t>32</w:t>
      </w:r>
      <w:r>
        <w:fldChar w:fldCharType="end"/>
      </w:r>
    </w:p>
    <w:p w14:paraId="2FE7CE9A" w14:textId="796AB193" w:rsidR="001A0E9F" w:rsidRDefault="001A0E9F">
      <w:pPr>
        <w:pStyle w:val="TOC4"/>
        <w:tabs>
          <w:tab w:val="left" w:pos="1540"/>
          <w:tab w:val="right" w:leader="dot" w:pos="7643"/>
        </w:tabs>
        <w:rPr>
          <w:rFonts w:asciiTheme="minorHAnsi" w:eastAsiaTheme="minorEastAsia" w:hAnsiTheme="minorHAnsi" w:cstheme="minorBidi"/>
          <w:sz w:val="22"/>
          <w:szCs w:val="22"/>
        </w:rPr>
      </w:pPr>
      <w:r w:rsidRPr="001208AF">
        <w:t>4.2.1.2.</w:t>
      </w:r>
      <w:r>
        <w:rPr>
          <w:rFonts w:asciiTheme="minorHAnsi" w:eastAsiaTheme="minorEastAsia" w:hAnsiTheme="minorHAnsi" w:cstheme="minorBidi"/>
          <w:sz w:val="22"/>
          <w:szCs w:val="22"/>
        </w:rPr>
        <w:tab/>
      </w:r>
      <w:r w:rsidRPr="001208AF">
        <w:t>Cohort Studies</w:t>
      </w:r>
      <w:r>
        <w:tab/>
      </w:r>
      <w:r>
        <w:fldChar w:fldCharType="begin"/>
      </w:r>
      <w:r>
        <w:instrText xml:space="preserve"> PAGEREF _Toc106964831 \h </w:instrText>
      </w:r>
      <w:r>
        <w:fldChar w:fldCharType="separate"/>
      </w:r>
      <w:r w:rsidR="00D41A43">
        <w:t>35</w:t>
      </w:r>
      <w:r>
        <w:fldChar w:fldCharType="end"/>
      </w:r>
    </w:p>
    <w:p w14:paraId="6AEDC714" w14:textId="4F5172F9" w:rsidR="001A0E9F" w:rsidRDefault="001A0E9F">
      <w:pPr>
        <w:pStyle w:val="TOC4"/>
        <w:tabs>
          <w:tab w:val="left" w:pos="1540"/>
          <w:tab w:val="right" w:leader="dot" w:pos="7643"/>
        </w:tabs>
        <w:rPr>
          <w:rFonts w:asciiTheme="minorHAnsi" w:eastAsiaTheme="minorEastAsia" w:hAnsiTheme="minorHAnsi" w:cstheme="minorBidi"/>
          <w:sz w:val="22"/>
          <w:szCs w:val="22"/>
        </w:rPr>
      </w:pPr>
      <w:r w:rsidRPr="001208AF">
        <w:t>4.2.1.1.</w:t>
      </w:r>
      <w:r>
        <w:rPr>
          <w:rFonts w:asciiTheme="minorHAnsi" w:eastAsiaTheme="minorEastAsia" w:hAnsiTheme="minorHAnsi" w:cstheme="minorBidi"/>
          <w:sz w:val="22"/>
          <w:szCs w:val="22"/>
        </w:rPr>
        <w:tab/>
      </w:r>
      <w:r w:rsidRPr="001208AF">
        <w:t>Systematic reviews</w:t>
      </w:r>
      <w:r>
        <w:tab/>
      </w:r>
      <w:r>
        <w:fldChar w:fldCharType="begin"/>
      </w:r>
      <w:r>
        <w:instrText xml:space="preserve"> PAGEREF _Toc106964832 \h </w:instrText>
      </w:r>
      <w:r>
        <w:fldChar w:fldCharType="separate"/>
      </w:r>
      <w:r w:rsidR="00D41A43">
        <w:t>36</w:t>
      </w:r>
      <w:r>
        <w:fldChar w:fldCharType="end"/>
      </w:r>
    </w:p>
    <w:p w14:paraId="3EFB4200" w14:textId="65A9CDC5" w:rsidR="001A0E9F" w:rsidRDefault="001A0E9F">
      <w:pPr>
        <w:pStyle w:val="TOC1"/>
        <w:tabs>
          <w:tab w:val="left" w:pos="400"/>
          <w:tab w:val="right" w:leader="dot" w:pos="7643"/>
        </w:tabs>
        <w:rPr>
          <w:rFonts w:asciiTheme="minorHAnsi" w:eastAsiaTheme="minorEastAsia" w:hAnsiTheme="minorHAnsi" w:cstheme="minorBidi"/>
          <w:sz w:val="22"/>
          <w:szCs w:val="22"/>
        </w:rPr>
      </w:pPr>
      <w:r>
        <w:t>5</w:t>
      </w:r>
      <w:r>
        <w:rPr>
          <w:rFonts w:asciiTheme="minorHAnsi" w:eastAsiaTheme="minorEastAsia" w:hAnsiTheme="minorHAnsi" w:cstheme="minorBidi"/>
          <w:sz w:val="22"/>
          <w:szCs w:val="22"/>
        </w:rPr>
        <w:tab/>
      </w:r>
      <w:r>
        <w:t>Full list of included studies</w:t>
      </w:r>
      <w:r>
        <w:tab/>
      </w:r>
      <w:r>
        <w:fldChar w:fldCharType="begin"/>
      </w:r>
      <w:r>
        <w:instrText xml:space="preserve"> PAGEREF _Toc106964833 \h </w:instrText>
      </w:r>
      <w:r>
        <w:fldChar w:fldCharType="separate"/>
      </w:r>
      <w:r w:rsidR="00D41A43">
        <w:t>37</w:t>
      </w:r>
      <w:r>
        <w:fldChar w:fldCharType="end"/>
      </w:r>
    </w:p>
    <w:p w14:paraId="481FDE07" w14:textId="67BB7A22" w:rsidR="001A0E9F" w:rsidRDefault="001A0E9F">
      <w:pPr>
        <w:pStyle w:val="TOC2"/>
        <w:tabs>
          <w:tab w:val="left" w:pos="880"/>
          <w:tab w:val="right" w:leader="dot" w:pos="7643"/>
        </w:tabs>
        <w:rPr>
          <w:rFonts w:asciiTheme="minorHAnsi" w:eastAsiaTheme="minorEastAsia" w:hAnsiTheme="minorHAnsi" w:cstheme="minorBidi"/>
          <w:sz w:val="22"/>
          <w:szCs w:val="22"/>
        </w:rPr>
      </w:pPr>
      <w:r>
        <w:t>5.1.</w:t>
      </w:r>
      <w:r>
        <w:rPr>
          <w:rFonts w:asciiTheme="minorHAnsi" w:eastAsiaTheme="minorEastAsia" w:hAnsiTheme="minorHAnsi" w:cstheme="minorBidi"/>
          <w:sz w:val="22"/>
          <w:szCs w:val="22"/>
        </w:rPr>
        <w:tab/>
      </w:r>
      <w:r>
        <w:t>Grey literature</w:t>
      </w:r>
      <w:r>
        <w:tab/>
      </w:r>
      <w:r>
        <w:fldChar w:fldCharType="begin"/>
      </w:r>
      <w:r>
        <w:instrText xml:space="preserve"> PAGEREF _Toc106964834 \h </w:instrText>
      </w:r>
      <w:r>
        <w:fldChar w:fldCharType="separate"/>
      </w:r>
      <w:r w:rsidR="00D41A43">
        <w:t>37</w:t>
      </w:r>
      <w:r>
        <w:fldChar w:fldCharType="end"/>
      </w:r>
    </w:p>
    <w:p w14:paraId="09959F31" w14:textId="7D174E78" w:rsidR="001A0E9F" w:rsidRDefault="001A0E9F">
      <w:pPr>
        <w:pStyle w:val="TOC2"/>
        <w:tabs>
          <w:tab w:val="left" w:pos="880"/>
          <w:tab w:val="right" w:leader="dot" w:pos="7643"/>
        </w:tabs>
        <w:rPr>
          <w:rFonts w:asciiTheme="minorHAnsi" w:eastAsiaTheme="minorEastAsia" w:hAnsiTheme="minorHAnsi" w:cstheme="minorBidi"/>
          <w:sz w:val="22"/>
          <w:szCs w:val="22"/>
        </w:rPr>
      </w:pPr>
      <w:r>
        <w:t>5.2.</w:t>
      </w:r>
      <w:r>
        <w:rPr>
          <w:rFonts w:asciiTheme="minorHAnsi" w:eastAsiaTheme="minorEastAsia" w:hAnsiTheme="minorHAnsi" w:cstheme="minorBidi"/>
          <w:sz w:val="22"/>
          <w:szCs w:val="22"/>
        </w:rPr>
        <w:tab/>
      </w:r>
      <w:r>
        <w:t>Primary studies</w:t>
      </w:r>
      <w:r>
        <w:tab/>
      </w:r>
      <w:r>
        <w:fldChar w:fldCharType="begin"/>
      </w:r>
      <w:r>
        <w:instrText xml:space="preserve"> PAGEREF _Toc106964835 \h </w:instrText>
      </w:r>
      <w:r>
        <w:fldChar w:fldCharType="separate"/>
      </w:r>
      <w:r w:rsidR="00D41A43">
        <w:t>38</w:t>
      </w:r>
      <w:r>
        <w:fldChar w:fldCharType="end"/>
      </w:r>
    </w:p>
    <w:p w14:paraId="4C08DCD0" w14:textId="29D93028" w:rsidR="001A0E9F" w:rsidRDefault="001A0E9F">
      <w:pPr>
        <w:pStyle w:val="TOC1"/>
        <w:tabs>
          <w:tab w:val="left" w:pos="400"/>
          <w:tab w:val="right" w:leader="dot" w:pos="7643"/>
        </w:tabs>
        <w:rPr>
          <w:rFonts w:asciiTheme="minorHAnsi" w:eastAsiaTheme="minorEastAsia" w:hAnsiTheme="minorHAnsi" w:cstheme="minorBidi"/>
          <w:sz w:val="22"/>
          <w:szCs w:val="22"/>
        </w:rPr>
      </w:pPr>
      <w:r>
        <w:t>6</w:t>
      </w:r>
      <w:r>
        <w:rPr>
          <w:rFonts w:asciiTheme="minorHAnsi" w:eastAsiaTheme="minorEastAsia" w:hAnsiTheme="minorHAnsi" w:cstheme="minorBidi"/>
          <w:sz w:val="22"/>
          <w:szCs w:val="22"/>
        </w:rPr>
        <w:tab/>
      </w:r>
      <w:r>
        <w:t>Significance of microbial risks to human health in recreational waters</w:t>
      </w:r>
      <w:r>
        <w:tab/>
      </w:r>
      <w:r>
        <w:fldChar w:fldCharType="begin"/>
      </w:r>
      <w:r>
        <w:instrText xml:space="preserve"> PAGEREF _Toc106964836 \h </w:instrText>
      </w:r>
      <w:r>
        <w:fldChar w:fldCharType="separate"/>
      </w:r>
      <w:r w:rsidR="00D41A43">
        <w:t>41</w:t>
      </w:r>
      <w:r>
        <w:fldChar w:fldCharType="end"/>
      </w:r>
    </w:p>
    <w:p w14:paraId="0B0BF261" w14:textId="3C2EE469" w:rsidR="001A0E9F" w:rsidRDefault="001A0E9F">
      <w:pPr>
        <w:pStyle w:val="TOC2"/>
        <w:tabs>
          <w:tab w:val="left" w:pos="880"/>
          <w:tab w:val="right" w:leader="dot" w:pos="7643"/>
        </w:tabs>
        <w:rPr>
          <w:rFonts w:asciiTheme="minorHAnsi" w:eastAsiaTheme="minorEastAsia" w:hAnsiTheme="minorHAnsi" w:cstheme="minorBidi"/>
          <w:sz w:val="22"/>
          <w:szCs w:val="22"/>
        </w:rPr>
      </w:pPr>
      <w:r>
        <w:t>6.1.</w:t>
      </w:r>
      <w:r>
        <w:rPr>
          <w:rFonts w:asciiTheme="minorHAnsi" w:eastAsiaTheme="minorEastAsia" w:hAnsiTheme="minorHAnsi" w:cstheme="minorBidi"/>
          <w:sz w:val="22"/>
          <w:szCs w:val="22"/>
        </w:rPr>
        <w:tab/>
      </w:r>
      <w:r>
        <w:t>Review of existing grey literature</w:t>
      </w:r>
      <w:r>
        <w:tab/>
      </w:r>
      <w:r>
        <w:fldChar w:fldCharType="begin"/>
      </w:r>
      <w:r>
        <w:instrText xml:space="preserve"> PAGEREF _Toc106964837 \h </w:instrText>
      </w:r>
      <w:r>
        <w:fldChar w:fldCharType="separate"/>
      </w:r>
      <w:r w:rsidR="00D41A43">
        <w:t>41</w:t>
      </w:r>
      <w:r>
        <w:fldChar w:fldCharType="end"/>
      </w:r>
    </w:p>
    <w:p w14:paraId="645E2C68" w14:textId="2BAA134F" w:rsidR="001A0E9F" w:rsidRDefault="001A0E9F">
      <w:pPr>
        <w:pStyle w:val="TOC3"/>
        <w:tabs>
          <w:tab w:val="left" w:pos="1320"/>
          <w:tab w:val="right" w:leader="dot" w:pos="7643"/>
        </w:tabs>
        <w:rPr>
          <w:rFonts w:asciiTheme="minorHAnsi" w:eastAsiaTheme="minorEastAsia" w:hAnsiTheme="minorHAnsi" w:cstheme="minorBidi"/>
          <w:sz w:val="22"/>
          <w:szCs w:val="22"/>
        </w:rPr>
      </w:pPr>
      <w:r w:rsidRPr="001208AF">
        <w:t>6.1.1.</w:t>
      </w:r>
      <w:r>
        <w:rPr>
          <w:rFonts w:asciiTheme="minorHAnsi" w:eastAsiaTheme="minorEastAsia" w:hAnsiTheme="minorHAnsi" w:cstheme="minorBidi"/>
          <w:sz w:val="22"/>
          <w:szCs w:val="22"/>
        </w:rPr>
        <w:tab/>
      </w:r>
      <w:r w:rsidRPr="001208AF">
        <w:t>Primary research question</w:t>
      </w:r>
      <w:r>
        <w:tab/>
      </w:r>
      <w:r>
        <w:fldChar w:fldCharType="begin"/>
      </w:r>
      <w:r>
        <w:instrText xml:space="preserve"> PAGEREF _Toc106964838 \h </w:instrText>
      </w:r>
      <w:r>
        <w:fldChar w:fldCharType="separate"/>
      </w:r>
      <w:r w:rsidR="00D41A43">
        <w:t>41</w:t>
      </w:r>
      <w:r>
        <w:fldChar w:fldCharType="end"/>
      </w:r>
    </w:p>
    <w:p w14:paraId="0BDA8254" w14:textId="21CC6630" w:rsidR="001A0E9F" w:rsidRDefault="001A0E9F">
      <w:pPr>
        <w:pStyle w:val="TOC3"/>
        <w:tabs>
          <w:tab w:val="left" w:pos="1320"/>
          <w:tab w:val="right" w:leader="dot" w:pos="7643"/>
        </w:tabs>
        <w:rPr>
          <w:rFonts w:asciiTheme="minorHAnsi" w:eastAsiaTheme="minorEastAsia" w:hAnsiTheme="minorHAnsi" w:cstheme="minorBidi"/>
          <w:sz w:val="22"/>
          <w:szCs w:val="22"/>
        </w:rPr>
      </w:pPr>
      <w:r w:rsidRPr="001208AF">
        <w:t>6.1.2.</w:t>
      </w:r>
      <w:r>
        <w:rPr>
          <w:rFonts w:asciiTheme="minorHAnsi" w:eastAsiaTheme="minorEastAsia" w:hAnsiTheme="minorHAnsi" w:cstheme="minorBidi"/>
          <w:sz w:val="22"/>
          <w:szCs w:val="22"/>
        </w:rPr>
        <w:tab/>
      </w:r>
      <w:r w:rsidRPr="001208AF">
        <w:t>Secondary research question (1)</w:t>
      </w:r>
      <w:r>
        <w:tab/>
      </w:r>
      <w:r>
        <w:fldChar w:fldCharType="begin"/>
      </w:r>
      <w:r>
        <w:instrText xml:space="preserve"> PAGEREF _Toc106964839 \h </w:instrText>
      </w:r>
      <w:r>
        <w:fldChar w:fldCharType="separate"/>
      </w:r>
      <w:r w:rsidR="00D41A43">
        <w:t>50</w:t>
      </w:r>
      <w:r>
        <w:fldChar w:fldCharType="end"/>
      </w:r>
    </w:p>
    <w:p w14:paraId="58C67D3F" w14:textId="72956F73" w:rsidR="001A0E9F" w:rsidRDefault="001A0E9F">
      <w:pPr>
        <w:pStyle w:val="TOC3"/>
        <w:tabs>
          <w:tab w:val="left" w:pos="1320"/>
          <w:tab w:val="right" w:leader="dot" w:pos="7643"/>
        </w:tabs>
        <w:rPr>
          <w:rFonts w:asciiTheme="minorHAnsi" w:eastAsiaTheme="minorEastAsia" w:hAnsiTheme="minorHAnsi" w:cstheme="minorBidi"/>
          <w:sz w:val="22"/>
          <w:szCs w:val="22"/>
        </w:rPr>
      </w:pPr>
      <w:r w:rsidRPr="001208AF">
        <w:t>6.1.3.</w:t>
      </w:r>
      <w:r>
        <w:rPr>
          <w:rFonts w:asciiTheme="minorHAnsi" w:eastAsiaTheme="minorEastAsia" w:hAnsiTheme="minorHAnsi" w:cstheme="minorBidi"/>
          <w:sz w:val="22"/>
          <w:szCs w:val="22"/>
        </w:rPr>
        <w:tab/>
      </w:r>
      <w:r w:rsidRPr="001208AF">
        <w:t>Secondary research question (2)</w:t>
      </w:r>
      <w:r>
        <w:tab/>
      </w:r>
      <w:r>
        <w:fldChar w:fldCharType="begin"/>
      </w:r>
      <w:r>
        <w:instrText xml:space="preserve"> PAGEREF _Toc106964840 \h </w:instrText>
      </w:r>
      <w:r>
        <w:fldChar w:fldCharType="separate"/>
      </w:r>
      <w:r w:rsidR="00D41A43">
        <w:t>53</w:t>
      </w:r>
      <w:r>
        <w:fldChar w:fldCharType="end"/>
      </w:r>
    </w:p>
    <w:p w14:paraId="51BFC495" w14:textId="0B8D9813" w:rsidR="001A0E9F" w:rsidRDefault="001A0E9F">
      <w:pPr>
        <w:pStyle w:val="TOC2"/>
        <w:tabs>
          <w:tab w:val="left" w:pos="880"/>
          <w:tab w:val="right" w:leader="dot" w:pos="7643"/>
        </w:tabs>
        <w:rPr>
          <w:rFonts w:asciiTheme="minorHAnsi" w:eastAsiaTheme="minorEastAsia" w:hAnsiTheme="minorHAnsi" w:cstheme="minorBidi"/>
          <w:sz w:val="22"/>
          <w:szCs w:val="22"/>
        </w:rPr>
      </w:pPr>
      <w:r>
        <w:t>6.2.</w:t>
      </w:r>
      <w:r>
        <w:rPr>
          <w:rFonts w:asciiTheme="minorHAnsi" w:eastAsiaTheme="minorEastAsia" w:hAnsiTheme="minorHAnsi" w:cstheme="minorBidi"/>
          <w:sz w:val="22"/>
          <w:szCs w:val="22"/>
        </w:rPr>
        <w:tab/>
      </w:r>
      <w:r>
        <w:t>Review of primary studies</w:t>
      </w:r>
      <w:r>
        <w:tab/>
      </w:r>
      <w:r>
        <w:fldChar w:fldCharType="begin"/>
      </w:r>
      <w:r>
        <w:instrText xml:space="preserve"> PAGEREF _Toc106964841 \h </w:instrText>
      </w:r>
      <w:r>
        <w:fldChar w:fldCharType="separate"/>
      </w:r>
      <w:r w:rsidR="00D41A43">
        <w:t>59</w:t>
      </w:r>
      <w:r>
        <w:fldChar w:fldCharType="end"/>
      </w:r>
    </w:p>
    <w:p w14:paraId="44E57B25" w14:textId="42522A62" w:rsidR="001A0E9F" w:rsidRDefault="001A0E9F">
      <w:pPr>
        <w:pStyle w:val="TOC2"/>
        <w:tabs>
          <w:tab w:val="left" w:pos="880"/>
          <w:tab w:val="right" w:leader="dot" w:pos="7643"/>
        </w:tabs>
        <w:rPr>
          <w:rFonts w:asciiTheme="minorHAnsi" w:eastAsiaTheme="minorEastAsia" w:hAnsiTheme="minorHAnsi" w:cstheme="minorBidi"/>
          <w:sz w:val="22"/>
          <w:szCs w:val="22"/>
        </w:rPr>
      </w:pPr>
      <w:r>
        <w:t>6.3.</w:t>
      </w:r>
      <w:r>
        <w:rPr>
          <w:rFonts w:asciiTheme="minorHAnsi" w:eastAsiaTheme="minorEastAsia" w:hAnsiTheme="minorHAnsi" w:cstheme="minorBidi"/>
          <w:sz w:val="22"/>
          <w:szCs w:val="22"/>
        </w:rPr>
        <w:tab/>
      </w:r>
      <w:r>
        <w:t>Assessment of the certainty in the body of evidence</w:t>
      </w:r>
      <w:r>
        <w:tab/>
      </w:r>
      <w:r>
        <w:fldChar w:fldCharType="begin"/>
      </w:r>
      <w:r>
        <w:instrText xml:space="preserve"> PAGEREF _Toc106964842 \h </w:instrText>
      </w:r>
      <w:r>
        <w:fldChar w:fldCharType="separate"/>
      </w:r>
      <w:r w:rsidR="00D41A43">
        <w:t>82</w:t>
      </w:r>
      <w:r>
        <w:fldChar w:fldCharType="end"/>
      </w:r>
    </w:p>
    <w:p w14:paraId="32B20D50" w14:textId="1D49D098" w:rsidR="001A0E9F" w:rsidRDefault="001A0E9F">
      <w:pPr>
        <w:pStyle w:val="TOC3"/>
        <w:tabs>
          <w:tab w:val="left" w:pos="1320"/>
          <w:tab w:val="right" w:leader="dot" w:pos="7643"/>
        </w:tabs>
        <w:rPr>
          <w:rFonts w:asciiTheme="minorHAnsi" w:eastAsiaTheme="minorEastAsia" w:hAnsiTheme="minorHAnsi" w:cstheme="minorBidi"/>
          <w:sz w:val="22"/>
          <w:szCs w:val="22"/>
        </w:rPr>
      </w:pPr>
      <w:r w:rsidRPr="001208AF">
        <w:t>6.3.1.</w:t>
      </w:r>
      <w:r>
        <w:rPr>
          <w:rFonts w:asciiTheme="minorHAnsi" w:eastAsiaTheme="minorEastAsia" w:hAnsiTheme="minorHAnsi" w:cstheme="minorBidi"/>
          <w:sz w:val="22"/>
          <w:szCs w:val="22"/>
        </w:rPr>
        <w:tab/>
      </w:r>
      <w:r w:rsidRPr="001208AF">
        <w:t>Grading the certainty of evidence of primary studies</w:t>
      </w:r>
      <w:r>
        <w:tab/>
      </w:r>
      <w:r>
        <w:fldChar w:fldCharType="begin"/>
      </w:r>
      <w:r>
        <w:instrText xml:space="preserve"> PAGEREF _Toc106964843 \h </w:instrText>
      </w:r>
      <w:r>
        <w:fldChar w:fldCharType="separate"/>
      </w:r>
      <w:r w:rsidR="00D41A43">
        <w:t>82</w:t>
      </w:r>
      <w:r>
        <w:fldChar w:fldCharType="end"/>
      </w:r>
    </w:p>
    <w:p w14:paraId="73B58BDA" w14:textId="6B152487" w:rsidR="001A0E9F" w:rsidRDefault="001A0E9F">
      <w:pPr>
        <w:pStyle w:val="TOC1"/>
        <w:tabs>
          <w:tab w:val="left" w:pos="400"/>
          <w:tab w:val="right" w:leader="dot" w:pos="7643"/>
        </w:tabs>
        <w:rPr>
          <w:rFonts w:asciiTheme="minorHAnsi" w:eastAsiaTheme="minorEastAsia" w:hAnsiTheme="minorHAnsi" w:cstheme="minorBidi"/>
          <w:sz w:val="22"/>
          <w:szCs w:val="22"/>
        </w:rPr>
      </w:pPr>
      <w:r>
        <w:t>7</w:t>
      </w:r>
      <w:r>
        <w:rPr>
          <w:rFonts w:asciiTheme="minorHAnsi" w:eastAsiaTheme="minorEastAsia" w:hAnsiTheme="minorHAnsi" w:cstheme="minorBidi"/>
          <w:sz w:val="22"/>
          <w:szCs w:val="22"/>
        </w:rPr>
        <w:tab/>
      </w:r>
      <w:r>
        <w:t>Discussion</w:t>
      </w:r>
      <w:r>
        <w:tab/>
      </w:r>
      <w:r>
        <w:fldChar w:fldCharType="begin"/>
      </w:r>
      <w:r>
        <w:instrText xml:space="preserve"> PAGEREF _Toc106964844 \h </w:instrText>
      </w:r>
      <w:r>
        <w:fldChar w:fldCharType="separate"/>
      </w:r>
      <w:r w:rsidR="00D41A43">
        <w:t>86</w:t>
      </w:r>
      <w:r>
        <w:fldChar w:fldCharType="end"/>
      </w:r>
    </w:p>
    <w:p w14:paraId="16C32994" w14:textId="6F79DCAB" w:rsidR="001A0E9F" w:rsidRDefault="001A0E9F">
      <w:pPr>
        <w:pStyle w:val="TOC2"/>
        <w:tabs>
          <w:tab w:val="left" w:pos="880"/>
          <w:tab w:val="right" w:leader="dot" w:pos="7643"/>
        </w:tabs>
        <w:rPr>
          <w:rFonts w:asciiTheme="minorHAnsi" w:eastAsiaTheme="minorEastAsia" w:hAnsiTheme="minorHAnsi" w:cstheme="minorBidi"/>
          <w:sz w:val="22"/>
          <w:szCs w:val="22"/>
        </w:rPr>
      </w:pPr>
      <w:r>
        <w:t>7.1.</w:t>
      </w:r>
      <w:r>
        <w:rPr>
          <w:rFonts w:asciiTheme="minorHAnsi" w:eastAsiaTheme="minorEastAsia" w:hAnsiTheme="minorHAnsi" w:cstheme="minorBidi"/>
          <w:sz w:val="22"/>
          <w:szCs w:val="22"/>
        </w:rPr>
        <w:tab/>
      </w:r>
      <w:r>
        <w:t>Primary research question</w:t>
      </w:r>
      <w:r>
        <w:tab/>
      </w:r>
      <w:r>
        <w:fldChar w:fldCharType="begin"/>
      </w:r>
      <w:r>
        <w:instrText xml:space="preserve"> PAGEREF _Toc106964845 \h </w:instrText>
      </w:r>
      <w:r>
        <w:fldChar w:fldCharType="separate"/>
      </w:r>
      <w:r w:rsidR="00D41A43">
        <w:t>86</w:t>
      </w:r>
      <w:r>
        <w:fldChar w:fldCharType="end"/>
      </w:r>
    </w:p>
    <w:p w14:paraId="581EBE26" w14:textId="5562C4D4" w:rsidR="001A0E9F" w:rsidRDefault="001A0E9F">
      <w:pPr>
        <w:pStyle w:val="TOC2"/>
        <w:tabs>
          <w:tab w:val="left" w:pos="880"/>
          <w:tab w:val="right" w:leader="dot" w:pos="7643"/>
        </w:tabs>
        <w:rPr>
          <w:rFonts w:asciiTheme="minorHAnsi" w:eastAsiaTheme="minorEastAsia" w:hAnsiTheme="minorHAnsi" w:cstheme="minorBidi"/>
          <w:sz w:val="22"/>
          <w:szCs w:val="22"/>
        </w:rPr>
      </w:pPr>
      <w:r>
        <w:t>7.2.</w:t>
      </w:r>
      <w:r>
        <w:rPr>
          <w:rFonts w:asciiTheme="minorHAnsi" w:eastAsiaTheme="minorEastAsia" w:hAnsiTheme="minorHAnsi" w:cstheme="minorBidi"/>
          <w:sz w:val="22"/>
          <w:szCs w:val="22"/>
        </w:rPr>
        <w:tab/>
      </w:r>
      <w:r>
        <w:t>GRADE assessment of primary studies</w:t>
      </w:r>
      <w:r>
        <w:tab/>
      </w:r>
      <w:r>
        <w:fldChar w:fldCharType="begin"/>
      </w:r>
      <w:r>
        <w:instrText xml:space="preserve"> PAGEREF _Toc106964846 \h </w:instrText>
      </w:r>
      <w:r>
        <w:fldChar w:fldCharType="separate"/>
      </w:r>
      <w:r w:rsidR="00D41A43">
        <w:t>93</w:t>
      </w:r>
      <w:r>
        <w:fldChar w:fldCharType="end"/>
      </w:r>
    </w:p>
    <w:p w14:paraId="2E71982A" w14:textId="4B590A41" w:rsidR="001A0E9F" w:rsidRDefault="001A0E9F">
      <w:pPr>
        <w:pStyle w:val="TOC2"/>
        <w:tabs>
          <w:tab w:val="left" w:pos="880"/>
          <w:tab w:val="right" w:leader="dot" w:pos="7643"/>
        </w:tabs>
        <w:rPr>
          <w:rFonts w:asciiTheme="minorHAnsi" w:eastAsiaTheme="minorEastAsia" w:hAnsiTheme="minorHAnsi" w:cstheme="minorBidi"/>
          <w:sz w:val="22"/>
          <w:szCs w:val="22"/>
        </w:rPr>
      </w:pPr>
      <w:r>
        <w:t>7.3.</w:t>
      </w:r>
      <w:r>
        <w:rPr>
          <w:rFonts w:asciiTheme="minorHAnsi" w:eastAsiaTheme="minorEastAsia" w:hAnsiTheme="minorHAnsi" w:cstheme="minorBidi"/>
          <w:sz w:val="22"/>
          <w:szCs w:val="22"/>
        </w:rPr>
        <w:tab/>
      </w:r>
      <w:r>
        <w:t>Secondary research questions</w:t>
      </w:r>
      <w:r>
        <w:tab/>
      </w:r>
      <w:r>
        <w:fldChar w:fldCharType="begin"/>
      </w:r>
      <w:r>
        <w:instrText xml:space="preserve"> PAGEREF _Toc106964847 \h </w:instrText>
      </w:r>
      <w:r>
        <w:fldChar w:fldCharType="separate"/>
      </w:r>
      <w:r w:rsidR="00D41A43">
        <w:t>93</w:t>
      </w:r>
      <w:r>
        <w:fldChar w:fldCharType="end"/>
      </w:r>
    </w:p>
    <w:p w14:paraId="56E74D5C" w14:textId="2B01A68B" w:rsidR="001A0E9F" w:rsidRDefault="001A0E9F">
      <w:pPr>
        <w:pStyle w:val="TOC3"/>
        <w:tabs>
          <w:tab w:val="left" w:pos="1320"/>
          <w:tab w:val="right" w:leader="dot" w:pos="7643"/>
        </w:tabs>
        <w:rPr>
          <w:rFonts w:asciiTheme="minorHAnsi" w:eastAsiaTheme="minorEastAsia" w:hAnsiTheme="minorHAnsi" w:cstheme="minorBidi"/>
          <w:sz w:val="22"/>
          <w:szCs w:val="22"/>
        </w:rPr>
      </w:pPr>
      <w:r>
        <w:t>7.3.1.</w:t>
      </w:r>
      <w:r>
        <w:rPr>
          <w:rFonts w:asciiTheme="minorHAnsi" w:eastAsiaTheme="minorEastAsia" w:hAnsiTheme="minorHAnsi" w:cstheme="minorBidi"/>
          <w:sz w:val="22"/>
          <w:szCs w:val="22"/>
        </w:rPr>
        <w:tab/>
      </w:r>
      <w:r>
        <w:t>(i) What are the indicators or surrogates of contamination from diffuse and point sources in recreational waters?</w:t>
      </w:r>
      <w:r>
        <w:tab/>
      </w:r>
      <w:r>
        <w:fldChar w:fldCharType="begin"/>
      </w:r>
      <w:r>
        <w:instrText xml:space="preserve"> PAGEREF _Toc106964848 \h </w:instrText>
      </w:r>
      <w:r>
        <w:fldChar w:fldCharType="separate"/>
      </w:r>
      <w:r w:rsidR="00D41A43">
        <w:t>93</w:t>
      </w:r>
      <w:r>
        <w:fldChar w:fldCharType="end"/>
      </w:r>
    </w:p>
    <w:p w14:paraId="028FB4EB" w14:textId="49430099" w:rsidR="001A0E9F" w:rsidRDefault="001A0E9F">
      <w:pPr>
        <w:pStyle w:val="TOC3"/>
        <w:tabs>
          <w:tab w:val="left" w:pos="1320"/>
          <w:tab w:val="right" w:leader="dot" w:pos="7643"/>
        </w:tabs>
        <w:rPr>
          <w:rFonts w:asciiTheme="minorHAnsi" w:eastAsiaTheme="minorEastAsia" w:hAnsiTheme="minorHAnsi" w:cstheme="minorBidi"/>
          <w:sz w:val="22"/>
          <w:szCs w:val="22"/>
        </w:rPr>
      </w:pPr>
      <w:r>
        <w:t>7.3.2.</w:t>
      </w:r>
      <w:r>
        <w:rPr>
          <w:rFonts w:asciiTheme="minorHAnsi" w:eastAsiaTheme="minorEastAsia" w:hAnsiTheme="minorHAnsi" w:cstheme="minorBidi"/>
          <w:sz w:val="22"/>
          <w:szCs w:val="22"/>
        </w:rPr>
        <w:tab/>
      </w:r>
      <w:r>
        <w:t>(ii) What are the current practices to minimise or manage contamination from diffuse and point sources in recreational waters?</w:t>
      </w:r>
      <w:r>
        <w:tab/>
      </w:r>
      <w:r>
        <w:fldChar w:fldCharType="begin"/>
      </w:r>
      <w:r>
        <w:instrText xml:space="preserve"> PAGEREF _Toc106964849 \h </w:instrText>
      </w:r>
      <w:r>
        <w:fldChar w:fldCharType="separate"/>
      </w:r>
      <w:r w:rsidR="00D41A43">
        <w:t>95</w:t>
      </w:r>
      <w:r>
        <w:fldChar w:fldCharType="end"/>
      </w:r>
    </w:p>
    <w:p w14:paraId="5E1C3D76" w14:textId="45077779" w:rsidR="001A0E9F" w:rsidRDefault="001A0E9F">
      <w:pPr>
        <w:pStyle w:val="TOC2"/>
        <w:tabs>
          <w:tab w:val="left" w:pos="880"/>
          <w:tab w:val="right" w:leader="dot" w:pos="7643"/>
        </w:tabs>
        <w:rPr>
          <w:rFonts w:asciiTheme="minorHAnsi" w:eastAsiaTheme="minorEastAsia" w:hAnsiTheme="minorHAnsi" w:cstheme="minorBidi"/>
          <w:sz w:val="22"/>
          <w:szCs w:val="22"/>
        </w:rPr>
      </w:pPr>
      <w:r>
        <w:t>7.4.</w:t>
      </w:r>
      <w:r>
        <w:rPr>
          <w:rFonts w:asciiTheme="minorHAnsi" w:eastAsiaTheme="minorEastAsia" w:hAnsiTheme="minorHAnsi" w:cstheme="minorBidi"/>
          <w:sz w:val="22"/>
          <w:szCs w:val="22"/>
        </w:rPr>
        <w:tab/>
      </w:r>
      <w:r>
        <w:t>Other questions from the Committee</w:t>
      </w:r>
      <w:r>
        <w:tab/>
      </w:r>
      <w:r>
        <w:fldChar w:fldCharType="begin"/>
      </w:r>
      <w:r>
        <w:instrText xml:space="preserve"> PAGEREF _Toc106964850 \h </w:instrText>
      </w:r>
      <w:r>
        <w:fldChar w:fldCharType="separate"/>
      </w:r>
      <w:r w:rsidR="00D41A43">
        <w:t>96</w:t>
      </w:r>
      <w:r>
        <w:fldChar w:fldCharType="end"/>
      </w:r>
    </w:p>
    <w:p w14:paraId="7C6ECA82" w14:textId="0D7D00C0" w:rsidR="001A0E9F" w:rsidRDefault="001A0E9F">
      <w:pPr>
        <w:pStyle w:val="TOC2"/>
        <w:tabs>
          <w:tab w:val="left" w:pos="880"/>
          <w:tab w:val="right" w:leader="dot" w:pos="7643"/>
        </w:tabs>
        <w:rPr>
          <w:rFonts w:asciiTheme="minorHAnsi" w:eastAsiaTheme="minorEastAsia" w:hAnsiTheme="minorHAnsi" w:cstheme="minorBidi"/>
          <w:sz w:val="22"/>
          <w:szCs w:val="22"/>
        </w:rPr>
      </w:pPr>
      <w:r>
        <w:t>7.5.</w:t>
      </w:r>
      <w:r>
        <w:rPr>
          <w:rFonts w:asciiTheme="minorHAnsi" w:eastAsiaTheme="minorEastAsia" w:hAnsiTheme="minorHAnsi" w:cstheme="minorBidi"/>
          <w:sz w:val="22"/>
          <w:szCs w:val="22"/>
        </w:rPr>
        <w:tab/>
      </w:r>
      <w:r>
        <w:t>Concluding comments</w:t>
      </w:r>
      <w:r>
        <w:tab/>
      </w:r>
      <w:r>
        <w:fldChar w:fldCharType="begin"/>
      </w:r>
      <w:r>
        <w:instrText xml:space="preserve"> PAGEREF _Toc106964851 \h </w:instrText>
      </w:r>
      <w:r>
        <w:fldChar w:fldCharType="separate"/>
      </w:r>
      <w:r w:rsidR="00D41A43">
        <w:t>99</w:t>
      </w:r>
      <w:r>
        <w:fldChar w:fldCharType="end"/>
      </w:r>
    </w:p>
    <w:p w14:paraId="415BCA9F" w14:textId="01FF2F36" w:rsidR="001A0E9F" w:rsidRDefault="001A0E9F">
      <w:pPr>
        <w:pStyle w:val="TOC1"/>
        <w:tabs>
          <w:tab w:val="left" w:pos="400"/>
          <w:tab w:val="right" w:leader="dot" w:pos="7643"/>
        </w:tabs>
        <w:rPr>
          <w:rFonts w:asciiTheme="minorHAnsi" w:eastAsiaTheme="minorEastAsia" w:hAnsiTheme="minorHAnsi" w:cstheme="minorBidi"/>
          <w:sz w:val="22"/>
          <w:szCs w:val="22"/>
        </w:rPr>
      </w:pPr>
      <w:r>
        <w:t>8</w:t>
      </w:r>
      <w:r>
        <w:rPr>
          <w:rFonts w:asciiTheme="minorHAnsi" w:eastAsiaTheme="minorEastAsia" w:hAnsiTheme="minorHAnsi" w:cstheme="minorBidi"/>
          <w:sz w:val="22"/>
          <w:szCs w:val="22"/>
        </w:rPr>
        <w:tab/>
      </w:r>
      <w:r>
        <w:t>References</w:t>
      </w:r>
      <w:r>
        <w:tab/>
      </w:r>
      <w:r>
        <w:fldChar w:fldCharType="begin"/>
      </w:r>
      <w:r>
        <w:instrText xml:space="preserve"> PAGEREF _Toc106964852 \h </w:instrText>
      </w:r>
      <w:r>
        <w:fldChar w:fldCharType="separate"/>
      </w:r>
      <w:r w:rsidR="00D41A43">
        <w:t>100</w:t>
      </w:r>
      <w:r>
        <w:fldChar w:fldCharType="end"/>
      </w:r>
    </w:p>
    <w:p w14:paraId="1C84571E" w14:textId="79791717" w:rsidR="00D267EA" w:rsidRPr="00397A3E" w:rsidRDefault="00171C91" w:rsidP="00864B8A">
      <w:pPr>
        <w:rPr>
          <w:rFonts w:cs="Arial"/>
          <w:noProof w:val="0"/>
          <w:szCs w:val="20"/>
          <w:highlight w:val="yellow"/>
        </w:rPr>
      </w:pPr>
      <w:r w:rsidRPr="00397A3E">
        <w:rPr>
          <w:rFonts w:cs="Arial"/>
          <w:noProof w:val="0"/>
          <w:szCs w:val="20"/>
          <w:highlight w:val="yellow"/>
        </w:rPr>
        <w:fldChar w:fldCharType="end"/>
      </w:r>
    </w:p>
    <w:p w14:paraId="322A1E9A" w14:textId="77777777" w:rsidR="001C27E8" w:rsidRPr="00397A3E" w:rsidRDefault="00171C91" w:rsidP="005548B0">
      <w:pPr>
        <w:pStyle w:val="Non-numberedHeading1"/>
        <w:outlineLvl w:val="0"/>
        <w:rPr>
          <w:noProof w:val="0"/>
        </w:rPr>
      </w:pPr>
      <w:r w:rsidRPr="00397A3E">
        <w:rPr>
          <w:noProof w:val="0"/>
        </w:rPr>
        <w:t>Table of Tables</w:t>
      </w:r>
    </w:p>
    <w:p w14:paraId="7EB52A8E" w14:textId="0F39971F" w:rsidR="001A0E9F" w:rsidRDefault="00171C91">
      <w:pPr>
        <w:pStyle w:val="TableofFigures"/>
        <w:tabs>
          <w:tab w:val="right" w:leader="dot" w:pos="7643"/>
        </w:tabs>
        <w:rPr>
          <w:rFonts w:asciiTheme="minorHAnsi" w:eastAsiaTheme="minorEastAsia" w:hAnsiTheme="minorHAnsi" w:cstheme="minorBidi"/>
          <w:sz w:val="22"/>
          <w:szCs w:val="22"/>
        </w:rPr>
      </w:pPr>
      <w:r w:rsidRPr="00397A3E">
        <w:rPr>
          <w:noProof w:val="0"/>
          <w:highlight w:val="yellow"/>
        </w:rPr>
        <w:fldChar w:fldCharType="begin"/>
      </w:r>
      <w:r w:rsidRPr="00397A3E">
        <w:rPr>
          <w:noProof w:val="0"/>
          <w:highlight w:val="yellow"/>
        </w:rPr>
        <w:instrText xml:space="preserve"> TOC \h \z \c "Table" </w:instrText>
      </w:r>
      <w:r w:rsidRPr="00397A3E">
        <w:rPr>
          <w:noProof w:val="0"/>
          <w:highlight w:val="yellow"/>
        </w:rPr>
        <w:fldChar w:fldCharType="separate"/>
      </w:r>
      <w:hyperlink w:anchor="_Toc106964853" w:history="1">
        <w:r w:rsidR="001A0E9F" w:rsidRPr="0002133B">
          <w:rPr>
            <w:rStyle w:val="Hyperlink"/>
          </w:rPr>
          <w:t>Table 2</w:t>
        </w:r>
        <w:r w:rsidR="001A0E9F" w:rsidRPr="0002133B">
          <w:rPr>
            <w:rStyle w:val="Hyperlink"/>
          </w:rPr>
          <w:noBreakHyphen/>
          <w:t>1. Additional questions and tasks required to answer questions for supporting main research questions for this narrative review.</w:t>
        </w:r>
        <w:r w:rsidR="001A0E9F">
          <w:rPr>
            <w:webHidden/>
          </w:rPr>
          <w:tab/>
        </w:r>
        <w:r w:rsidR="001A0E9F">
          <w:rPr>
            <w:webHidden/>
          </w:rPr>
          <w:fldChar w:fldCharType="begin"/>
        </w:r>
        <w:r w:rsidR="001A0E9F">
          <w:rPr>
            <w:webHidden/>
          </w:rPr>
          <w:instrText xml:space="preserve"> PAGEREF _Toc106964853 \h </w:instrText>
        </w:r>
        <w:r w:rsidR="001A0E9F">
          <w:rPr>
            <w:webHidden/>
          </w:rPr>
        </w:r>
        <w:r w:rsidR="001A0E9F">
          <w:rPr>
            <w:webHidden/>
          </w:rPr>
          <w:fldChar w:fldCharType="separate"/>
        </w:r>
        <w:r w:rsidR="00D41A43">
          <w:rPr>
            <w:webHidden/>
          </w:rPr>
          <w:t>15</w:t>
        </w:r>
        <w:r w:rsidR="001A0E9F">
          <w:rPr>
            <w:webHidden/>
          </w:rPr>
          <w:fldChar w:fldCharType="end"/>
        </w:r>
      </w:hyperlink>
    </w:p>
    <w:p w14:paraId="072E8B84" w14:textId="26387FD3"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54" w:history="1">
        <w:r w:rsidRPr="0002133B">
          <w:rPr>
            <w:rStyle w:val="Hyperlink"/>
          </w:rPr>
          <w:t>Table 2</w:t>
        </w:r>
        <w:r w:rsidRPr="0002133B">
          <w:rPr>
            <w:rStyle w:val="Hyperlink"/>
          </w:rPr>
          <w:noBreakHyphen/>
          <w:t>2. Changes to the microbial risks research protocol to reduce the review workload.</w:t>
        </w:r>
        <w:r>
          <w:rPr>
            <w:webHidden/>
          </w:rPr>
          <w:tab/>
        </w:r>
        <w:r>
          <w:rPr>
            <w:webHidden/>
          </w:rPr>
          <w:fldChar w:fldCharType="begin"/>
        </w:r>
        <w:r>
          <w:rPr>
            <w:webHidden/>
          </w:rPr>
          <w:instrText xml:space="preserve"> PAGEREF _Toc106964854 \h </w:instrText>
        </w:r>
        <w:r>
          <w:rPr>
            <w:webHidden/>
          </w:rPr>
        </w:r>
        <w:r>
          <w:rPr>
            <w:webHidden/>
          </w:rPr>
          <w:fldChar w:fldCharType="separate"/>
        </w:r>
        <w:r w:rsidR="00D41A43">
          <w:rPr>
            <w:webHidden/>
          </w:rPr>
          <w:t>16</w:t>
        </w:r>
        <w:r>
          <w:rPr>
            <w:webHidden/>
          </w:rPr>
          <w:fldChar w:fldCharType="end"/>
        </w:r>
      </w:hyperlink>
    </w:p>
    <w:p w14:paraId="1FAAF93B" w14:textId="09EBC857"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55" w:history="1">
        <w:r w:rsidRPr="0002133B">
          <w:rPr>
            <w:rStyle w:val="Hyperlink"/>
          </w:rPr>
          <w:t>Table 2</w:t>
        </w:r>
        <w:r w:rsidRPr="0002133B">
          <w:rPr>
            <w:rStyle w:val="Hyperlink"/>
          </w:rPr>
          <w:noBreakHyphen/>
          <w:t>3. OHAT risk of bias scheme categories (OHAT, 2015)</w:t>
        </w:r>
        <w:r>
          <w:rPr>
            <w:webHidden/>
          </w:rPr>
          <w:tab/>
        </w:r>
        <w:r>
          <w:rPr>
            <w:webHidden/>
          </w:rPr>
          <w:fldChar w:fldCharType="begin"/>
        </w:r>
        <w:r>
          <w:rPr>
            <w:webHidden/>
          </w:rPr>
          <w:instrText xml:space="preserve"> PAGEREF _Toc106964855 \h </w:instrText>
        </w:r>
        <w:r>
          <w:rPr>
            <w:webHidden/>
          </w:rPr>
        </w:r>
        <w:r>
          <w:rPr>
            <w:webHidden/>
          </w:rPr>
          <w:fldChar w:fldCharType="separate"/>
        </w:r>
        <w:r w:rsidR="00D41A43">
          <w:rPr>
            <w:webHidden/>
          </w:rPr>
          <w:t>19</w:t>
        </w:r>
        <w:r>
          <w:rPr>
            <w:webHidden/>
          </w:rPr>
          <w:fldChar w:fldCharType="end"/>
        </w:r>
      </w:hyperlink>
    </w:p>
    <w:p w14:paraId="7D2821B3" w14:textId="5CE8E9A6"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56" w:history="1">
        <w:r w:rsidRPr="0002133B">
          <w:rPr>
            <w:rStyle w:val="Hyperlink"/>
          </w:rPr>
          <w:t>Table 2</w:t>
        </w:r>
        <w:r w:rsidRPr="0002133B">
          <w:rPr>
            <w:rStyle w:val="Hyperlink"/>
          </w:rPr>
          <w:noBreakHyphen/>
          <w:t xml:space="preserve">4. Summary of findings – body of evidence form (adapted from OHAT Handbook </w:t>
        </w:r>
        <w:r w:rsidRPr="0002133B">
          <w:rPr>
            <w:rStyle w:val="Hyperlink"/>
            <w:rFonts w:cs="Arial"/>
          </w:rPr>
          <w:t>(OHAT 2019)</w:t>
        </w:r>
        <w:r w:rsidRPr="0002133B">
          <w:rPr>
            <w:rStyle w:val="Hyperlink"/>
          </w:rPr>
          <w:t xml:space="preserve"> and transposed to fit page).</w:t>
        </w:r>
        <w:r>
          <w:rPr>
            <w:webHidden/>
          </w:rPr>
          <w:tab/>
        </w:r>
        <w:r>
          <w:rPr>
            <w:webHidden/>
          </w:rPr>
          <w:fldChar w:fldCharType="begin"/>
        </w:r>
        <w:r>
          <w:rPr>
            <w:webHidden/>
          </w:rPr>
          <w:instrText xml:space="preserve"> PAGEREF _Toc106964856 \h </w:instrText>
        </w:r>
        <w:r>
          <w:rPr>
            <w:webHidden/>
          </w:rPr>
        </w:r>
        <w:r>
          <w:rPr>
            <w:webHidden/>
          </w:rPr>
          <w:fldChar w:fldCharType="separate"/>
        </w:r>
        <w:r w:rsidR="00D41A43">
          <w:rPr>
            <w:webHidden/>
          </w:rPr>
          <w:t>21</w:t>
        </w:r>
        <w:r>
          <w:rPr>
            <w:webHidden/>
          </w:rPr>
          <w:fldChar w:fldCharType="end"/>
        </w:r>
      </w:hyperlink>
    </w:p>
    <w:p w14:paraId="07A1C4FF" w14:textId="5251DD11"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57" w:history="1">
        <w:r w:rsidRPr="0002133B">
          <w:rPr>
            <w:rStyle w:val="Hyperlink"/>
          </w:rPr>
          <w:t>Table 2</w:t>
        </w:r>
        <w:r w:rsidRPr="0002133B">
          <w:rPr>
            <w:rStyle w:val="Hyperlink"/>
          </w:rPr>
          <w:noBreakHyphen/>
          <w:t>5. Outcomes from the review to be included in the evidence evaluation</w:t>
        </w:r>
        <w:r>
          <w:rPr>
            <w:webHidden/>
          </w:rPr>
          <w:tab/>
        </w:r>
        <w:r>
          <w:rPr>
            <w:webHidden/>
          </w:rPr>
          <w:fldChar w:fldCharType="begin"/>
        </w:r>
        <w:r>
          <w:rPr>
            <w:webHidden/>
          </w:rPr>
          <w:instrText xml:space="preserve"> PAGEREF _Toc106964857 \h </w:instrText>
        </w:r>
        <w:r>
          <w:rPr>
            <w:webHidden/>
          </w:rPr>
        </w:r>
        <w:r>
          <w:rPr>
            <w:webHidden/>
          </w:rPr>
          <w:fldChar w:fldCharType="separate"/>
        </w:r>
        <w:r w:rsidR="00D41A43">
          <w:rPr>
            <w:webHidden/>
          </w:rPr>
          <w:t>22</w:t>
        </w:r>
        <w:r>
          <w:rPr>
            <w:webHidden/>
          </w:rPr>
          <w:fldChar w:fldCharType="end"/>
        </w:r>
      </w:hyperlink>
    </w:p>
    <w:p w14:paraId="640F0C94" w14:textId="2D86C625"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58" w:history="1">
        <w:r w:rsidRPr="0002133B">
          <w:rPr>
            <w:rStyle w:val="Hyperlink"/>
          </w:rPr>
          <w:t>Table 2</w:t>
        </w:r>
        <w:r w:rsidRPr="0002133B">
          <w:rPr>
            <w:rStyle w:val="Hyperlink"/>
          </w:rPr>
          <w:noBreakHyphen/>
          <w:t xml:space="preserve">6. GRADE ratings and their interpretation from </w:t>
        </w:r>
        <w:r w:rsidRPr="0002133B">
          <w:rPr>
            <w:rStyle w:val="Hyperlink"/>
            <w:rFonts w:cs="Arial"/>
          </w:rPr>
          <w:t>Ryan and Hill (2016)</w:t>
        </w:r>
        <w:r>
          <w:rPr>
            <w:webHidden/>
          </w:rPr>
          <w:tab/>
        </w:r>
        <w:r>
          <w:rPr>
            <w:webHidden/>
          </w:rPr>
          <w:fldChar w:fldCharType="begin"/>
        </w:r>
        <w:r>
          <w:rPr>
            <w:webHidden/>
          </w:rPr>
          <w:instrText xml:space="preserve"> PAGEREF _Toc106964858 \h </w:instrText>
        </w:r>
        <w:r>
          <w:rPr>
            <w:webHidden/>
          </w:rPr>
        </w:r>
        <w:r>
          <w:rPr>
            <w:webHidden/>
          </w:rPr>
          <w:fldChar w:fldCharType="separate"/>
        </w:r>
        <w:r w:rsidR="00D41A43">
          <w:rPr>
            <w:webHidden/>
          </w:rPr>
          <w:t>22</w:t>
        </w:r>
        <w:r>
          <w:rPr>
            <w:webHidden/>
          </w:rPr>
          <w:fldChar w:fldCharType="end"/>
        </w:r>
      </w:hyperlink>
    </w:p>
    <w:p w14:paraId="30626E78" w14:textId="22BE5A1C"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59" w:history="1">
        <w:r w:rsidRPr="0002133B">
          <w:rPr>
            <w:rStyle w:val="Hyperlink"/>
          </w:rPr>
          <w:t>Table 2</w:t>
        </w:r>
        <w:r w:rsidRPr="0002133B">
          <w:rPr>
            <w:rStyle w:val="Hyperlink"/>
          </w:rPr>
          <w:noBreakHyphen/>
          <w:t>7. Evaluation summary matrix of individual primary studies</w:t>
        </w:r>
        <w:r>
          <w:rPr>
            <w:webHidden/>
          </w:rPr>
          <w:tab/>
        </w:r>
        <w:r>
          <w:rPr>
            <w:webHidden/>
          </w:rPr>
          <w:fldChar w:fldCharType="begin"/>
        </w:r>
        <w:r>
          <w:rPr>
            <w:webHidden/>
          </w:rPr>
          <w:instrText xml:space="preserve"> PAGEREF _Toc106964859 \h </w:instrText>
        </w:r>
        <w:r>
          <w:rPr>
            <w:webHidden/>
          </w:rPr>
        </w:r>
        <w:r>
          <w:rPr>
            <w:webHidden/>
          </w:rPr>
          <w:fldChar w:fldCharType="separate"/>
        </w:r>
        <w:r w:rsidR="00D41A43">
          <w:rPr>
            <w:webHidden/>
          </w:rPr>
          <w:t>23</w:t>
        </w:r>
        <w:r>
          <w:rPr>
            <w:webHidden/>
          </w:rPr>
          <w:fldChar w:fldCharType="end"/>
        </w:r>
      </w:hyperlink>
    </w:p>
    <w:p w14:paraId="4B34D03A" w14:textId="6A0AB782"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60" w:history="1">
        <w:r w:rsidRPr="0002133B">
          <w:rPr>
            <w:rStyle w:val="Hyperlink"/>
          </w:rPr>
          <w:t>Table 2</w:t>
        </w:r>
        <w:r w:rsidRPr="0002133B">
          <w:rPr>
            <w:rStyle w:val="Hyperlink"/>
          </w:rPr>
          <w:noBreakHyphen/>
          <w:t>8. OHAT reasons for down grading or upgrading certainty of evidence (OHAT, 2019)</w:t>
        </w:r>
        <w:r>
          <w:rPr>
            <w:webHidden/>
          </w:rPr>
          <w:tab/>
        </w:r>
        <w:r>
          <w:rPr>
            <w:webHidden/>
          </w:rPr>
          <w:fldChar w:fldCharType="begin"/>
        </w:r>
        <w:r>
          <w:rPr>
            <w:webHidden/>
          </w:rPr>
          <w:instrText xml:space="preserve"> PAGEREF _Toc106964860 \h </w:instrText>
        </w:r>
        <w:r>
          <w:rPr>
            <w:webHidden/>
          </w:rPr>
        </w:r>
        <w:r>
          <w:rPr>
            <w:webHidden/>
          </w:rPr>
          <w:fldChar w:fldCharType="separate"/>
        </w:r>
        <w:r w:rsidR="00D41A43">
          <w:rPr>
            <w:webHidden/>
          </w:rPr>
          <w:t>24</w:t>
        </w:r>
        <w:r>
          <w:rPr>
            <w:webHidden/>
          </w:rPr>
          <w:fldChar w:fldCharType="end"/>
        </w:r>
      </w:hyperlink>
    </w:p>
    <w:p w14:paraId="44252AB8" w14:textId="77D6E380"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61" w:history="1">
        <w:r w:rsidRPr="0002133B">
          <w:rPr>
            <w:rStyle w:val="Hyperlink"/>
          </w:rPr>
          <w:t>Table 2</w:t>
        </w:r>
        <w:r w:rsidRPr="0002133B">
          <w:rPr>
            <w:rStyle w:val="Hyperlink"/>
          </w:rPr>
          <w:noBreakHyphen/>
          <w:t>9. Criteria for assessing the body of evidence for grey literature</w:t>
        </w:r>
        <w:r>
          <w:rPr>
            <w:webHidden/>
          </w:rPr>
          <w:tab/>
        </w:r>
        <w:r>
          <w:rPr>
            <w:webHidden/>
          </w:rPr>
          <w:fldChar w:fldCharType="begin"/>
        </w:r>
        <w:r>
          <w:rPr>
            <w:webHidden/>
          </w:rPr>
          <w:instrText xml:space="preserve"> PAGEREF _Toc106964861 \h </w:instrText>
        </w:r>
        <w:r>
          <w:rPr>
            <w:webHidden/>
          </w:rPr>
        </w:r>
        <w:r>
          <w:rPr>
            <w:webHidden/>
          </w:rPr>
          <w:fldChar w:fldCharType="separate"/>
        </w:r>
        <w:r w:rsidR="00D41A43">
          <w:rPr>
            <w:webHidden/>
          </w:rPr>
          <w:t>25</w:t>
        </w:r>
        <w:r>
          <w:rPr>
            <w:webHidden/>
          </w:rPr>
          <w:fldChar w:fldCharType="end"/>
        </w:r>
      </w:hyperlink>
    </w:p>
    <w:p w14:paraId="60E4B307" w14:textId="5380A43A"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62" w:history="1">
        <w:r w:rsidRPr="0002133B">
          <w:rPr>
            <w:rStyle w:val="Hyperlink"/>
          </w:rPr>
          <w:t>Table 4</w:t>
        </w:r>
        <w:r w:rsidRPr="0002133B">
          <w:rPr>
            <w:rStyle w:val="Hyperlink"/>
          </w:rPr>
          <w:noBreakHyphen/>
          <w:t xml:space="preserve">1. Form for administrative and technical criteria for assessing existing guidance or reviews. Criteria have been colour-coded to assess minimum requirements as follows: </w:t>
        </w:r>
        <w:r w:rsidRPr="0002133B">
          <w:rPr>
            <w:rStyle w:val="Hyperlink"/>
            <w:shd w:val="clear" w:color="auto" w:fill="92D050"/>
          </w:rPr>
          <w:t>‘Must have’</w:t>
        </w:r>
        <w:r w:rsidRPr="0002133B">
          <w:rPr>
            <w:rStyle w:val="Hyperlink"/>
          </w:rPr>
          <w:t xml:space="preserve">, </w:t>
        </w:r>
        <w:r w:rsidRPr="0002133B">
          <w:rPr>
            <w:rStyle w:val="Hyperlink"/>
            <w:shd w:val="clear" w:color="auto" w:fill="FFFF00"/>
          </w:rPr>
          <w:t>‘Should have’</w:t>
        </w:r>
        <w:r w:rsidRPr="0002133B">
          <w:rPr>
            <w:rStyle w:val="Hyperlink"/>
          </w:rPr>
          <w:t xml:space="preserve"> or </w:t>
        </w:r>
        <w:r w:rsidRPr="0002133B">
          <w:rPr>
            <w:rStyle w:val="Hyperlink"/>
            <w:shd w:val="clear" w:color="auto" w:fill="BFBFBF" w:themeFill="background1" w:themeFillShade="BF"/>
          </w:rPr>
          <w:t>‘</w:t>
        </w:r>
        <w:r w:rsidRPr="0002133B">
          <w:rPr>
            <w:rStyle w:val="Hyperlink"/>
            <w:shd w:val="clear" w:color="auto" w:fill="92CDDC" w:themeFill="accent5" w:themeFillTint="99"/>
          </w:rPr>
          <w:t xml:space="preserve">May have’. </w:t>
        </w:r>
        <w:r w:rsidRPr="0002133B">
          <w:rPr>
            <w:rStyle w:val="Hyperlink"/>
          </w:rPr>
          <w:t>Y, N, n/a, NR =Yes, No, or Not Applicable, Not Reported. Individual assessments are available in the Technical Report (O’Connor 2022).</w:t>
        </w:r>
        <w:r>
          <w:rPr>
            <w:webHidden/>
          </w:rPr>
          <w:tab/>
        </w:r>
        <w:r>
          <w:rPr>
            <w:webHidden/>
          </w:rPr>
          <w:fldChar w:fldCharType="begin"/>
        </w:r>
        <w:r>
          <w:rPr>
            <w:webHidden/>
          </w:rPr>
          <w:instrText xml:space="preserve"> PAGEREF _Toc106964862 \h </w:instrText>
        </w:r>
        <w:r>
          <w:rPr>
            <w:webHidden/>
          </w:rPr>
        </w:r>
        <w:r>
          <w:rPr>
            <w:webHidden/>
          </w:rPr>
          <w:fldChar w:fldCharType="separate"/>
        </w:r>
        <w:r w:rsidR="00D41A43">
          <w:rPr>
            <w:webHidden/>
          </w:rPr>
          <w:t>30</w:t>
        </w:r>
        <w:r>
          <w:rPr>
            <w:webHidden/>
          </w:rPr>
          <w:fldChar w:fldCharType="end"/>
        </w:r>
      </w:hyperlink>
    </w:p>
    <w:p w14:paraId="40B4F9BF" w14:textId="0C486327"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63" w:history="1">
        <w:r w:rsidRPr="0002133B">
          <w:rPr>
            <w:rStyle w:val="Hyperlink"/>
          </w:rPr>
          <w:t>Table 4</w:t>
        </w:r>
        <w:r w:rsidRPr="0002133B">
          <w:rPr>
            <w:rStyle w:val="Hyperlink"/>
          </w:rPr>
          <w:noBreakHyphen/>
          <w:t>2.  Primary studies [Qualitative research] overall risk of bias (body of evidence) (protocol adapted from the CASP appraisal tool [Oxford CVTH, 2020] and the OHAT Risk-of-Bias ratings system [OHAT, 2015]</w:t>
        </w:r>
        <w:r w:rsidRPr="0002133B">
          <w:rPr>
            <w:rStyle w:val="Hyperlink"/>
            <w:rFonts w:cs="Arial"/>
          </w:rPr>
          <w:t>OHAT, 2019)</w:t>
        </w:r>
        <w:r w:rsidRPr="0002133B">
          <w:rPr>
            <w:rStyle w:val="Hyperlink"/>
          </w:rPr>
          <w:t>.  Study authors and titles are listed on the following page.</w:t>
        </w:r>
        <w:r>
          <w:rPr>
            <w:webHidden/>
          </w:rPr>
          <w:tab/>
        </w:r>
        <w:r>
          <w:rPr>
            <w:webHidden/>
          </w:rPr>
          <w:fldChar w:fldCharType="begin"/>
        </w:r>
        <w:r>
          <w:rPr>
            <w:webHidden/>
          </w:rPr>
          <w:instrText xml:space="preserve"> PAGEREF _Toc106964863 \h </w:instrText>
        </w:r>
        <w:r>
          <w:rPr>
            <w:webHidden/>
          </w:rPr>
        </w:r>
        <w:r>
          <w:rPr>
            <w:webHidden/>
          </w:rPr>
          <w:fldChar w:fldCharType="separate"/>
        </w:r>
        <w:r w:rsidR="00D41A43">
          <w:rPr>
            <w:webHidden/>
          </w:rPr>
          <w:t>33</w:t>
        </w:r>
        <w:r>
          <w:rPr>
            <w:webHidden/>
          </w:rPr>
          <w:fldChar w:fldCharType="end"/>
        </w:r>
      </w:hyperlink>
    </w:p>
    <w:p w14:paraId="79DDE4EE" w14:textId="25035F05"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64" w:history="1">
        <w:r w:rsidRPr="0002133B">
          <w:rPr>
            <w:rStyle w:val="Hyperlink"/>
          </w:rPr>
          <w:t>Table 4</w:t>
        </w:r>
        <w:r w:rsidRPr="0002133B">
          <w:rPr>
            <w:rStyle w:val="Hyperlink"/>
          </w:rPr>
          <w:noBreakHyphen/>
          <w:t>3. Primary studies [Cohort studies] overall risk of bias (body of evidence) (protocol adapted from the CASP appraisal tool [Oxford CVTH,2020] and the OHAT Risk-of-Bias ratings system [OHAT, 2015].</w:t>
        </w:r>
        <w:r>
          <w:rPr>
            <w:webHidden/>
          </w:rPr>
          <w:tab/>
        </w:r>
        <w:r>
          <w:rPr>
            <w:webHidden/>
          </w:rPr>
          <w:fldChar w:fldCharType="begin"/>
        </w:r>
        <w:r>
          <w:rPr>
            <w:webHidden/>
          </w:rPr>
          <w:instrText xml:space="preserve"> PAGEREF _Toc106964864 \h </w:instrText>
        </w:r>
        <w:r>
          <w:rPr>
            <w:webHidden/>
          </w:rPr>
        </w:r>
        <w:r>
          <w:rPr>
            <w:webHidden/>
          </w:rPr>
          <w:fldChar w:fldCharType="separate"/>
        </w:r>
        <w:r w:rsidR="00D41A43">
          <w:rPr>
            <w:webHidden/>
          </w:rPr>
          <w:t>35</w:t>
        </w:r>
        <w:r>
          <w:rPr>
            <w:webHidden/>
          </w:rPr>
          <w:fldChar w:fldCharType="end"/>
        </w:r>
      </w:hyperlink>
    </w:p>
    <w:p w14:paraId="50A488C7" w14:textId="5EC3AB2A"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65" w:history="1">
        <w:r w:rsidRPr="0002133B">
          <w:rPr>
            <w:rStyle w:val="Hyperlink"/>
          </w:rPr>
          <w:t>Table 4</w:t>
        </w:r>
        <w:r w:rsidRPr="0002133B">
          <w:rPr>
            <w:rStyle w:val="Hyperlink"/>
          </w:rPr>
          <w:noBreakHyphen/>
          <w:t>4. Primary studies [Systematic reviews] overall risk of bias (body of evidence) (protocol adapted from the CASP appraisal tool [Oxford CVTH, 2020] and the OHAT Risk-of-Bias ratings system [OHAT, 2015]</w:t>
        </w:r>
        <w:r w:rsidRPr="0002133B">
          <w:rPr>
            <w:rStyle w:val="Hyperlink"/>
            <w:rFonts w:cs="Arial"/>
          </w:rPr>
          <w:t>OHAT, 2019)</w:t>
        </w:r>
        <w:r w:rsidRPr="0002133B">
          <w:rPr>
            <w:rStyle w:val="Hyperlink"/>
          </w:rPr>
          <w:t>.</w:t>
        </w:r>
        <w:r>
          <w:rPr>
            <w:webHidden/>
          </w:rPr>
          <w:tab/>
        </w:r>
        <w:r>
          <w:rPr>
            <w:webHidden/>
          </w:rPr>
          <w:fldChar w:fldCharType="begin"/>
        </w:r>
        <w:r>
          <w:rPr>
            <w:webHidden/>
          </w:rPr>
          <w:instrText xml:space="preserve"> PAGEREF _Toc106964865 \h </w:instrText>
        </w:r>
        <w:r>
          <w:rPr>
            <w:webHidden/>
          </w:rPr>
        </w:r>
        <w:r>
          <w:rPr>
            <w:webHidden/>
          </w:rPr>
          <w:fldChar w:fldCharType="separate"/>
        </w:r>
        <w:r w:rsidR="00D41A43">
          <w:rPr>
            <w:webHidden/>
          </w:rPr>
          <w:t>36</w:t>
        </w:r>
        <w:r>
          <w:rPr>
            <w:webHidden/>
          </w:rPr>
          <w:fldChar w:fldCharType="end"/>
        </w:r>
      </w:hyperlink>
    </w:p>
    <w:p w14:paraId="5320201F" w14:textId="3A1B67FD"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66" w:history="1">
        <w:r w:rsidRPr="0002133B">
          <w:rPr>
            <w:rStyle w:val="Hyperlink"/>
          </w:rPr>
          <w:t>Table 5</w:t>
        </w:r>
        <w:r w:rsidRPr="0002133B">
          <w:rPr>
            <w:rStyle w:val="Hyperlink"/>
          </w:rPr>
          <w:noBreakHyphen/>
          <w:t>1. List of grey literature included after screening and quality assessment</w:t>
        </w:r>
        <w:r>
          <w:rPr>
            <w:webHidden/>
          </w:rPr>
          <w:tab/>
        </w:r>
        <w:r>
          <w:rPr>
            <w:webHidden/>
          </w:rPr>
          <w:fldChar w:fldCharType="begin"/>
        </w:r>
        <w:r>
          <w:rPr>
            <w:webHidden/>
          </w:rPr>
          <w:instrText xml:space="preserve"> PAGEREF _Toc106964866 \h </w:instrText>
        </w:r>
        <w:r>
          <w:rPr>
            <w:webHidden/>
          </w:rPr>
        </w:r>
        <w:r>
          <w:rPr>
            <w:webHidden/>
          </w:rPr>
          <w:fldChar w:fldCharType="separate"/>
        </w:r>
        <w:r w:rsidR="00D41A43">
          <w:rPr>
            <w:webHidden/>
          </w:rPr>
          <w:t>37</w:t>
        </w:r>
        <w:r>
          <w:rPr>
            <w:webHidden/>
          </w:rPr>
          <w:fldChar w:fldCharType="end"/>
        </w:r>
      </w:hyperlink>
    </w:p>
    <w:p w14:paraId="127D1956" w14:textId="373B4305"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67" w:history="1">
        <w:r w:rsidRPr="0002133B">
          <w:rPr>
            <w:rStyle w:val="Hyperlink"/>
          </w:rPr>
          <w:t>Table 5</w:t>
        </w:r>
        <w:r w:rsidRPr="0002133B">
          <w:rPr>
            <w:rStyle w:val="Hyperlink"/>
          </w:rPr>
          <w:noBreakHyphen/>
          <w:t>2. List of primary studies included after consideration of risk of bias</w:t>
        </w:r>
        <w:r>
          <w:rPr>
            <w:webHidden/>
          </w:rPr>
          <w:tab/>
        </w:r>
        <w:r>
          <w:rPr>
            <w:webHidden/>
          </w:rPr>
          <w:fldChar w:fldCharType="begin"/>
        </w:r>
        <w:r>
          <w:rPr>
            <w:webHidden/>
          </w:rPr>
          <w:instrText xml:space="preserve"> PAGEREF _Toc106964867 \h </w:instrText>
        </w:r>
        <w:r>
          <w:rPr>
            <w:webHidden/>
          </w:rPr>
        </w:r>
        <w:r>
          <w:rPr>
            <w:webHidden/>
          </w:rPr>
          <w:fldChar w:fldCharType="separate"/>
        </w:r>
        <w:r w:rsidR="00D41A43">
          <w:rPr>
            <w:webHidden/>
          </w:rPr>
          <w:t>38</w:t>
        </w:r>
        <w:r>
          <w:rPr>
            <w:webHidden/>
          </w:rPr>
          <w:fldChar w:fldCharType="end"/>
        </w:r>
      </w:hyperlink>
    </w:p>
    <w:p w14:paraId="6441A413" w14:textId="0E60D37E"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68" w:history="1">
        <w:r w:rsidRPr="0002133B">
          <w:rPr>
            <w:rStyle w:val="Hyperlink"/>
          </w:rPr>
          <w:t>Table 6</w:t>
        </w:r>
        <w:r w:rsidRPr="0002133B">
          <w:rPr>
            <w:rStyle w:val="Hyperlink"/>
          </w:rPr>
          <w:noBreakHyphen/>
          <w:t>1. Summary of grey literature review results for the Primary Research Question: How can we monitor, assess, and predict risks from diffuse and point source microbial contamination in recreational waters?</w:t>
        </w:r>
        <w:r>
          <w:rPr>
            <w:webHidden/>
          </w:rPr>
          <w:tab/>
        </w:r>
        <w:r>
          <w:rPr>
            <w:webHidden/>
          </w:rPr>
          <w:fldChar w:fldCharType="begin"/>
        </w:r>
        <w:r>
          <w:rPr>
            <w:webHidden/>
          </w:rPr>
          <w:instrText xml:space="preserve"> PAGEREF _Toc106964868 \h </w:instrText>
        </w:r>
        <w:r>
          <w:rPr>
            <w:webHidden/>
          </w:rPr>
        </w:r>
        <w:r>
          <w:rPr>
            <w:webHidden/>
          </w:rPr>
          <w:fldChar w:fldCharType="separate"/>
        </w:r>
        <w:r w:rsidR="00D41A43">
          <w:rPr>
            <w:webHidden/>
          </w:rPr>
          <w:t>48</w:t>
        </w:r>
        <w:r>
          <w:rPr>
            <w:webHidden/>
          </w:rPr>
          <w:fldChar w:fldCharType="end"/>
        </w:r>
      </w:hyperlink>
    </w:p>
    <w:p w14:paraId="454050B5" w14:textId="58467740"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69" w:history="1">
        <w:r w:rsidRPr="0002133B">
          <w:rPr>
            <w:rStyle w:val="Hyperlink"/>
          </w:rPr>
          <w:t>Table 6</w:t>
        </w:r>
        <w:r w:rsidRPr="0002133B">
          <w:rPr>
            <w:rStyle w:val="Hyperlink"/>
          </w:rPr>
          <w:noBreakHyphen/>
          <w:t>2. Summary of guideline review results for Secondary Research Question 1:</w:t>
        </w:r>
        <w:r w:rsidRPr="0002133B">
          <w:rPr>
            <w:rStyle w:val="Hyperlink"/>
            <w:rFonts w:cs="Arial"/>
            <w:iCs/>
          </w:rPr>
          <w:t xml:space="preserve"> What are the indicators/surrogates of this/these risk/s (of microbial contamination from diffuse and point sources in recreational waters)?</w:t>
        </w:r>
        <w:r>
          <w:rPr>
            <w:webHidden/>
          </w:rPr>
          <w:tab/>
        </w:r>
        <w:r>
          <w:rPr>
            <w:webHidden/>
          </w:rPr>
          <w:fldChar w:fldCharType="begin"/>
        </w:r>
        <w:r>
          <w:rPr>
            <w:webHidden/>
          </w:rPr>
          <w:instrText xml:space="preserve"> PAGEREF _Toc106964869 \h </w:instrText>
        </w:r>
        <w:r>
          <w:rPr>
            <w:webHidden/>
          </w:rPr>
        </w:r>
        <w:r>
          <w:rPr>
            <w:webHidden/>
          </w:rPr>
          <w:fldChar w:fldCharType="separate"/>
        </w:r>
        <w:r w:rsidR="00D41A43">
          <w:rPr>
            <w:webHidden/>
          </w:rPr>
          <w:t>52</w:t>
        </w:r>
        <w:r>
          <w:rPr>
            <w:webHidden/>
          </w:rPr>
          <w:fldChar w:fldCharType="end"/>
        </w:r>
      </w:hyperlink>
    </w:p>
    <w:p w14:paraId="4F65077F" w14:textId="64B8C533"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70" w:history="1">
        <w:r w:rsidRPr="0002133B">
          <w:rPr>
            <w:rStyle w:val="Hyperlink"/>
          </w:rPr>
          <w:t>Table 6</w:t>
        </w:r>
        <w:r w:rsidRPr="0002133B">
          <w:rPr>
            <w:rStyle w:val="Hyperlink"/>
          </w:rPr>
          <w:noBreakHyphen/>
          <w:t>3. Summary of guideline review results for Secondary Research Question 2: What are the current practices to minimise or manage this/these risk/s (of microbial contamination from diffuse and point sources in recreational waters)?</w:t>
        </w:r>
        <w:r>
          <w:rPr>
            <w:webHidden/>
          </w:rPr>
          <w:tab/>
        </w:r>
        <w:r>
          <w:rPr>
            <w:webHidden/>
          </w:rPr>
          <w:fldChar w:fldCharType="begin"/>
        </w:r>
        <w:r>
          <w:rPr>
            <w:webHidden/>
          </w:rPr>
          <w:instrText xml:space="preserve"> PAGEREF _Toc106964870 \h </w:instrText>
        </w:r>
        <w:r>
          <w:rPr>
            <w:webHidden/>
          </w:rPr>
        </w:r>
        <w:r>
          <w:rPr>
            <w:webHidden/>
          </w:rPr>
          <w:fldChar w:fldCharType="separate"/>
        </w:r>
        <w:r w:rsidR="00D41A43">
          <w:rPr>
            <w:webHidden/>
          </w:rPr>
          <w:t>55</w:t>
        </w:r>
        <w:r>
          <w:rPr>
            <w:webHidden/>
          </w:rPr>
          <w:fldChar w:fldCharType="end"/>
        </w:r>
      </w:hyperlink>
    </w:p>
    <w:p w14:paraId="71DD6182" w14:textId="776807F0"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71" w:history="1">
        <w:r w:rsidRPr="0002133B">
          <w:rPr>
            <w:rStyle w:val="Hyperlink"/>
          </w:rPr>
          <w:t>Table 6</w:t>
        </w:r>
        <w:r w:rsidRPr="0002133B">
          <w:rPr>
            <w:rStyle w:val="Hyperlink"/>
          </w:rPr>
          <w:noBreakHyphen/>
          <w:t>4. Body of evidence summary for included grey literature</w:t>
        </w:r>
        <w:r>
          <w:rPr>
            <w:webHidden/>
          </w:rPr>
          <w:tab/>
        </w:r>
        <w:r>
          <w:rPr>
            <w:webHidden/>
          </w:rPr>
          <w:fldChar w:fldCharType="begin"/>
        </w:r>
        <w:r>
          <w:rPr>
            <w:webHidden/>
          </w:rPr>
          <w:instrText xml:space="preserve"> PAGEREF _Toc106964871 \h </w:instrText>
        </w:r>
        <w:r>
          <w:rPr>
            <w:webHidden/>
          </w:rPr>
        </w:r>
        <w:r>
          <w:rPr>
            <w:webHidden/>
          </w:rPr>
          <w:fldChar w:fldCharType="separate"/>
        </w:r>
        <w:r w:rsidR="00D41A43">
          <w:rPr>
            <w:webHidden/>
          </w:rPr>
          <w:t>57</w:t>
        </w:r>
        <w:r>
          <w:rPr>
            <w:webHidden/>
          </w:rPr>
          <w:fldChar w:fldCharType="end"/>
        </w:r>
      </w:hyperlink>
    </w:p>
    <w:p w14:paraId="54F2B847" w14:textId="0368B61E"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72" w:history="1">
        <w:r w:rsidRPr="0002133B">
          <w:rPr>
            <w:rStyle w:val="Hyperlink"/>
          </w:rPr>
          <w:t>Table 6</w:t>
        </w:r>
        <w:r w:rsidRPr="0002133B">
          <w:rPr>
            <w:rStyle w:val="Hyperlink"/>
          </w:rPr>
          <w:noBreakHyphen/>
          <w:t>5. Results summary for Primary research question, Outcome 1.</w:t>
        </w:r>
        <w:r>
          <w:rPr>
            <w:webHidden/>
          </w:rPr>
          <w:tab/>
        </w:r>
        <w:r>
          <w:rPr>
            <w:webHidden/>
          </w:rPr>
          <w:fldChar w:fldCharType="begin"/>
        </w:r>
        <w:r>
          <w:rPr>
            <w:webHidden/>
          </w:rPr>
          <w:instrText xml:space="preserve"> PAGEREF _Toc106964872 \h </w:instrText>
        </w:r>
        <w:r>
          <w:rPr>
            <w:webHidden/>
          </w:rPr>
        </w:r>
        <w:r>
          <w:rPr>
            <w:webHidden/>
          </w:rPr>
          <w:fldChar w:fldCharType="separate"/>
        </w:r>
        <w:r w:rsidR="00D41A43">
          <w:rPr>
            <w:webHidden/>
          </w:rPr>
          <w:t>70</w:t>
        </w:r>
        <w:r>
          <w:rPr>
            <w:webHidden/>
          </w:rPr>
          <w:fldChar w:fldCharType="end"/>
        </w:r>
      </w:hyperlink>
    </w:p>
    <w:p w14:paraId="7E9465F6" w14:textId="45BCA921"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73" w:history="1">
        <w:r w:rsidRPr="0002133B">
          <w:rPr>
            <w:rStyle w:val="Hyperlink"/>
          </w:rPr>
          <w:t>Table 6</w:t>
        </w:r>
        <w:r w:rsidRPr="0002133B">
          <w:rPr>
            <w:rStyle w:val="Hyperlink"/>
          </w:rPr>
          <w:noBreakHyphen/>
          <w:t>6. GRADE report for presence of significant human health risks due to microbial risks in recreational water</w:t>
        </w:r>
        <w:r>
          <w:rPr>
            <w:webHidden/>
          </w:rPr>
          <w:tab/>
        </w:r>
        <w:r>
          <w:rPr>
            <w:webHidden/>
          </w:rPr>
          <w:fldChar w:fldCharType="begin"/>
        </w:r>
        <w:r>
          <w:rPr>
            <w:webHidden/>
          </w:rPr>
          <w:instrText xml:space="preserve"> PAGEREF _Toc106964873 \h </w:instrText>
        </w:r>
        <w:r>
          <w:rPr>
            <w:webHidden/>
          </w:rPr>
        </w:r>
        <w:r>
          <w:rPr>
            <w:webHidden/>
          </w:rPr>
          <w:fldChar w:fldCharType="separate"/>
        </w:r>
        <w:r w:rsidR="00D41A43">
          <w:rPr>
            <w:webHidden/>
          </w:rPr>
          <w:t>84</w:t>
        </w:r>
        <w:r>
          <w:rPr>
            <w:webHidden/>
          </w:rPr>
          <w:fldChar w:fldCharType="end"/>
        </w:r>
      </w:hyperlink>
    </w:p>
    <w:p w14:paraId="1E189D55" w14:textId="36E73876"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74" w:history="1">
        <w:r w:rsidRPr="0002133B">
          <w:rPr>
            <w:rStyle w:val="Hyperlink"/>
          </w:rPr>
          <w:t>Table 7</w:t>
        </w:r>
        <w:r w:rsidRPr="0002133B">
          <w:rPr>
            <w:rStyle w:val="Hyperlink"/>
          </w:rPr>
          <w:noBreakHyphen/>
          <w:t>1. Major themes relevant to the primary research question in the reviewed literature.</w:t>
        </w:r>
        <w:r>
          <w:rPr>
            <w:webHidden/>
          </w:rPr>
          <w:tab/>
        </w:r>
        <w:r>
          <w:rPr>
            <w:webHidden/>
          </w:rPr>
          <w:fldChar w:fldCharType="begin"/>
        </w:r>
        <w:r>
          <w:rPr>
            <w:webHidden/>
          </w:rPr>
          <w:instrText xml:space="preserve"> PAGEREF _Toc106964874 \h </w:instrText>
        </w:r>
        <w:r>
          <w:rPr>
            <w:webHidden/>
          </w:rPr>
        </w:r>
        <w:r>
          <w:rPr>
            <w:webHidden/>
          </w:rPr>
          <w:fldChar w:fldCharType="separate"/>
        </w:r>
        <w:r w:rsidR="00D41A43">
          <w:rPr>
            <w:webHidden/>
          </w:rPr>
          <w:t>86</w:t>
        </w:r>
        <w:r>
          <w:rPr>
            <w:webHidden/>
          </w:rPr>
          <w:fldChar w:fldCharType="end"/>
        </w:r>
      </w:hyperlink>
    </w:p>
    <w:p w14:paraId="31588F3C" w14:textId="164F460C"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75" w:history="1">
        <w:r w:rsidRPr="0002133B">
          <w:rPr>
            <w:rStyle w:val="Hyperlink"/>
          </w:rPr>
          <w:t>Table 7</w:t>
        </w:r>
        <w:r w:rsidRPr="0002133B">
          <w:rPr>
            <w:rStyle w:val="Hyperlink"/>
          </w:rPr>
          <w:noBreakHyphen/>
          <w:t>2. MST targets and associated hosts WHO (2018).</w:t>
        </w:r>
        <w:r>
          <w:rPr>
            <w:webHidden/>
          </w:rPr>
          <w:tab/>
        </w:r>
        <w:r>
          <w:rPr>
            <w:webHidden/>
          </w:rPr>
          <w:fldChar w:fldCharType="begin"/>
        </w:r>
        <w:r>
          <w:rPr>
            <w:webHidden/>
          </w:rPr>
          <w:instrText xml:space="preserve"> PAGEREF _Toc106964875 \h </w:instrText>
        </w:r>
        <w:r>
          <w:rPr>
            <w:webHidden/>
          </w:rPr>
        </w:r>
        <w:r>
          <w:rPr>
            <w:webHidden/>
          </w:rPr>
          <w:fldChar w:fldCharType="separate"/>
        </w:r>
        <w:r w:rsidR="00D41A43">
          <w:rPr>
            <w:webHidden/>
          </w:rPr>
          <w:t>94</w:t>
        </w:r>
        <w:r>
          <w:rPr>
            <w:webHidden/>
          </w:rPr>
          <w:fldChar w:fldCharType="end"/>
        </w:r>
      </w:hyperlink>
    </w:p>
    <w:p w14:paraId="2D7BC3F8" w14:textId="5E4A98FA"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76" w:history="1">
        <w:r w:rsidRPr="0002133B">
          <w:rPr>
            <w:rStyle w:val="Hyperlink"/>
          </w:rPr>
          <w:t>Table 7</w:t>
        </w:r>
        <w:r w:rsidRPr="0002133B">
          <w:rPr>
            <w:rStyle w:val="Hyperlink"/>
          </w:rPr>
          <w:noBreakHyphen/>
          <w:t>3. Additional questions for supporting main research questions for the narrative review.</w:t>
        </w:r>
        <w:r>
          <w:rPr>
            <w:webHidden/>
          </w:rPr>
          <w:tab/>
        </w:r>
        <w:r>
          <w:rPr>
            <w:webHidden/>
          </w:rPr>
          <w:fldChar w:fldCharType="begin"/>
        </w:r>
        <w:r>
          <w:rPr>
            <w:webHidden/>
          </w:rPr>
          <w:instrText xml:space="preserve"> PAGEREF _Toc106964876 \h </w:instrText>
        </w:r>
        <w:r>
          <w:rPr>
            <w:webHidden/>
          </w:rPr>
        </w:r>
        <w:r>
          <w:rPr>
            <w:webHidden/>
          </w:rPr>
          <w:fldChar w:fldCharType="separate"/>
        </w:r>
        <w:r w:rsidR="00D41A43">
          <w:rPr>
            <w:webHidden/>
          </w:rPr>
          <w:t>97</w:t>
        </w:r>
        <w:r>
          <w:rPr>
            <w:webHidden/>
          </w:rPr>
          <w:fldChar w:fldCharType="end"/>
        </w:r>
      </w:hyperlink>
    </w:p>
    <w:p w14:paraId="00FF7D89" w14:textId="0019CC67" w:rsidR="006E6200" w:rsidRPr="00397A3E" w:rsidRDefault="00171C91" w:rsidP="001C27E8">
      <w:pPr>
        <w:rPr>
          <w:noProof w:val="0"/>
          <w:highlight w:val="yellow"/>
        </w:rPr>
      </w:pPr>
      <w:r w:rsidRPr="00397A3E">
        <w:rPr>
          <w:noProof w:val="0"/>
          <w:highlight w:val="yellow"/>
        </w:rPr>
        <w:fldChar w:fldCharType="end"/>
      </w:r>
    </w:p>
    <w:p w14:paraId="6579DA16" w14:textId="63717FAC" w:rsidR="00D267EA" w:rsidRPr="00397A3E" w:rsidRDefault="00171C91" w:rsidP="00D267EA">
      <w:pPr>
        <w:pStyle w:val="Non-numberedHeading1"/>
        <w:pageBreakBefore w:val="0"/>
        <w:outlineLvl w:val="0"/>
        <w:rPr>
          <w:noProof w:val="0"/>
        </w:rPr>
      </w:pPr>
      <w:r w:rsidRPr="00397A3E">
        <w:rPr>
          <w:noProof w:val="0"/>
        </w:rPr>
        <w:t>Table of Figures</w:t>
      </w:r>
    </w:p>
    <w:p w14:paraId="2471CEC8" w14:textId="7A46E856" w:rsidR="001A0E9F" w:rsidRDefault="00171C91">
      <w:pPr>
        <w:pStyle w:val="TableofFigures"/>
        <w:tabs>
          <w:tab w:val="right" w:leader="dot" w:pos="7643"/>
        </w:tabs>
        <w:rPr>
          <w:rFonts w:asciiTheme="minorHAnsi" w:eastAsiaTheme="minorEastAsia" w:hAnsiTheme="minorHAnsi" w:cstheme="minorBidi"/>
          <w:sz w:val="22"/>
          <w:szCs w:val="22"/>
        </w:rPr>
      </w:pPr>
      <w:r w:rsidRPr="00397A3E">
        <w:rPr>
          <w:noProof w:val="0"/>
          <w:highlight w:val="yellow"/>
        </w:rPr>
        <w:fldChar w:fldCharType="begin"/>
      </w:r>
      <w:r w:rsidRPr="00397A3E">
        <w:rPr>
          <w:noProof w:val="0"/>
          <w:highlight w:val="yellow"/>
        </w:rPr>
        <w:instrText xml:space="preserve"> TOC \h \z \c "Figure" </w:instrText>
      </w:r>
      <w:r w:rsidRPr="00397A3E">
        <w:rPr>
          <w:noProof w:val="0"/>
          <w:highlight w:val="yellow"/>
        </w:rPr>
        <w:fldChar w:fldCharType="separate"/>
      </w:r>
      <w:hyperlink w:anchor="_Toc106964877" w:history="1">
        <w:r w:rsidR="001A0E9F" w:rsidRPr="0030736F">
          <w:rPr>
            <w:rStyle w:val="Hyperlink"/>
          </w:rPr>
          <w:t>Figure 2</w:t>
        </w:r>
        <w:r w:rsidR="001A0E9F" w:rsidRPr="0030736F">
          <w:rPr>
            <w:rStyle w:val="Hyperlink"/>
          </w:rPr>
          <w:noBreakHyphen/>
          <w:t xml:space="preserve">1. OHAT method for assessing confidence in the body of evidence </w:t>
        </w:r>
        <w:r w:rsidR="001A0E9F" w:rsidRPr="0030736F">
          <w:rPr>
            <w:rStyle w:val="Hyperlink"/>
            <w:rFonts w:cs="Arial"/>
          </w:rPr>
          <w:t>(OHAT, 2019)</w:t>
        </w:r>
        <w:r w:rsidR="001A0E9F">
          <w:rPr>
            <w:webHidden/>
          </w:rPr>
          <w:tab/>
        </w:r>
        <w:r w:rsidR="001A0E9F">
          <w:rPr>
            <w:webHidden/>
          </w:rPr>
          <w:fldChar w:fldCharType="begin"/>
        </w:r>
        <w:r w:rsidR="001A0E9F">
          <w:rPr>
            <w:webHidden/>
          </w:rPr>
          <w:instrText xml:space="preserve"> PAGEREF _Toc106964877 \h </w:instrText>
        </w:r>
        <w:r w:rsidR="001A0E9F">
          <w:rPr>
            <w:webHidden/>
          </w:rPr>
        </w:r>
        <w:r w:rsidR="001A0E9F">
          <w:rPr>
            <w:webHidden/>
          </w:rPr>
          <w:fldChar w:fldCharType="separate"/>
        </w:r>
        <w:r w:rsidR="00D41A43">
          <w:rPr>
            <w:webHidden/>
          </w:rPr>
          <w:t>23</w:t>
        </w:r>
        <w:r w:rsidR="001A0E9F">
          <w:rPr>
            <w:webHidden/>
          </w:rPr>
          <w:fldChar w:fldCharType="end"/>
        </w:r>
      </w:hyperlink>
    </w:p>
    <w:p w14:paraId="3D16977D" w14:textId="3B34A84E"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78" w:history="1">
        <w:r w:rsidRPr="0030736F">
          <w:rPr>
            <w:rStyle w:val="Hyperlink"/>
          </w:rPr>
          <w:t>Figure 3</w:t>
        </w:r>
        <w:r w:rsidRPr="0030736F">
          <w:rPr>
            <w:rStyle w:val="Hyperlink"/>
          </w:rPr>
          <w:noBreakHyphen/>
          <w:t>1.  PRISMA summary of the citation review process for grey literature</w:t>
        </w:r>
        <w:r>
          <w:rPr>
            <w:webHidden/>
          </w:rPr>
          <w:tab/>
        </w:r>
        <w:r>
          <w:rPr>
            <w:webHidden/>
          </w:rPr>
          <w:fldChar w:fldCharType="begin"/>
        </w:r>
        <w:r>
          <w:rPr>
            <w:webHidden/>
          </w:rPr>
          <w:instrText xml:space="preserve"> PAGEREF _Toc106964878 \h </w:instrText>
        </w:r>
        <w:r>
          <w:rPr>
            <w:webHidden/>
          </w:rPr>
        </w:r>
        <w:r>
          <w:rPr>
            <w:webHidden/>
          </w:rPr>
          <w:fldChar w:fldCharType="separate"/>
        </w:r>
        <w:r w:rsidR="00D41A43">
          <w:rPr>
            <w:webHidden/>
          </w:rPr>
          <w:t>27</w:t>
        </w:r>
        <w:r>
          <w:rPr>
            <w:webHidden/>
          </w:rPr>
          <w:fldChar w:fldCharType="end"/>
        </w:r>
      </w:hyperlink>
    </w:p>
    <w:p w14:paraId="26BE5F2B" w14:textId="4924D930" w:rsidR="001A0E9F" w:rsidRDefault="001A0E9F">
      <w:pPr>
        <w:pStyle w:val="TableofFigures"/>
        <w:tabs>
          <w:tab w:val="right" w:leader="dot" w:pos="7643"/>
        </w:tabs>
        <w:rPr>
          <w:rFonts w:asciiTheme="minorHAnsi" w:eastAsiaTheme="minorEastAsia" w:hAnsiTheme="minorHAnsi" w:cstheme="minorBidi"/>
          <w:sz w:val="22"/>
          <w:szCs w:val="22"/>
        </w:rPr>
      </w:pPr>
      <w:hyperlink w:anchor="_Toc106964879" w:history="1">
        <w:r w:rsidRPr="0030736F">
          <w:rPr>
            <w:rStyle w:val="Hyperlink"/>
          </w:rPr>
          <w:t>Figure 3</w:t>
        </w:r>
        <w:r w:rsidRPr="0030736F">
          <w:rPr>
            <w:rStyle w:val="Hyperlink"/>
          </w:rPr>
          <w:noBreakHyphen/>
          <w:t>2.  PRISMA summary of the citation review process for primary studies</w:t>
        </w:r>
        <w:r>
          <w:rPr>
            <w:webHidden/>
          </w:rPr>
          <w:tab/>
        </w:r>
        <w:r>
          <w:rPr>
            <w:webHidden/>
          </w:rPr>
          <w:fldChar w:fldCharType="begin"/>
        </w:r>
        <w:r>
          <w:rPr>
            <w:webHidden/>
          </w:rPr>
          <w:instrText xml:space="preserve"> PAGEREF _Toc106964879 \h </w:instrText>
        </w:r>
        <w:r>
          <w:rPr>
            <w:webHidden/>
          </w:rPr>
        </w:r>
        <w:r>
          <w:rPr>
            <w:webHidden/>
          </w:rPr>
          <w:fldChar w:fldCharType="separate"/>
        </w:r>
        <w:r w:rsidR="00D41A43">
          <w:rPr>
            <w:webHidden/>
          </w:rPr>
          <w:t>28</w:t>
        </w:r>
        <w:r>
          <w:rPr>
            <w:webHidden/>
          </w:rPr>
          <w:fldChar w:fldCharType="end"/>
        </w:r>
      </w:hyperlink>
    </w:p>
    <w:p w14:paraId="1BE65F52" w14:textId="7055B668" w:rsidR="00D267EA" w:rsidRDefault="00171C91" w:rsidP="001C27E8">
      <w:pPr>
        <w:rPr>
          <w:noProof w:val="0"/>
          <w:highlight w:val="yellow"/>
        </w:rPr>
      </w:pPr>
      <w:r w:rsidRPr="00397A3E">
        <w:rPr>
          <w:noProof w:val="0"/>
          <w:highlight w:val="yellow"/>
        </w:rPr>
        <w:fldChar w:fldCharType="end"/>
      </w:r>
    </w:p>
    <w:p w14:paraId="28DD3AF6" w14:textId="5E45DBAF" w:rsidR="003A7979" w:rsidRPr="003A7979" w:rsidRDefault="00171C91" w:rsidP="003A7979">
      <w:pPr>
        <w:pStyle w:val="Non-numberedHeading1"/>
        <w:pageBreakBefore w:val="0"/>
        <w:outlineLvl w:val="0"/>
        <w:rPr>
          <w:noProof w:val="0"/>
        </w:rPr>
      </w:pPr>
      <w:r w:rsidRPr="003A7979">
        <w:rPr>
          <w:noProof w:val="0"/>
        </w:rPr>
        <w:t>Glossary</w:t>
      </w:r>
    </w:p>
    <w:tbl>
      <w:tblPr>
        <w:tblW w:w="8400" w:type="dxa"/>
        <w:tblInd w:w="5" w:type="dxa"/>
        <w:tblLook w:val="04A0" w:firstRow="1" w:lastRow="0" w:firstColumn="1" w:lastColumn="0" w:noHBand="0" w:noVBand="1"/>
      </w:tblPr>
      <w:tblGrid>
        <w:gridCol w:w="1600"/>
        <w:gridCol w:w="6800"/>
      </w:tblGrid>
      <w:tr w:rsidR="00FE2157" w:rsidRPr="00FE2157" w14:paraId="420D22DA" w14:textId="77777777" w:rsidTr="00FA0192">
        <w:trPr>
          <w:trHeight w:val="300"/>
        </w:trPr>
        <w:tc>
          <w:tcPr>
            <w:tcW w:w="1600" w:type="dxa"/>
            <w:vAlign w:val="center"/>
            <w:hideMark/>
          </w:tcPr>
          <w:p w14:paraId="2B3ACE27"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AGREE</w:t>
            </w:r>
          </w:p>
        </w:tc>
        <w:tc>
          <w:tcPr>
            <w:tcW w:w="6800" w:type="dxa"/>
            <w:vAlign w:val="center"/>
            <w:hideMark/>
          </w:tcPr>
          <w:p w14:paraId="0A037787"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Appraisal of Guidelines for Research and Evaluation</w:t>
            </w:r>
          </w:p>
        </w:tc>
      </w:tr>
      <w:tr w:rsidR="00FE2157" w:rsidRPr="00FE2157" w14:paraId="37F61127" w14:textId="77777777" w:rsidTr="00FA0192">
        <w:trPr>
          <w:trHeight w:val="300"/>
        </w:trPr>
        <w:tc>
          <w:tcPr>
            <w:tcW w:w="1600" w:type="dxa"/>
            <w:vAlign w:val="center"/>
            <w:hideMark/>
          </w:tcPr>
          <w:p w14:paraId="0CFED080"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AHMC</w:t>
            </w:r>
          </w:p>
        </w:tc>
        <w:tc>
          <w:tcPr>
            <w:tcW w:w="6800" w:type="dxa"/>
            <w:vAlign w:val="center"/>
            <w:hideMark/>
          </w:tcPr>
          <w:p w14:paraId="26918708"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Australian Health Ministers Conference</w:t>
            </w:r>
          </w:p>
        </w:tc>
      </w:tr>
      <w:tr w:rsidR="00FE2157" w:rsidRPr="00FE2157" w14:paraId="14BA5891" w14:textId="77777777" w:rsidTr="00FA0192">
        <w:trPr>
          <w:trHeight w:val="300"/>
        </w:trPr>
        <w:tc>
          <w:tcPr>
            <w:tcW w:w="1600" w:type="dxa"/>
            <w:vAlign w:val="center"/>
            <w:hideMark/>
          </w:tcPr>
          <w:p w14:paraId="75FCD770"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AMR/AMRB</w:t>
            </w:r>
          </w:p>
        </w:tc>
        <w:tc>
          <w:tcPr>
            <w:tcW w:w="6800" w:type="dxa"/>
            <w:vAlign w:val="center"/>
            <w:hideMark/>
          </w:tcPr>
          <w:p w14:paraId="7FE1CE75"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Antimicrobial resistance/ Anti-microbial resistant bacteria</w:t>
            </w:r>
          </w:p>
        </w:tc>
      </w:tr>
      <w:tr w:rsidR="00FE2157" w:rsidRPr="00FE2157" w14:paraId="42D23666" w14:textId="77777777" w:rsidTr="00FA0192">
        <w:trPr>
          <w:trHeight w:val="300"/>
        </w:trPr>
        <w:tc>
          <w:tcPr>
            <w:tcW w:w="1600" w:type="dxa"/>
            <w:vAlign w:val="center"/>
            <w:hideMark/>
          </w:tcPr>
          <w:p w14:paraId="4BE4621B"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BAV</w:t>
            </w:r>
          </w:p>
        </w:tc>
        <w:tc>
          <w:tcPr>
            <w:tcW w:w="6800" w:type="dxa"/>
            <w:vAlign w:val="center"/>
            <w:hideMark/>
          </w:tcPr>
          <w:p w14:paraId="13947ED4"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Beach action value</w:t>
            </w:r>
          </w:p>
        </w:tc>
      </w:tr>
      <w:tr w:rsidR="00FE2157" w:rsidRPr="00FE2157" w14:paraId="6AC30E29" w14:textId="77777777" w:rsidTr="00FA0192">
        <w:trPr>
          <w:trHeight w:val="300"/>
        </w:trPr>
        <w:tc>
          <w:tcPr>
            <w:tcW w:w="1600" w:type="dxa"/>
            <w:vAlign w:val="center"/>
            <w:hideMark/>
          </w:tcPr>
          <w:p w14:paraId="157DC76A"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BMDL</w:t>
            </w:r>
          </w:p>
        </w:tc>
        <w:tc>
          <w:tcPr>
            <w:tcW w:w="6800" w:type="dxa"/>
            <w:vAlign w:val="center"/>
            <w:hideMark/>
          </w:tcPr>
          <w:p w14:paraId="1557F79D"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Benchmark dose level</w:t>
            </w:r>
          </w:p>
        </w:tc>
      </w:tr>
      <w:tr w:rsidR="00FE2157" w:rsidRPr="00FE2157" w14:paraId="77D671DE" w14:textId="77777777" w:rsidTr="00FA0192">
        <w:trPr>
          <w:trHeight w:val="300"/>
        </w:trPr>
        <w:tc>
          <w:tcPr>
            <w:tcW w:w="1600" w:type="dxa"/>
            <w:vAlign w:val="center"/>
            <w:hideMark/>
          </w:tcPr>
          <w:p w14:paraId="580329B6"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BWD</w:t>
            </w:r>
          </w:p>
        </w:tc>
        <w:tc>
          <w:tcPr>
            <w:tcW w:w="6800" w:type="dxa"/>
            <w:vAlign w:val="center"/>
            <w:hideMark/>
          </w:tcPr>
          <w:p w14:paraId="0C641DC3"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Bathing Water Directive</w:t>
            </w:r>
          </w:p>
        </w:tc>
      </w:tr>
      <w:tr w:rsidR="00FE2157" w:rsidRPr="00FE2157" w14:paraId="1F1164EF" w14:textId="77777777" w:rsidTr="00FA0192">
        <w:trPr>
          <w:trHeight w:val="300"/>
        </w:trPr>
        <w:tc>
          <w:tcPr>
            <w:tcW w:w="1600" w:type="dxa"/>
            <w:vAlign w:val="center"/>
            <w:hideMark/>
          </w:tcPr>
          <w:p w14:paraId="78DB3C0B"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CASP</w:t>
            </w:r>
          </w:p>
        </w:tc>
        <w:tc>
          <w:tcPr>
            <w:tcW w:w="6800" w:type="dxa"/>
            <w:vAlign w:val="center"/>
            <w:hideMark/>
          </w:tcPr>
          <w:p w14:paraId="0D9B6F81"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Critical Appraisal Skills Programme</w:t>
            </w:r>
          </w:p>
        </w:tc>
      </w:tr>
      <w:tr w:rsidR="00FE2157" w:rsidRPr="00FE2157" w14:paraId="03BD1655" w14:textId="77777777" w:rsidTr="00FA0192">
        <w:trPr>
          <w:trHeight w:val="300"/>
        </w:trPr>
        <w:tc>
          <w:tcPr>
            <w:tcW w:w="1600" w:type="dxa"/>
            <w:vAlign w:val="center"/>
            <w:hideMark/>
          </w:tcPr>
          <w:p w14:paraId="7959D9B8"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CI</w:t>
            </w:r>
          </w:p>
        </w:tc>
        <w:tc>
          <w:tcPr>
            <w:tcW w:w="6800" w:type="dxa"/>
            <w:vAlign w:val="center"/>
            <w:hideMark/>
          </w:tcPr>
          <w:p w14:paraId="07027131"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Confidence interval</w:t>
            </w:r>
          </w:p>
        </w:tc>
      </w:tr>
      <w:tr w:rsidR="00FE2157" w:rsidRPr="00FE2157" w14:paraId="249B07B8" w14:textId="77777777" w:rsidTr="00FA0192">
        <w:trPr>
          <w:trHeight w:val="300"/>
        </w:trPr>
        <w:tc>
          <w:tcPr>
            <w:tcW w:w="1600" w:type="dxa"/>
            <w:vAlign w:val="center"/>
            <w:hideMark/>
          </w:tcPr>
          <w:p w14:paraId="080E70D5"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DEFRA</w:t>
            </w:r>
          </w:p>
        </w:tc>
        <w:tc>
          <w:tcPr>
            <w:tcW w:w="6800" w:type="dxa"/>
            <w:vAlign w:val="center"/>
            <w:hideMark/>
          </w:tcPr>
          <w:p w14:paraId="2D0B4677"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Department for Environment, Food and Rural Affairs</w:t>
            </w:r>
          </w:p>
        </w:tc>
      </w:tr>
      <w:tr w:rsidR="00FE2157" w:rsidRPr="00FE2157" w14:paraId="5DCB9329" w14:textId="77777777" w:rsidTr="00FA0192">
        <w:trPr>
          <w:trHeight w:val="300"/>
        </w:trPr>
        <w:tc>
          <w:tcPr>
            <w:tcW w:w="1600" w:type="dxa"/>
            <w:vAlign w:val="center"/>
            <w:hideMark/>
          </w:tcPr>
          <w:p w14:paraId="6A83D211"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DNA</w:t>
            </w:r>
          </w:p>
        </w:tc>
        <w:tc>
          <w:tcPr>
            <w:tcW w:w="6800" w:type="dxa"/>
            <w:vAlign w:val="center"/>
            <w:hideMark/>
          </w:tcPr>
          <w:p w14:paraId="5E1EC72B"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Deoxyribonucleic acid</w:t>
            </w:r>
          </w:p>
        </w:tc>
      </w:tr>
      <w:tr w:rsidR="00FE2157" w:rsidRPr="00FE2157" w14:paraId="32D792FC" w14:textId="77777777" w:rsidTr="00FA0192">
        <w:trPr>
          <w:trHeight w:val="300"/>
        </w:trPr>
        <w:tc>
          <w:tcPr>
            <w:tcW w:w="1600" w:type="dxa"/>
            <w:vAlign w:val="center"/>
            <w:hideMark/>
          </w:tcPr>
          <w:p w14:paraId="65D9843A"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DWO</w:t>
            </w:r>
          </w:p>
        </w:tc>
        <w:tc>
          <w:tcPr>
            <w:tcW w:w="6800" w:type="dxa"/>
            <w:vAlign w:val="center"/>
            <w:hideMark/>
          </w:tcPr>
          <w:p w14:paraId="64B29A55"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Dry weather overflow</w:t>
            </w:r>
          </w:p>
        </w:tc>
      </w:tr>
      <w:tr w:rsidR="00FE2157" w:rsidRPr="00FE2157" w14:paraId="4AB192F9" w14:textId="77777777" w:rsidTr="00FA0192">
        <w:trPr>
          <w:trHeight w:val="300"/>
        </w:trPr>
        <w:tc>
          <w:tcPr>
            <w:tcW w:w="1600" w:type="dxa"/>
            <w:vAlign w:val="center"/>
            <w:hideMark/>
          </w:tcPr>
          <w:p w14:paraId="132E9ACD"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EC</w:t>
            </w:r>
          </w:p>
        </w:tc>
        <w:tc>
          <w:tcPr>
            <w:tcW w:w="6800" w:type="dxa"/>
            <w:vAlign w:val="center"/>
            <w:hideMark/>
          </w:tcPr>
          <w:p w14:paraId="7DF5685C"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European Commission</w:t>
            </w:r>
          </w:p>
        </w:tc>
      </w:tr>
      <w:tr w:rsidR="00FE2157" w:rsidRPr="00FE2157" w14:paraId="35EE2144" w14:textId="77777777" w:rsidTr="00FA0192">
        <w:trPr>
          <w:trHeight w:val="300"/>
        </w:trPr>
        <w:tc>
          <w:tcPr>
            <w:tcW w:w="1600" w:type="dxa"/>
            <w:vAlign w:val="center"/>
            <w:hideMark/>
          </w:tcPr>
          <w:p w14:paraId="1960368C"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EPHC</w:t>
            </w:r>
          </w:p>
        </w:tc>
        <w:tc>
          <w:tcPr>
            <w:tcW w:w="6800" w:type="dxa"/>
            <w:vAlign w:val="center"/>
            <w:hideMark/>
          </w:tcPr>
          <w:p w14:paraId="1B195567"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Environment Protection and Heritage Council</w:t>
            </w:r>
          </w:p>
        </w:tc>
      </w:tr>
      <w:tr w:rsidR="00FE2157" w:rsidRPr="00FE2157" w14:paraId="5578068E" w14:textId="77777777" w:rsidTr="00FA0192">
        <w:trPr>
          <w:trHeight w:val="300"/>
        </w:trPr>
        <w:tc>
          <w:tcPr>
            <w:tcW w:w="1600" w:type="dxa"/>
            <w:vAlign w:val="center"/>
            <w:hideMark/>
          </w:tcPr>
          <w:p w14:paraId="0B7F072C"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EPA</w:t>
            </w:r>
          </w:p>
        </w:tc>
        <w:tc>
          <w:tcPr>
            <w:tcW w:w="6800" w:type="dxa"/>
            <w:vAlign w:val="center"/>
            <w:hideMark/>
          </w:tcPr>
          <w:p w14:paraId="2342D1D1"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Environmental Protection Agency</w:t>
            </w:r>
          </w:p>
        </w:tc>
      </w:tr>
      <w:tr w:rsidR="00FE2157" w:rsidRPr="00FE2157" w14:paraId="4CFAB64E" w14:textId="77777777" w:rsidTr="00FA0192">
        <w:trPr>
          <w:trHeight w:val="300"/>
        </w:trPr>
        <w:tc>
          <w:tcPr>
            <w:tcW w:w="1600" w:type="dxa"/>
            <w:vAlign w:val="center"/>
            <w:hideMark/>
          </w:tcPr>
          <w:p w14:paraId="78A0684C"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EU</w:t>
            </w:r>
          </w:p>
        </w:tc>
        <w:tc>
          <w:tcPr>
            <w:tcW w:w="6800" w:type="dxa"/>
            <w:vAlign w:val="center"/>
            <w:hideMark/>
          </w:tcPr>
          <w:p w14:paraId="3CCE2F55"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European Union</w:t>
            </w:r>
          </w:p>
        </w:tc>
      </w:tr>
      <w:tr w:rsidR="00FE2157" w:rsidRPr="00FE2157" w14:paraId="5866EE42" w14:textId="77777777" w:rsidTr="00FA0192">
        <w:trPr>
          <w:trHeight w:val="300"/>
        </w:trPr>
        <w:tc>
          <w:tcPr>
            <w:tcW w:w="1600" w:type="dxa"/>
            <w:vAlign w:val="center"/>
            <w:hideMark/>
          </w:tcPr>
          <w:p w14:paraId="4930B3CA"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FIB</w:t>
            </w:r>
          </w:p>
        </w:tc>
        <w:tc>
          <w:tcPr>
            <w:tcW w:w="6800" w:type="dxa"/>
            <w:vAlign w:val="center"/>
            <w:hideMark/>
          </w:tcPr>
          <w:p w14:paraId="6C6E23F9"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 xml:space="preserve">Faecal indicator bacteria such as </w:t>
            </w:r>
            <w:r w:rsidRPr="00FE2157">
              <w:rPr>
                <w:rFonts w:cs="Arial"/>
                <w:i/>
                <w:iCs/>
                <w:noProof w:val="0"/>
                <w:color w:val="000000"/>
                <w:szCs w:val="20"/>
              </w:rPr>
              <w:t>E. coli</w:t>
            </w:r>
            <w:r w:rsidRPr="00FE2157">
              <w:rPr>
                <w:rFonts w:cs="Arial"/>
                <w:noProof w:val="0"/>
                <w:color w:val="000000"/>
                <w:szCs w:val="20"/>
              </w:rPr>
              <w:t xml:space="preserve"> or enterococci</w:t>
            </w:r>
          </w:p>
        </w:tc>
      </w:tr>
      <w:tr w:rsidR="00FE2157" w:rsidRPr="00FE2157" w14:paraId="6C693550" w14:textId="77777777" w:rsidTr="00FA0192">
        <w:trPr>
          <w:trHeight w:val="300"/>
        </w:trPr>
        <w:tc>
          <w:tcPr>
            <w:tcW w:w="1600" w:type="dxa"/>
            <w:vAlign w:val="center"/>
            <w:hideMark/>
          </w:tcPr>
          <w:p w14:paraId="7FCF3BE7"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GI</w:t>
            </w:r>
          </w:p>
        </w:tc>
        <w:tc>
          <w:tcPr>
            <w:tcW w:w="6800" w:type="dxa"/>
            <w:vAlign w:val="center"/>
            <w:hideMark/>
          </w:tcPr>
          <w:p w14:paraId="4C3A1CA1"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Gastrointestinal illness</w:t>
            </w:r>
          </w:p>
        </w:tc>
      </w:tr>
      <w:tr w:rsidR="00FE2157" w:rsidRPr="00FE2157" w14:paraId="350D0389" w14:textId="77777777" w:rsidTr="00FA0192">
        <w:trPr>
          <w:trHeight w:val="300"/>
        </w:trPr>
        <w:tc>
          <w:tcPr>
            <w:tcW w:w="1600" w:type="dxa"/>
            <w:vAlign w:val="center"/>
            <w:hideMark/>
          </w:tcPr>
          <w:p w14:paraId="1B2F1C53"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GRADE</w:t>
            </w:r>
          </w:p>
        </w:tc>
        <w:tc>
          <w:tcPr>
            <w:tcW w:w="6800" w:type="dxa"/>
            <w:vAlign w:val="center"/>
            <w:hideMark/>
          </w:tcPr>
          <w:p w14:paraId="795E631B"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Grading of Recommendations Assessment, Development and Evaluation</w:t>
            </w:r>
          </w:p>
        </w:tc>
      </w:tr>
      <w:tr w:rsidR="00FE2157" w:rsidRPr="00FE2157" w14:paraId="1CE4A7DD" w14:textId="77777777" w:rsidTr="00FA0192">
        <w:trPr>
          <w:trHeight w:val="300"/>
        </w:trPr>
        <w:tc>
          <w:tcPr>
            <w:tcW w:w="1600" w:type="dxa"/>
            <w:vAlign w:val="center"/>
            <w:hideMark/>
          </w:tcPr>
          <w:p w14:paraId="4F4D7B01"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HAdV</w:t>
            </w:r>
          </w:p>
        </w:tc>
        <w:tc>
          <w:tcPr>
            <w:tcW w:w="6800" w:type="dxa"/>
            <w:vAlign w:val="center"/>
            <w:hideMark/>
          </w:tcPr>
          <w:p w14:paraId="6A74C634"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Human Adenovirus</w:t>
            </w:r>
          </w:p>
        </w:tc>
      </w:tr>
      <w:tr w:rsidR="00FE2157" w:rsidRPr="00FE2157" w14:paraId="4F778A6F" w14:textId="77777777" w:rsidTr="00FA0192">
        <w:trPr>
          <w:trHeight w:val="300"/>
        </w:trPr>
        <w:tc>
          <w:tcPr>
            <w:tcW w:w="1600" w:type="dxa"/>
            <w:vAlign w:val="center"/>
            <w:hideMark/>
          </w:tcPr>
          <w:p w14:paraId="0B087D24"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HTS</w:t>
            </w:r>
          </w:p>
        </w:tc>
        <w:tc>
          <w:tcPr>
            <w:tcW w:w="6800" w:type="dxa"/>
            <w:vAlign w:val="center"/>
            <w:hideMark/>
          </w:tcPr>
          <w:p w14:paraId="5FB575DD"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High-throughput sequencing</w:t>
            </w:r>
          </w:p>
        </w:tc>
      </w:tr>
      <w:tr w:rsidR="00FE2157" w:rsidRPr="00FE2157" w14:paraId="095FF811" w14:textId="77777777" w:rsidTr="00FA0192">
        <w:trPr>
          <w:trHeight w:val="300"/>
        </w:trPr>
        <w:tc>
          <w:tcPr>
            <w:tcW w:w="1600" w:type="dxa"/>
            <w:vAlign w:val="center"/>
            <w:hideMark/>
          </w:tcPr>
          <w:p w14:paraId="3806946C"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ISO</w:t>
            </w:r>
          </w:p>
        </w:tc>
        <w:tc>
          <w:tcPr>
            <w:tcW w:w="6800" w:type="dxa"/>
            <w:vAlign w:val="center"/>
            <w:hideMark/>
          </w:tcPr>
          <w:p w14:paraId="6F78D3BD"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International Organization for Standardization</w:t>
            </w:r>
          </w:p>
        </w:tc>
      </w:tr>
      <w:tr w:rsidR="00FE2157" w:rsidRPr="00FE2157" w14:paraId="6C87A9F0" w14:textId="77777777" w:rsidTr="00FA0192">
        <w:trPr>
          <w:trHeight w:val="300"/>
        </w:trPr>
        <w:tc>
          <w:tcPr>
            <w:tcW w:w="1600" w:type="dxa"/>
            <w:vAlign w:val="center"/>
            <w:hideMark/>
          </w:tcPr>
          <w:p w14:paraId="41BC6823" w14:textId="77777777" w:rsidR="00FE2157" w:rsidRPr="00FE2157" w:rsidRDefault="00FE2157" w:rsidP="00FE2157">
            <w:pPr>
              <w:spacing w:before="0" w:after="0" w:line="240" w:lineRule="auto"/>
              <w:rPr>
                <w:rFonts w:cs="Arial"/>
                <w:noProof w:val="0"/>
                <w:color w:val="000000"/>
                <w:szCs w:val="20"/>
              </w:rPr>
            </w:pPr>
            <w:bookmarkStart w:id="3" w:name="RANGE!H24"/>
            <w:r w:rsidRPr="00FE2157">
              <w:rPr>
                <w:rFonts w:cs="Arial"/>
                <w:noProof w:val="0"/>
                <w:color w:val="000000"/>
                <w:szCs w:val="20"/>
              </w:rPr>
              <w:t>LLOQ</w:t>
            </w:r>
            <w:bookmarkEnd w:id="3"/>
          </w:p>
        </w:tc>
        <w:tc>
          <w:tcPr>
            <w:tcW w:w="6800" w:type="dxa"/>
            <w:vAlign w:val="center"/>
            <w:hideMark/>
          </w:tcPr>
          <w:p w14:paraId="73F3D6E3"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lower limit of quantification</w:t>
            </w:r>
          </w:p>
        </w:tc>
      </w:tr>
      <w:tr w:rsidR="00FE2157" w:rsidRPr="00FE2157" w14:paraId="29C487CA" w14:textId="77777777" w:rsidTr="00FA0192">
        <w:trPr>
          <w:trHeight w:val="300"/>
        </w:trPr>
        <w:tc>
          <w:tcPr>
            <w:tcW w:w="1600" w:type="dxa"/>
            <w:vAlign w:val="center"/>
            <w:hideMark/>
          </w:tcPr>
          <w:p w14:paraId="2B8F568C"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MAC</w:t>
            </w:r>
          </w:p>
        </w:tc>
        <w:tc>
          <w:tcPr>
            <w:tcW w:w="6800" w:type="dxa"/>
            <w:vAlign w:val="center"/>
            <w:hideMark/>
          </w:tcPr>
          <w:p w14:paraId="34F8042A"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Microbial water assessment categories</w:t>
            </w:r>
          </w:p>
        </w:tc>
      </w:tr>
      <w:tr w:rsidR="00FE2157" w:rsidRPr="00FE2157" w14:paraId="205E6267" w14:textId="77777777" w:rsidTr="00FA0192">
        <w:trPr>
          <w:trHeight w:val="300"/>
        </w:trPr>
        <w:tc>
          <w:tcPr>
            <w:tcW w:w="1600" w:type="dxa"/>
            <w:vAlign w:val="center"/>
            <w:hideMark/>
          </w:tcPr>
          <w:p w14:paraId="739A23A0"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MST</w:t>
            </w:r>
          </w:p>
        </w:tc>
        <w:tc>
          <w:tcPr>
            <w:tcW w:w="6800" w:type="dxa"/>
            <w:vAlign w:val="center"/>
            <w:hideMark/>
          </w:tcPr>
          <w:p w14:paraId="7B55A9C2"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Microbial source tracking</w:t>
            </w:r>
          </w:p>
        </w:tc>
      </w:tr>
      <w:tr w:rsidR="00FE2157" w:rsidRPr="00FE2157" w14:paraId="578CF24D" w14:textId="77777777" w:rsidTr="00FA0192">
        <w:trPr>
          <w:trHeight w:val="300"/>
        </w:trPr>
        <w:tc>
          <w:tcPr>
            <w:tcW w:w="1600" w:type="dxa"/>
            <w:vAlign w:val="center"/>
            <w:hideMark/>
          </w:tcPr>
          <w:p w14:paraId="5FF1C4AF"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NHMRC</w:t>
            </w:r>
          </w:p>
        </w:tc>
        <w:tc>
          <w:tcPr>
            <w:tcW w:w="6800" w:type="dxa"/>
            <w:vAlign w:val="center"/>
            <w:hideMark/>
          </w:tcPr>
          <w:p w14:paraId="5913616A"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National Health and Medical Research Council</w:t>
            </w:r>
          </w:p>
        </w:tc>
      </w:tr>
      <w:tr w:rsidR="00FE2157" w:rsidRPr="00FE2157" w14:paraId="29112F48" w14:textId="77777777" w:rsidTr="00FA0192">
        <w:trPr>
          <w:trHeight w:val="300"/>
        </w:trPr>
        <w:tc>
          <w:tcPr>
            <w:tcW w:w="1600" w:type="dxa"/>
            <w:vAlign w:val="center"/>
            <w:hideMark/>
          </w:tcPr>
          <w:p w14:paraId="55386929"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NIWA</w:t>
            </w:r>
          </w:p>
        </w:tc>
        <w:tc>
          <w:tcPr>
            <w:tcW w:w="6800" w:type="dxa"/>
            <w:vAlign w:val="center"/>
            <w:hideMark/>
          </w:tcPr>
          <w:p w14:paraId="70272707"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National Institute of Water and Atmospheric Research</w:t>
            </w:r>
          </w:p>
        </w:tc>
      </w:tr>
      <w:tr w:rsidR="00FE2157" w:rsidRPr="00FE2157" w14:paraId="655AF733" w14:textId="77777777" w:rsidTr="00FA0192">
        <w:trPr>
          <w:trHeight w:val="300"/>
        </w:trPr>
        <w:tc>
          <w:tcPr>
            <w:tcW w:w="1600" w:type="dxa"/>
            <w:vAlign w:val="center"/>
            <w:hideMark/>
          </w:tcPr>
          <w:p w14:paraId="134F9AD3"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NoV</w:t>
            </w:r>
          </w:p>
        </w:tc>
        <w:tc>
          <w:tcPr>
            <w:tcW w:w="6800" w:type="dxa"/>
            <w:vAlign w:val="center"/>
            <w:hideMark/>
          </w:tcPr>
          <w:p w14:paraId="6FF356EF"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Norovirus</w:t>
            </w:r>
          </w:p>
        </w:tc>
      </w:tr>
      <w:tr w:rsidR="00FE2157" w:rsidRPr="00FE2157" w14:paraId="00F1C827" w14:textId="77777777" w:rsidTr="00FA0192">
        <w:trPr>
          <w:trHeight w:val="300"/>
        </w:trPr>
        <w:tc>
          <w:tcPr>
            <w:tcW w:w="1600" w:type="dxa"/>
            <w:vAlign w:val="center"/>
            <w:hideMark/>
          </w:tcPr>
          <w:p w14:paraId="6DCA3A6A"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NRMMC</w:t>
            </w:r>
          </w:p>
        </w:tc>
        <w:tc>
          <w:tcPr>
            <w:tcW w:w="6800" w:type="dxa"/>
            <w:vAlign w:val="center"/>
            <w:hideMark/>
          </w:tcPr>
          <w:p w14:paraId="022FDB04"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National Resource Management Ministerial Council</w:t>
            </w:r>
          </w:p>
        </w:tc>
      </w:tr>
      <w:tr w:rsidR="00FE2157" w:rsidRPr="00FE2157" w14:paraId="58A2008B" w14:textId="77777777" w:rsidTr="00FA0192">
        <w:trPr>
          <w:trHeight w:val="300"/>
        </w:trPr>
        <w:tc>
          <w:tcPr>
            <w:tcW w:w="1600" w:type="dxa"/>
            <w:vAlign w:val="center"/>
            <w:hideMark/>
          </w:tcPr>
          <w:p w14:paraId="56982D47"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NSW DPIE</w:t>
            </w:r>
          </w:p>
        </w:tc>
        <w:tc>
          <w:tcPr>
            <w:tcW w:w="6800" w:type="dxa"/>
            <w:vAlign w:val="center"/>
            <w:hideMark/>
          </w:tcPr>
          <w:p w14:paraId="270DD49B"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New South Wales Department of Planning, Industry and Environment</w:t>
            </w:r>
          </w:p>
        </w:tc>
      </w:tr>
      <w:tr w:rsidR="00FE2157" w:rsidRPr="00FE2157" w14:paraId="54A0B478" w14:textId="77777777" w:rsidTr="00FA0192">
        <w:trPr>
          <w:trHeight w:val="300"/>
        </w:trPr>
        <w:tc>
          <w:tcPr>
            <w:tcW w:w="1600" w:type="dxa"/>
            <w:vAlign w:val="center"/>
            <w:hideMark/>
          </w:tcPr>
          <w:p w14:paraId="59FBC437"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OECD</w:t>
            </w:r>
          </w:p>
        </w:tc>
        <w:tc>
          <w:tcPr>
            <w:tcW w:w="6800" w:type="dxa"/>
            <w:vAlign w:val="center"/>
            <w:hideMark/>
          </w:tcPr>
          <w:p w14:paraId="2AA34527"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Organisation for Economic Co-operation and Development</w:t>
            </w:r>
          </w:p>
        </w:tc>
      </w:tr>
      <w:tr w:rsidR="00FE2157" w:rsidRPr="00FE2157" w14:paraId="687BD34D" w14:textId="77777777" w:rsidTr="00FA0192">
        <w:trPr>
          <w:trHeight w:val="300"/>
        </w:trPr>
        <w:tc>
          <w:tcPr>
            <w:tcW w:w="1600" w:type="dxa"/>
            <w:vAlign w:val="center"/>
            <w:hideMark/>
          </w:tcPr>
          <w:p w14:paraId="34384E7D"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OHAT</w:t>
            </w:r>
          </w:p>
        </w:tc>
        <w:tc>
          <w:tcPr>
            <w:tcW w:w="6800" w:type="dxa"/>
            <w:vAlign w:val="center"/>
            <w:hideMark/>
          </w:tcPr>
          <w:p w14:paraId="6F27E4A7"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Office of Health Assessment and Translation</w:t>
            </w:r>
          </w:p>
        </w:tc>
      </w:tr>
      <w:tr w:rsidR="00FE2157" w:rsidRPr="00FE2157" w14:paraId="0CD4E969" w14:textId="77777777" w:rsidTr="00FA0192">
        <w:trPr>
          <w:trHeight w:val="300"/>
        </w:trPr>
        <w:tc>
          <w:tcPr>
            <w:tcW w:w="1600" w:type="dxa"/>
            <w:vAlign w:val="center"/>
            <w:hideMark/>
          </w:tcPr>
          <w:p w14:paraId="71661BE5"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OR</w:t>
            </w:r>
          </w:p>
        </w:tc>
        <w:tc>
          <w:tcPr>
            <w:tcW w:w="6800" w:type="dxa"/>
            <w:vAlign w:val="center"/>
            <w:hideMark/>
          </w:tcPr>
          <w:p w14:paraId="754901BF"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Odds ratio</w:t>
            </w:r>
          </w:p>
        </w:tc>
      </w:tr>
      <w:tr w:rsidR="00FE2157" w:rsidRPr="00FE2157" w14:paraId="62175888" w14:textId="77777777" w:rsidTr="00FA0192">
        <w:trPr>
          <w:trHeight w:val="300"/>
        </w:trPr>
        <w:tc>
          <w:tcPr>
            <w:tcW w:w="1600" w:type="dxa"/>
            <w:vAlign w:val="center"/>
            <w:hideMark/>
          </w:tcPr>
          <w:p w14:paraId="5F0B1FB5"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PCR/qPCR</w:t>
            </w:r>
          </w:p>
        </w:tc>
        <w:tc>
          <w:tcPr>
            <w:tcW w:w="6800" w:type="dxa"/>
            <w:vAlign w:val="center"/>
            <w:hideMark/>
          </w:tcPr>
          <w:p w14:paraId="48CC564B"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Polymerase Chain Reaction / Quantitative polymerase chain reaction</w:t>
            </w:r>
          </w:p>
        </w:tc>
      </w:tr>
      <w:tr w:rsidR="00FE2157" w:rsidRPr="00FE2157" w14:paraId="3BF37E5C" w14:textId="77777777" w:rsidTr="00FA0192">
        <w:trPr>
          <w:trHeight w:val="300"/>
        </w:trPr>
        <w:tc>
          <w:tcPr>
            <w:tcW w:w="1600" w:type="dxa"/>
            <w:vAlign w:val="center"/>
            <w:hideMark/>
          </w:tcPr>
          <w:p w14:paraId="34AC38B7"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p</w:t>
            </w:r>
            <w:r w:rsidRPr="00FA0192">
              <w:rPr>
                <w:rFonts w:cs="Arial"/>
                <w:noProof w:val="0"/>
                <w:color w:val="000000"/>
                <w:szCs w:val="20"/>
                <w:vertAlign w:val="subscript"/>
              </w:rPr>
              <w:t>(ill)</w:t>
            </w:r>
          </w:p>
        </w:tc>
        <w:tc>
          <w:tcPr>
            <w:tcW w:w="6800" w:type="dxa"/>
            <w:vAlign w:val="center"/>
            <w:hideMark/>
          </w:tcPr>
          <w:p w14:paraId="4E08A01E"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Probability of illness (a metric commonly used in QMRA)</w:t>
            </w:r>
          </w:p>
        </w:tc>
      </w:tr>
      <w:tr w:rsidR="00FE2157" w:rsidRPr="00FE2157" w14:paraId="0F64BE81" w14:textId="77777777" w:rsidTr="00FA0192">
        <w:trPr>
          <w:trHeight w:val="300"/>
        </w:trPr>
        <w:tc>
          <w:tcPr>
            <w:tcW w:w="1600" w:type="dxa"/>
            <w:vAlign w:val="center"/>
            <w:hideMark/>
          </w:tcPr>
          <w:p w14:paraId="074352A3"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PLOQ</w:t>
            </w:r>
          </w:p>
        </w:tc>
        <w:tc>
          <w:tcPr>
            <w:tcW w:w="6800" w:type="dxa"/>
            <w:vAlign w:val="center"/>
            <w:hideMark/>
          </w:tcPr>
          <w:p w14:paraId="3CC5E812"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Process limit of quantification</w:t>
            </w:r>
          </w:p>
        </w:tc>
      </w:tr>
      <w:tr w:rsidR="00FE2157" w:rsidRPr="00FE2157" w14:paraId="3DF8AE4A" w14:textId="77777777" w:rsidTr="00FA0192">
        <w:trPr>
          <w:trHeight w:val="300"/>
        </w:trPr>
        <w:tc>
          <w:tcPr>
            <w:tcW w:w="1600" w:type="dxa"/>
            <w:vAlign w:val="center"/>
            <w:hideMark/>
          </w:tcPr>
          <w:p w14:paraId="26ED04AD"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PrCR</w:t>
            </w:r>
          </w:p>
        </w:tc>
        <w:tc>
          <w:tcPr>
            <w:tcW w:w="6800" w:type="dxa"/>
            <w:vAlign w:val="center"/>
            <w:hideMark/>
          </w:tcPr>
          <w:p w14:paraId="6DD921F5"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Primary contact recreation</w:t>
            </w:r>
          </w:p>
        </w:tc>
      </w:tr>
      <w:tr w:rsidR="00FE2157" w:rsidRPr="00FE2157" w14:paraId="57F4689E" w14:textId="77777777" w:rsidTr="00FA0192">
        <w:trPr>
          <w:trHeight w:val="300"/>
        </w:trPr>
        <w:tc>
          <w:tcPr>
            <w:tcW w:w="1600" w:type="dxa"/>
            <w:vAlign w:val="center"/>
            <w:hideMark/>
          </w:tcPr>
          <w:p w14:paraId="08431125"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PRISMA</w:t>
            </w:r>
          </w:p>
        </w:tc>
        <w:tc>
          <w:tcPr>
            <w:tcW w:w="6800" w:type="dxa"/>
            <w:vAlign w:val="center"/>
            <w:hideMark/>
          </w:tcPr>
          <w:p w14:paraId="0FF57E21"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Preferred Reporting Items for Systematic Reviews and Meta-Analyses</w:t>
            </w:r>
          </w:p>
        </w:tc>
      </w:tr>
      <w:tr w:rsidR="00FE2157" w:rsidRPr="00FE2157" w14:paraId="2BA96539" w14:textId="77777777" w:rsidTr="00FA0192">
        <w:trPr>
          <w:trHeight w:val="300"/>
        </w:trPr>
        <w:tc>
          <w:tcPr>
            <w:tcW w:w="1600" w:type="dxa"/>
            <w:vAlign w:val="center"/>
            <w:hideMark/>
          </w:tcPr>
          <w:p w14:paraId="565E4AD1"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QMRA</w:t>
            </w:r>
          </w:p>
        </w:tc>
        <w:tc>
          <w:tcPr>
            <w:tcW w:w="6800" w:type="dxa"/>
            <w:vAlign w:val="center"/>
            <w:hideMark/>
          </w:tcPr>
          <w:p w14:paraId="7A691075"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Quantitative microbial risk assessment</w:t>
            </w:r>
          </w:p>
        </w:tc>
      </w:tr>
      <w:tr w:rsidR="00FE2157" w:rsidRPr="00FE2157" w14:paraId="1A4D84C8" w14:textId="77777777" w:rsidTr="00FA0192">
        <w:trPr>
          <w:trHeight w:val="300"/>
        </w:trPr>
        <w:tc>
          <w:tcPr>
            <w:tcW w:w="1600" w:type="dxa"/>
            <w:vAlign w:val="center"/>
            <w:hideMark/>
          </w:tcPr>
          <w:p w14:paraId="1C9CF3FB"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RBT</w:t>
            </w:r>
          </w:p>
        </w:tc>
        <w:tc>
          <w:tcPr>
            <w:tcW w:w="6800" w:type="dxa"/>
            <w:vAlign w:val="center"/>
            <w:hideMark/>
          </w:tcPr>
          <w:p w14:paraId="4C48A778"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Risk-based threshold</w:t>
            </w:r>
          </w:p>
        </w:tc>
      </w:tr>
      <w:tr w:rsidR="00FE2157" w:rsidRPr="00FE2157" w14:paraId="34CEA188" w14:textId="77777777" w:rsidTr="00FA0192">
        <w:trPr>
          <w:trHeight w:val="300"/>
        </w:trPr>
        <w:tc>
          <w:tcPr>
            <w:tcW w:w="1600" w:type="dxa"/>
            <w:vAlign w:val="center"/>
            <w:hideMark/>
          </w:tcPr>
          <w:p w14:paraId="2AEBAC7F"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RI</w:t>
            </w:r>
          </w:p>
        </w:tc>
        <w:tc>
          <w:tcPr>
            <w:tcW w:w="6800" w:type="dxa"/>
            <w:vAlign w:val="center"/>
            <w:hideMark/>
          </w:tcPr>
          <w:p w14:paraId="2E4554B0"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Respiratory illness</w:t>
            </w:r>
          </w:p>
        </w:tc>
      </w:tr>
      <w:tr w:rsidR="00FE2157" w:rsidRPr="00FE2157" w14:paraId="461D4C0B" w14:textId="77777777" w:rsidTr="00FA0192">
        <w:trPr>
          <w:trHeight w:val="300"/>
        </w:trPr>
        <w:tc>
          <w:tcPr>
            <w:tcW w:w="1600" w:type="dxa"/>
            <w:vAlign w:val="center"/>
            <w:hideMark/>
          </w:tcPr>
          <w:p w14:paraId="76179DB8"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RNA</w:t>
            </w:r>
          </w:p>
        </w:tc>
        <w:tc>
          <w:tcPr>
            <w:tcW w:w="6800" w:type="dxa"/>
            <w:vAlign w:val="center"/>
            <w:hideMark/>
          </w:tcPr>
          <w:p w14:paraId="030A8858"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Ribonucleic acid</w:t>
            </w:r>
          </w:p>
        </w:tc>
      </w:tr>
      <w:tr w:rsidR="00FE2157" w:rsidRPr="00FE2157" w14:paraId="3C7BBEBF" w14:textId="77777777" w:rsidTr="00FA0192">
        <w:trPr>
          <w:trHeight w:val="300"/>
        </w:trPr>
        <w:tc>
          <w:tcPr>
            <w:tcW w:w="1600" w:type="dxa"/>
            <w:vAlign w:val="center"/>
            <w:hideMark/>
          </w:tcPr>
          <w:p w14:paraId="6CFB250D"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RSD</w:t>
            </w:r>
          </w:p>
        </w:tc>
        <w:tc>
          <w:tcPr>
            <w:tcW w:w="6800" w:type="dxa"/>
            <w:vAlign w:val="center"/>
            <w:hideMark/>
          </w:tcPr>
          <w:p w14:paraId="79C95982"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Relative standard deviations</w:t>
            </w:r>
          </w:p>
        </w:tc>
      </w:tr>
      <w:tr w:rsidR="00FE2157" w:rsidRPr="00FE2157" w14:paraId="1604B7F0" w14:textId="77777777" w:rsidTr="00FA0192">
        <w:trPr>
          <w:trHeight w:val="300"/>
        </w:trPr>
        <w:tc>
          <w:tcPr>
            <w:tcW w:w="1600" w:type="dxa"/>
            <w:vAlign w:val="center"/>
            <w:hideMark/>
          </w:tcPr>
          <w:p w14:paraId="72517C3A"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RWQAC</w:t>
            </w:r>
          </w:p>
        </w:tc>
        <w:tc>
          <w:tcPr>
            <w:tcW w:w="6800" w:type="dxa"/>
            <w:vAlign w:val="center"/>
            <w:hideMark/>
          </w:tcPr>
          <w:p w14:paraId="3B17AAEA"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Recreational Water Quality Advisory Committee (the Committee)</w:t>
            </w:r>
          </w:p>
        </w:tc>
      </w:tr>
      <w:tr w:rsidR="00FE2157" w:rsidRPr="00FE2157" w14:paraId="764781D8" w14:textId="77777777" w:rsidTr="00FA0192">
        <w:trPr>
          <w:trHeight w:val="300"/>
        </w:trPr>
        <w:tc>
          <w:tcPr>
            <w:tcW w:w="1600" w:type="dxa"/>
            <w:vAlign w:val="center"/>
            <w:hideMark/>
          </w:tcPr>
          <w:p w14:paraId="4E113F5D"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RWQC</w:t>
            </w:r>
          </w:p>
        </w:tc>
        <w:tc>
          <w:tcPr>
            <w:tcW w:w="6800" w:type="dxa"/>
            <w:vAlign w:val="center"/>
            <w:hideMark/>
          </w:tcPr>
          <w:p w14:paraId="06B8B013"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Recreational Water Quality Criteria</w:t>
            </w:r>
          </w:p>
        </w:tc>
      </w:tr>
      <w:tr w:rsidR="00FE2157" w:rsidRPr="00FE2157" w14:paraId="7F77302A" w14:textId="77777777" w:rsidTr="00FA0192">
        <w:trPr>
          <w:trHeight w:val="300"/>
        </w:trPr>
        <w:tc>
          <w:tcPr>
            <w:tcW w:w="1600" w:type="dxa"/>
            <w:vAlign w:val="center"/>
            <w:hideMark/>
          </w:tcPr>
          <w:p w14:paraId="304D3D78"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SeCR</w:t>
            </w:r>
          </w:p>
        </w:tc>
        <w:tc>
          <w:tcPr>
            <w:tcW w:w="6800" w:type="dxa"/>
            <w:vAlign w:val="center"/>
            <w:hideMark/>
          </w:tcPr>
          <w:p w14:paraId="1E3C0421"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Secondary contact recreation</w:t>
            </w:r>
          </w:p>
        </w:tc>
      </w:tr>
      <w:tr w:rsidR="00FE2157" w:rsidRPr="00FE2157" w14:paraId="57D0803B" w14:textId="77777777" w:rsidTr="00FA0192">
        <w:trPr>
          <w:trHeight w:val="300"/>
        </w:trPr>
        <w:tc>
          <w:tcPr>
            <w:tcW w:w="1600" w:type="dxa"/>
            <w:vAlign w:val="center"/>
            <w:hideMark/>
          </w:tcPr>
          <w:p w14:paraId="1A7FB4B8"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SourceTracker</w:t>
            </w:r>
          </w:p>
        </w:tc>
        <w:tc>
          <w:tcPr>
            <w:tcW w:w="6800" w:type="dxa"/>
            <w:vAlign w:val="center"/>
            <w:hideMark/>
          </w:tcPr>
          <w:p w14:paraId="3044BB41"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A statistical tool for assessment of faecal contamination of coastal waters</w:t>
            </w:r>
          </w:p>
        </w:tc>
      </w:tr>
      <w:tr w:rsidR="00FE2157" w:rsidRPr="00FE2157" w14:paraId="26287B30" w14:textId="77777777" w:rsidTr="00FA0192">
        <w:trPr>
          <w:trHeight w:val="300"/>
        </w:trPr>
        <w:tc>
          <w:tcPr>
            <w:tcW w:w="1600" w:type="dxa"/>
            <w:vAlign w:val="center"/>
            <w:hideMark/>
          </w:tcPr>
          <w:p w14:paraId="74D44C8B" w14:textId="77777777" w:rsidR="00FE2157" w:rsidRPr="00FE2157" w:rsidRDefault="00FE2157" w:rsidP="00FE2157">
            <w:pPr>
              <w:spacing w:before="0" w:after="0" w:line="240" w:lineRule="auto"/>
              <w:rPr>
                <w:rFonts w:cs="Arial"/>
                <w:noProof w:val="0"/>
                <w:color w:val="000000"/>
                <w:szCs w:val="20"/>
              </w:rPr>
            </w:pPr>
            <w:bookmarkStart w:id="4" w:name="RANGE!H49"/>
            <w:r w:rsidRPr="00FE2157">
              <w:rPr>
                <w:rFonts w:cs="Arial"/>
                <w:noProof w:val="0"/>
                <w:color w:val="000000"/>
                <w:szCs w:val="20"/>
              </w:rPr>
              <w:t>SEPP</w:t>
            </w:r>
            <w:bookmarkEnd w:id="4"/>
          </w:p>
        </w:tc>
        <w:tc>
          <w:tcPr>
            <w:tcW w:w="6800" w:type="dxa"/>
            <w:vAlign w:val="center"/>
            <w:hideMark/>
          </w:tcPr>
          <w:p w14:paraId="0F896D08"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State Environment Protection Policy</w:t>
            </w:r>
          </w:p>
        </w:tc>
      </w:tr>
      <w:tr w:rsidR="00FE2157" w:rsidRPr="00FE2157" w14:paraId="1590BD3D" w14:textId="77777777" w:rsidTr="00FA0192">
        <w:trPr>
          <w:trHeight w:val="300"/>
        </w:trPr>
        <w:tc>
          <w:tcPr>
            <w:tcW w:w="1600" w:type="dxa"/>
            <w:vAlign w:val="center"/>
            <w:hideMark/>
          </w:tcPr>
          <w:p w14:paraId="7A0AAB83"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STP</w:t>
            </w:r>
          </w:p>
        </w:tc>
        <w:tc>
          <w:tcPr>
            <w:tcW w:w="6800" w:type="dxa"/>
            <w:vAlign w:val="center"/>
            <w:hideMark/>
          </w:tcPr>
          <w:p w14:paraId="0662C0F2"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Sewage treatment plant</w:t>
            </w:r>
          </w:p>
        </w:tc>
      </w:tr>
      <w:tr w:rsidR="00FE2157" w:rsidRPr="00FE2157" w14:paraId="29F36072" w14:textId="77777777" w:rsidTr="00FA0192">
        <w:trPr>
          <w:trHeight w:val="300"/>
        </w:trPr>
        <w:tc>
          <w:tcPr>
            <w:tcW w:w="1600" w:type="dxa"/>
            <w:vAlign w:val="center"/>
            <w:hideMark/>
          </w:tcPr>
          <w:p w14:paraId="6CB87EE9"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US EPA</w:t>
            </w:r>
          </w:p>
        </w:tc>
        <w:tc>
          <w:tcPr>
            <w:tcW w:w="6800" w:type="dxa"/>
            <w:vAlign w:val="center"/>
            <w:hideMark/>
          </w:tcPr>
          <w:p w14:paraId="7CE9A1DC"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United States Environmental Protection Agency</w:t>
            </w:r>
          </w:p>
        </w:tc>
      </w:tr>
      <w:tr w:rsidR="00FE2157" w:rsidRPr="00FE2157" w14:paraId="44CF774D" w14:textId="77777777" w:rsidTr="00FA0192">
        <w:trPr>
          <w:trHeight w:val="300"/>
        </w:trPr>
        <w:tc>
          <w:tcPr>
            <w:tcW w:w="1600" w:type="dxa"/>
            <w:vAlign w:val="center"/>
            <w:hideMark/>
          </w:tcPr>
          <w:p w14:paraId="78C7C210"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USGS</w:t>
            </w:r>
          </w:p>
        </w:tc>
        <w:tc>
          <w:tcPr>
            <w:tcW w:w="6800" w:type="dxa"/>
            <w:vAlign w:val="center"/>
            <w:hideMark/>
          </w:tcPr>
          <w:p w14:paraId="226CD90C"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United States Geological Survey</w:t>
            </w:r>
          </w:p>
        </w:tc>
      </w:tr>
      <w:tr w:rsidR="00FE2157" w:rsidRPr="00FE2157" w14:paraId="0A03310E" w14:textId="77777777" w:rsidTr="00FA0192">
        <w:trPr>
          <w:trHeight w:val="300"/>
        </w:trPr>
        <w:tc>
          <w:tcPr>
            <w:tcW w:w="1600" w:type="dxa"/>
            <w:vAlign w:val="center"/>
            <w:hideMark/>
          </w:tcPr>
          <w:p w14:paraId="6620ABEC"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WHO</w:t>
            </w:r>
          </w:p>
        </w:tc>
        <w:tc>
          <w:tcPr>
            <w:tcW w:w="6800" w:type="dxa"/>
            <w:vAlign w:val="center"/>
            <w:hideMark/>
          </w:tcPr>
          <w:p w14:paraId="0E706C9B"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World Health Organization</w:t>
            </w:r>
          </w:p>
        </w:tc>
      </w:tr>
      <w:tr w:rsidR="00FE2157" w:rsidRPr="00FE2157" w14:paraId="1D777832" w14:textId="77777777" w:rsidTr="00FA0192">
        <w:trPr>
          <w:trHeight w:val="300"/>
        </w:trPr>
        <w:tc>
          <w:tcPr>
            <w:tcW w:w="1600" w:type="dxa"/>
            <w:vAlign w:val="center"/>
            <w:hideMark/>
          </w:tcPr>
          <w:p w14:paraId="377DA926"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WWO</w:t>
            </w:r>
          </w:p>
        </w:tc>
        <w:tc>
          <w:tcPr>
            <w:tcW w:w="6800" w:type="dxa"/>
            <w:vAlign w:val="center"/>
            <w:hideMark/>
          </w:tcPr>
          <w:p w14:paraId="6ACEE015" w14:textId="77777777" w:rsidR="00FE2157" w:rsidRPr="00FE2157" w:rsidRDefault="00FE2157" w:rsidP="00FE2157">
            <w:pPr>
              <w:spacing w:before="0" w:after="0" w:line="240" w:lineRule="auto"/>
              <w:rPr>
                <w:rFonts w:cs="Arial"/>
                <w:noProof w:val="0"/>
                <w:color w:val="000000"/>
                <w:szCs w:val="20"/>
              </w:rPr>
            </w:pPr>
            <w:r w:rsidRPr="00FE2157">
              <w:rPr>
                <w:rFonts w:cs="Arial"/>
                <w:noProof w:val="0"/>
                <w:color w:val="000000"/>
                <w:szCs w:val="20"/>
              </w:rPr>
              <w:t>Wet weather overflows</w:t>
            </w:r>
          </w:p>
        </w:tc>
      </w:tr>
    </w:tbl>
    <w:p w14:paraId="1C89768A" w14:textId="07EC7FF4" w:rsidR="003A7979" w:rsidRDefault="003A7979" w:rsidP="00FE2157">
      <w:pPr>
        <w:rPr>
          <w:highlight w:val="yellow"/>
        </w:rPr>
      </w:pPr>
    </w:p>
    <w:p w14:paraId="16F558E2" w14:textId="77777777" w:rsidR="00FE2157" w:rsidRPr="00397A3E" w:rsidRDefault="00FE2157" w:rsidP="00FE2157">
      <w:pPr>
        <w:rPr>
          <w:highlight w:val="yellow"/>
        </w:rPr>
      </w:pPr>
    </w:p>
    <w:p w14:paraId="3491519E" w14:textId="4D4B2195" w:rsidR="00A76AEB" w:rsidRPr="00397A3E" w:rsidRDefault="00171C91" w:rsidP="007D68E5">
      <w:pPr>
        <w:pStyle w:val="Heading1"/>
        <w:rPr>
          <w:noProof w:val="0"/>
        </w:rPr>
      </w:pPr>
      <w:bookmarkStart w:id="5" w:name="_Toc229135728"/>
      <w:bookmarkStart w:id="6" w:name="_Toc106964795"/>
      <w:r w:rsidRPr="00397A3E">
        <w:rPr>
          <w:noProof w:val="0"/>
        </w:rPr>
        <w:t>Introduction</w:t>
      </w:r>
      <w:bookmarkEnd w:id="5"/>
      <w:bookmarkEnd w:id="6"/>
    </w:p>
    <w:p w14:paraId="734949FE" w14:textId="549867F4" w:rsidR="00421764" w:rsidRPr="00397A3E" w:rsidRDefault="00171C91" w:rsidP="00421764">
      <w:pPr>
        <w:rPr>
          <w:noProof w:val="0"/>
        </w:rPr>
      </w:pPr>
      <w:r w:rsidRPr="00397A3E">
        <w:rPr>
          <w:noProof w:val="0"/>
        </w:rPr>
        <w:t>The National Health and Medical Research Council (NHMRC) commissioned Ecos Environmental Consulting P</w:t>
      </w:r>
      <w:r w:rsidR="0018283C" w:rsidRPr="00397A3E">
        <w:rPr>
          <w:noProof w:val="0"/>
        </w:rPr>
        <w:t xml:space="preserve">ty </w:t>
      </w:r>
      <w:r w:rsidRPr="00397A3E">
        <w:rPr>
          <w:noProof w:val="0"/>
        </w:rPr>
        <w:t>L</w:t>
      </w:r>
      <w:r w:rsidR="0018283C" w:rsidRPr="00397A3E">
        <w:rPr>
          <w:noProof w:val="0"/>
        </w:rPr>
        <w:t>td</w:t>
      </w:r>
      <w:r w:rsidRPr="00397A3E">
        <w:rPr>
          <w:noProof w:val="0"/>
        </w:rPr>
        <w:t xml:space="preserve"> </w:t>
      </w:r>
      <w:r w:rsidR="00F97235" w:rsidRPr="00397A3E">
        <w:rPr>
          <w:noProof w:val="0"/>
        </w:rPr>
        <w:t xml:space="preserve">(Ecos) </w:t>
      </w:r>
      <w:r w:rsidRPr="00397A3E">
        <w:rPr>
          <w:noProof w:val="0"/>
        </w:rPr>
        <w:t xml:space="preserve">to conduct </w:t>
      </w:r>
      <w:bookmarkStart w:id="7" w:name="_Hlk42172066"/>
      <w:r w:rsidRPr="00397A3E">
        <w:rPr>
          <w:noProof w:val="0"/>
        </w:rPr>
        <w:t>narrative reviews</w:t>
      </w:r>
      <w:bookmarkEnd w:id="7"/>
      <w:r w:rsidRPr="00397A3E">
        <w:rPr>
          <w:noProof w:val="0"/>
        </w:rPr>
        <w:t xml:space="preserve"> on two of four research topics that will be used to update the </w:t>
      </w:r>
      <w:r w:rsidRPr="00397A3E">
        <w:rPr>
          <w:i/>
          <w:iCs/>
          <w:noProof w:val="0"/>
        </w:rPr>
        <w:t xml:space="preserve">Guidelines for Managing Risks </w:t>
      </w:r>
      <w:r w:rsidR="007C49C8">
        <w:rPr>
          <w:i/>
          <w:iCs/>
          <w:noProof w:val="0"/>
        </w:rPr>
        <w:t>in</w:t>
      </w:r>
      <w:r w:rsidR="007C49C8" w:rsidRPr="00397A3E">
        <w:rPr>
          <w:i/>
          <w:iCs/>
          <w:noProof w:val="0"/>
        </w:rPr>
        <w:t xml:space="preserve"> </w:t>
      </w:r>
      <w:r w:rsidRPr="00397A3E">
        <w:rPr>
          <w:i/>
          <w:iCs/>
          <w:noProof w:val="0"/>
        </w:rPr>
        <w:t xml:space="preserve">Recreational Water </w:t>
      </w:r>
      <w:r w:rsidRPr="00397A3E">
        <w:rPr>
          <w:i/>
          <w:iCs/>
          <w:noProof w:val="0"/>
        </w:rPr>
        <w:fldChar w:fldCharType="begin"/>
      </w:r>
      <w:r w:rsidR="0004776B" w:rsidRPr="00397A3E">
        <w:rPr>
          <w:i/>
          <w:iCs/>
          <w:noProof w:val="0"/>
        </w:rPr>
        <w:instrText xml:space="preserve"> ADDIN ZOTERO_ITEM CSL_CITATION {"citationID":"2CnmxLLr","properties":{"formattedCitation":"(NHMRC,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397A3E">
        <w:rPr>
          <w:i/>
          <w:iCs/>
          <w:noProof w:val="0"/>
        </w:rPr>
        <w:fldChar w:fldCharType="separate"/>
      </w:r>
      <w:r w:rsidRPr="00397A3E">
        <w:rPr>
          <w:rFonts w:cs="Arial"/>
          <w:noProof w:val="0"/>
        </w:rPr>
        <w:t>(NHMRC, 2008)</w:t>
      </w:r>
      <w:r w:rsidRPr="00397A3E">
        <w:rPr>
          <w:i/>
          <w:iCs/>
          <w:noProof w:val="0"/>
        </w:rPr>
        <w:fldChar w:fldCharType="end"/>
      </w:r>
      <w:r w:rsidR="00302C04">
        <w:rPr>
          <w:iCs/>
          <w:noProof w:val="0"/>
        </w:rPr>
        <w:t xml:space="preserve"> (the Guidelines)</w:t>
      </w:r>
      <w:r w:rsidRPr="00397A3E">
        <w:rPr>
          <w:noProof w:val="0"/>
        </w:rPr>
        <w:t>.</w:t>
      </w:r>
    </w:p>
    <w:p w14:paraId="0CB7FC5B" w14:textId="0A6FB280" w:rsidR="00CD4766" w:rsidRPr="00397A3E" w:rsidRDefault="00171C91" w:rsidP="00421764">
      <w:pPr>
        <w:rPr>
          <w:noProof w:val="0"/>
        </w:rPr>
      </w:pPr>
      <w:r w:rsidRPr="00397A3E">
        <w:rPr>
          <w:noProof w:val="0"/>
        </w:rPr>
        <w:t xml:space="preserve">The </w:t>
      </w:r>
      <w:r w:rsidR="00C81D01" w:rsidRPr="00397A3E">
        <w:rPr>
          <w:noProof w:val="0"/>
        </w:rPr>
        <w:t>two</w:t>
      </w:r>
      <w:r w:rsidRPr="00397A3E">
        <w:rPr>
          <w:noProof w:val="0"/>
        </w:rPr>
        <w:t xml:space="preserve"> research topics </w:t>
      </w:r>
      <w:r w:rsidR="008D22C0" w:rsidRPr="00397A3E">
        <w:rPr>
          <w:noProof w:val="0"/>
        </w:rPr>
        <w:t>to be addressed by Ecos are</w:t>
      </w:r>
      <w:r w:rsidRPr="00397A3E">
        <w:rPr>
          <w:noProof w:val="0"/>
        </w:rPr>
        <w:t xml:space="preserve"> Microbial Risks</w:t>
      </w:r>
      <w:r w:rsidR="00C81D01" w:rsidRPr="00397A3E">
        <w:rPr>
          <w:noProof w:val="0"/>
        </w:rPr>
        <w:t xml:space="preserve"> and</w:t>
      </w:r>
      <w:r w:rsidRPr="00397A3E">
        <w:rPr>
          <w:noProof w:val="0"/>
        </w:rPr>
        <w:t xml:space="preserve"> Chemical Hazards</w:t>
      </w:r>
      <w:r w:rsidR="00F3033F" w:rsidRPr="00397A3E">
        <w:rPr>
          <w:noProof w:val="0"/>
        </w:rPr>
        <w:t>.</w:t>
      </w:r>
      <w:r w:rsidR="00C81D01" w:rsidRPr="00397A3E">
        <w:rPr>
          <w:noProof w:val="0"/>
        </w:rPr>
        <w:t xml:space="preserve"> </w:t>
      </w:r>
      <w:r w:rsidR="00F3033F" w:rsidRPr="00397A3E">
        <w:rPr>
          <w:noProof w:val="0"/>
        </w:rPr>
        <w:t>T</w:t>
      </w:r>
      <w:r w:rsidR="00C81D01" w:rsidRPr="00397A3E">
        <w:rPr>
          <w:noProof w:val="0"/>
        </w:rPr>
        <w:t xml:space="preserve">he other two topics </w:t>
      </w:r>
      <w:r w:rsidR="00F3033F" w:rsidRPr="00397A3E">
        <w:rPr>
          <w:noProof w:val="0"/>
        </w:rPr>
        <w:t>(</w:t>
      </w:r>
      <w:r w:rsidRPr="00397A3E">
        <w:rPr>
          <w:noProof w:val="0"/>
        </w:rPr>
        <w:t xml:space="preserve">Cyanobacteria and </w:t>
      </w:r>
      <w:r w:rsidR="00BD18F6" w:rsidRPr="00397A3E">
        <w:rPr>
          <w:noProof w:val="0"/>
        </w:rPr>
        <w:t>A</w:t>
      </w:r>
      <w:r w:rsidRPr="00397A3E">
        <w:rPr>
          <w:noProof w:val="0"/>
        </w:rPr>
        <w:t>lgae and Free-living Organisms</w:t>
      </w:r>
      <w:r w:rsidR="00F3033F" w:rsidRPr="00397A3E">
        <w:rPr>
          <w:noProof w:val="0"/>
        </w:rPr>
        <w:t>)</w:t>
      </w:r>
      <w:r w:rsidRPr="00397A3E">
        <w:rPr>
          <w:noProof w:val="0"/>
        </w:rPr>
        <w:t xml:space="preserve"> will be addressed </w:t>
      </w:r>
      <w:r w:rsidR="00C81D01" w:rsidRPr="00397A3E">
        <w:rPr>
          <w:noProof w:val="0"/>
        </w:rPr>
        <w:t>elsewhere</w:t>
      </w:r>
      <w:r w:rsidRPr="00397A3E">
        <w:rPr>
          <w:noProof w:val="0"/>
        </w:rPr>
        <w:t xml:space="preserve">. </w:t>
      </w:r>
      <w:r w:rsidR="008D22C0" w:rsidRPr="00397A3E">
        <w:rPr>
          <w:noProof w:val="0"/>
        </w:rPr>
        <w:t xml:space="preserve">This document </w:t>
      </w:r>
      <w:r w:rsidR="004C4726" w:rsidRPr="00397A3E">
        <w:rPr>
          <w:noProof w:val="0"/>
        </w:rPr>
        <w:t xml:space="preserve">addresses </w:t>
      </w:r>
      <w:r w:rsidR="00D741DB" w:rsidRPr="00397A3E">
        <w:rPr>
          <w:noProof w:val="0"/>
        </w:rPr>
        <w:t>Microbial Risks</w:t>
      </w:r>
      <w:r w:rsidR="00E436A0" w:rsidRPr="00397A3E">
        <w:rPr>
          <w:noProof w:val="0"/>
        </w:rPr>
        <w:t>.</w:t>
      </w:r>
    </w:p>
    <w:p w14:paraId="0DCE739D" w14:textId="7211E388" w:rsidR="005B747F" w:rsidRPr="00397A3E" w:rsidRDefault="00171C91" w:rsidP="00421764">
      <w:pPr>
        <w:rPr>
          <w:noProof w:val="0"/>
        </w:rPr>
      </w:pPr>
      <w:r w:rsidRPr="00397A3E">
        <w:rPr>
          <w:noProof w:val="0"/>
        </w:rPr>
        <w:t>Microbial risks</w:t>
      </w:r>
      <w:r w:rsidR="00812491" w:rsidRPr="00397A3E">
        <w:rPr>
          <w:noProof w:val="0"/>
        </w:rPr>
        <w:t xml:space="preserve"> in recreational waters may arise from a range of point and non-point (diffuse) sources in the catchment area of the particular recreational water body.  </w:t>
      </w:r>
      <w:r w:rsidR="00595971" w:rsidRPr="00397A3E">
        <w:rPr>
          <w:noProof w:val="0"/>
        </w:rPr>
        <w:t>There may</w:t>
      </w:r>
      <w:r w:rsidRPr="00397A3E">
        <w:rPr>
          <w:noProof w:val="0"/>
        </w:rPr>
        <w:t xml:space="preserve"> also</w:t>
      </w:r>
      <w:r w:rsidR="00812491" w:rsidRPr="00397A3E">
        <w:rPr>
          <w:noProof w:val="0"/>
        </w:rPr>
        <w:t xml:space="preserve"> </w:t>
      </w:r>
      <w:r w:rsidR="00595971" w:rsidRPr="00397A3E">
        <w:rPr>
          <w:noProof w:val="0"/>
        </w:rPr>
        <w:t xml:space="preserve">be site-specific issues that could lead to higher exposures or types of </w:t>
      </w:r>
      <w:r w:rsidRPr="00397A3E">
        <w:rPr>
          <w:noProof w:val="0"/>
        </w:rPr>
        <w:t>microbial pathogens</w:t>
      </w:r>
      <w:r w:rsidR="00595971" w:rsidRPr="00397A3E">
        <w:rPr>
          <w:noProof w:val="0"/>
        </w:rPr>
        <w:t xml:space="preserve"> that may be problematic in recreational water use situations. F</w:t>
      </w:r>
      <w:r w:rsidR="00812491" w:rsidRPr="00397A3E">
        <w:rPr>
          <w:noProof w:val="0"/>
        </w:rPr>
        <w:t xml:space="preserve">or the update to the Australian recreational water guidelines, </w:t>
      </w:r>
      <w:r w:rsidR="001F5F24" w:rsidRPr="00397A3E">
        <w:rPr>
          <w:noProof w:val="0"/>
        </w:rPr>
        <w:t xml:space="preserve">NHMRC considers </w:t>
      </w:r>
      <w:r w:rsidR="00812491" w:rsidRPr="00397A3E">
        <w:rPr>
          <w:noProof w:val="0"/>
        </w:rPr>
        <w:t xml:space="preserve">it important to determine </w:t>
      </w:r>
      <w:r w:rsidR="00BD18F6" w:rsidRPr="00397A3E">
        <w:rPr>
          <w:noProof w:val="0"/>
        </w:rPr>
        <w:t xml:space="preserve">the current status of the evidence for any </w:t>
      </w:r>
      <w:r w:rsidR="00AF7656" w:rsidRPr="00397A3E">
        <w:rPr>
          <w:noProof w:val="0"/>
        </w:rPr>
        <w:t xml:space="preserve">potential </w:t>
      </w:r>
      <w:r w:rsidR="00BD18F6" w:rsidRPr="00397A3E">
        <w:rPr>
          <w:noProof w:val="0"/>
        </w:rPr>
        <w:t xml:space="preserve">human health risks resulting from exposure to </w:t>
      </w:r>
      <w:r w:rsidRPr="00397A3E">
        <w:rPr>
          <w:noProof w:val="0"/>
        </w:rPr>
        <w:t>microbial risks</w:t>
      </w:r>
      <w:r w:rsidR="00BD18F6" w:rsidRPr="00397A3E">
        <w:rPr>
          <w:noProof w:val="0"/>
        </w:rPr>
        <w:t xml:space="preserve"> in recreational water</w:t>
      </w:r>
      <w:r w:rsidR="00273865" w:rsidRPr="00397A3E">
        <w:rPr>
          <w:noProof w:val="0"/>
        </w:rPr>
        <w:t>, including any</w:t>
      </w:r>
      <w:r w:rsidR="00812491" w:rsidRPr="00397A3E">
        <w:rPr>
          <w:noProof w:val="0"/>
        </w:rPr>
        <w:t xml:space="preserve"> site-specific issues</w:t>
      </w:r>
      <w:r w:rsidR="00273865" w:rsidRPr="00397A3E">
        <w:rPr>
          <w:noProof w:val="0"/>
        </w:rPr>
        <w:t>.</w:t>
      </w:r>
      <w:r w:rsidR="00AF7656" w:rsidRPr="00397A3E">
        <w:rPr>
          <w:noProof w:val="0"/>
        </w:rPr>
        <w:t xml:space="preserve"> </w:t>
      </w:r>
      <w:r w:rsidR="0018283C" w:rsidRPr="00397A3E">
        <w:rPr>
          <w:noProof w:val="0"/>
        </w:rPr>
        <w:t>T</w:t>
      </w:r>
      <w:r w:rsidR="00AF7656" w:rsidRPr="00397A3E">
        <w:rPr>
          <w:noProof w:val="0"/>
          <w:szCs w:val="20"/>
        </w:rPr>
        <w:t>he review will provide NHMRC with an independent body of evidence to assure that the revision of the Guidelines is based on the most up-to-date and relevant scientific literature.</w:t>
      </w:r>
    </w:p>
    <w:p w14:paraId="0B1290C5" w14:textId="0F355C38" w:rsidR="00190865" w:rsidRPr="00397A3E" w:rsidRDefault="00171C91" w:rsidP="008F3CEF">
      <w:pPr>
        <w:rPr>
          <w:noProof w:val="0"/>
        </w:rPr>
      </w:pPr>
      <w:r w:rsidRPr="00397A3E">
        <w:rPr>
          <w:noProof w:val="0"/>
        </w:rPr>
        <w:t>Ecos developed a research protocol to guide</w:t>
      </w:r>
      <w:r w:rsidR="006E6849" w:rsidRPr="00397A3E">
        <w:rPr>
          <w:noProof w:val="0"/>
        </w:rPr>
        <w:t xml:space="preserve"> the review of the evidence</w:t>
      </w:r>
      <w:r w:rsidR="00E54E64">
        <w:rPr>
          <w:noProof w:val="0"/>
        </w:rPr>
        <w:t xml:space="preserve"> </w:t>
      </w:r>
      <w:r w:rsidR="00447DCB">
        <w:rPr>
          <w:noProof w:val="0"/>
        </w:rPr>
        <w:fldChar w:fldCharType="begin"/>
      </w:r>
      <w:r w:rsidR="00A643B8">
        <w:rPr>
          <w:noProof w:val="0"/>
        </w:rPr>
        <w:instrText xml:space="preserve"> ADDIN ZOTERO_ITEM CSL_CITATION {"citationID":"HjQwWdBS","properties":{"formattedCitation":"(O\\uc0\\u8217{}Connor, 2020)","plainCitation":"(O’Connor, 2020)","noteIndex":0},"citationItems":[{"id":17792,"uris":["http://zotero.org/users/148142/items/EFHNEC3E"],"uri":["http://zotero.org/users/148142/items/EFHNEC3E"],"itemData":{"id":17792,"type":"report","title":"Research Protocols for Narrative Reviews in support of the NHMRC Recreational Water Quality Guidelines: Microbial Risks. Ecos Environmental Consulting, September 2020","author":[{"family":"O'Connor","given":"N.A."}],"issued":{"date-parts":[["2020"]]}}}],"schema":"https://github.com/citation-style-language/schema/raw/master/csl-citation.json"} </w:instrText>
      </w:r>
      <w:r w:rsidR="00447DCB">
        <w:rPr>
          <w:noProof w:val="0"/>
        </w:rPr>
        <w:fldChar w:fldCharType="separate"/>
      </w:r>
      <w:r w:rsidR="00A643B8" w:rsidRPr="00A643B8">
        <w:rPr>
          <w:rFonts w:cs="Arial"/>
        </w:rPr>
        <w:t>(O’Connor, 2020)</w:t>
      </w:r>
      <w:r w:rsidR="00447DCB">
        <w:rPr>
          <w:noProof w:val="0"/>
        </w:rPr>
        <w:fldChar w:fldCharType="end"/>
      </w:r>
      <w:r w:rsidR="00595971" w:rsidRPr="00397A3E">
        <w:rPr>
          <w:noProof w:val="0"/>
        </w:rPr>
        <w:t>.</w:t>
      </w:r>
      <w:r w:rsidR="008F3CEF" w:rsidRPr="00397A3E">
        <w:rPr>
          <w:noProof w:val="0"/>
        </w:rPr>
        <w:t xml:space="preserve"> </w:t>
      </w:r>
      <w:r w:rsidR="00595971" w:rsidRPr="00397A3E">
        <w:rPr>
          <w:noProof w:val="0"/>
        </w:rPr>
        <w:t xml:space="preserve">The </w:t>
      </w:r>
      <w:r w:rsidR="00AC10FC" w:rsidRPr="00397A3E">
        <w:rPr>
          <w:noProof w:val="0"/>
        </w:rPr>
        <w:t xml:space="preserve">research </w:t>
      </w:r>
      <w:r w:rsidR="00595971" w:rsidRPr="00397A3E">
        <w:rPr>
          <w:noProof w:val="0"/>
        </w:rPr>
        <w:t xml:space="preserve">protocol </w:t>
      </w:r>
      <w:r w:rsidR="006E6849" w:rsidRPr="00397A3E">
        <w:rPr>
          <w:noProof w:val="0"/>
        </w:rPr>
        <w:t>set</w:t>
      </w:r>
      <w:r w:rsidR="00B71975" w:rsidRPr="00397A3E">
        <w:rPr>
          <w:noProof w:val="0"/>
        </w:rPr>
        <w:t>s</w:t>
      </w:r>
      <w:r w:rsidR="006E6849" w:rsidRPr="00397A3E">
        <w:rPr>
          <w:noProof w:val="0"/>
        </w:rPr>
        <w:t xml:space="preserve"> out the methods to be used for the review including the research questions, population groups</w:t>
      </w:r>
      <w:r w:rsidR="008F3CEF" w:rsidRPr="00397A3E">
        <w:rPr>
          <w:noProof w:val="0"/>
        </w:rPr>
        <w:t xml:space="preserve">, </w:t>
      </w:r>
      <w:r w:rsidR="006E6849" w:rsidRPr="00397A3E">
        <w:rPr>
          <w:noProof w:val="0"/>
        </w:rPr>
        <w:t>health outcomes of interest</w:t>
      </w:r>
      <w:r w:rsidR="008F3CEF" w:rsidRPr="00397A3E">
        <w:rPr>
          <w:noProof w:val="0"/>
        </w:rPr>
        <w:t xml:space="preserve">, and a </w:t>
      </w:r>
      <w:r w:rsidR="006E6849" w:rsidRPr="00397A3E">
        <w:rPr>
          <w:noProof w:val="0"/>
        </w:rPr>
        <w:t>structured search and evaluation strategy</w:t>
      </w:r>
      <w:r w:rsidR="008F3CEF" w:rsidRPr="00397A3E">
        <w:rPr>
          <w:noProof w:val="0"/>
        </w:rPr>
        <w:t xml:space="preserve">.  </w:t>
      </w:r>
      <w:r w:rsidR="00856DF4" w:rsidRPr="00397A3E">
        <w:rPr>
          <w:noProof w:val="0"/>
        </w:rPr>
        <w:t xml:space="preserve">This </w:t>
      </w:r>
      <w:r w:rsidR="00E833B8" w:rsidRPr="00397A3E">
        <w:rPr>
          <w:noProof w:val="0"/>
        </w:rPr>
        <w:t>Evidence Evaluation</w:t>
      </w:r>
      <w:r w:rsidR="00856DF4" w:rsidRPr="00397A3E">
        <w:rPr>
          <w:noProof w:val="0"/>
        </w:rPr>
        <w:t xml:space="preserve"> Report</w:t>
      </w:r>
      <w:r w:rsidR="008F3CEF" w:rsidRPr="00397A3E">
        <w:rPr>
          <w:noProof w:val="0"/>
        </w:rPr>
        <w:t xml:space="preserve"> </w:t>
      </w:r>
      <w:r w:rsidR="00444CFB" w:rsidRPr="00397A3E">
        <w:rPr>
          <w:noProof w:val="0"/>
        </w:rPr>
        <w:t>summarises the methodology used to find and select the studies and the findings of the literature search and evaluation process</w:t>
      </w:r>
      <w:r w:rsidR="00595971" w:rsidRPr="00397A3E">
        <w:rPr>
          <w:noProof w:val="0"/>
        </w:rPr>
        <w:t>. It</w:t>
      </w:r>
      <w:r w:rsidR="00444CFB" w:rsidRPr="00397A3E">
        <w:rPr>
          <w:noProof w:val="0"/>
        </w:rPr>
        <w:t xml:space="preserve"> </w:t>
      </w:r>
      <w:r w:rsidR="00872A80" w:rsidRPr="00397A3E">
        <w:rPr>
          <w:noProof w:val="0"/>
        </w:rPr>
        <w:t>synthesises the results of key studies identified in the evaluation process</w:t>
      </w:r>
      <w:r w:rsidRPr="00397A3E">
        <w:rPr>
          <w:noProof w:val="0"/>
        </w:rPr>
        <w:t xml:space="preserve"> into evidence statements and </w:t>
      </w:r>
      <w:r w:rsidR="00872A80" w:rsidRPr="00397A3E">
        <w:rPr>
          <w:noProof w:val="0"/>
        </w:rPr>
        <w:t xml:space="preserve">assesses </w:t>
      </w:r>
      <w:r w:rsidRPr="00397A3E">
        <w:rPr>
          <w:noProof w:val="0"/>
        </w:rPr>
        <w:t>this</w:t>
      </w:r>
      <w:r w:rsidR="00872A80" w:rsidRPr="00397A3E">
        <w:rPr>
          <w:noProof w:val="0"/>
        </w:rPr>
        <w:t xml:space="preserve"> body of evidence</w:t>
      </w:r>
      <w:r w:rsidRPr="00397A3E">
        <w:rPr>
          <w:noProof w:val="0"/>
        </w:rPr>
        <w:t xml:space="preserve"> taking into account its strengths or limitations.  </w:t>
      </w:r>
    </w:p>
    <w:p w14:paraId="5EA8855D" w14:textId="0150AF5C" w:rsidR="004D3543" w:rsidRPr="00397A3E" w:rsidRDefault="00171C91" w:rsidP="008F3CEF">
      <w:pPr>
        <w:rPr>
          <w:noProof w:val="0"/>
        </w:rPr>
      </w:pPr>
      <w:r w:rsidRPr="00397A3E">
        <w:rPr>
          <w:noProof w:val="0"/>
        </w:rPr>
        <w:t xml:space="preserve">A draft of this Evidence Evaluation Report </w:t>
      </w:r>
      <w:r w:rsidR="00273865" w:rsidRPr="00397A3E">
        <w:rPr>
          <w:noProof w:val="0"/>
        </w:rPr>
        <w:t>was</w:t>
      </w:r>
      <w:r w:rsidRPr="00397A3E">
        <w:rPr>
          <w:noProof w:val="0"/>
        </w:rPr>
        <w:t xml:space="preserve"> considered by the </w:t>
      </w:r>
      <w:r w:rsidR="00597945" w:rsidRPr="00397A3E">
        <w:rPr>
          <w:noProof w:val="0"/>
        </w:rPr>
        <w:t xml:space="preserve">Committee </w:t>
      </w:r>
      <w:r w:rsidRPr="00397A3E">
        <w:rPr>
          <w:noProof w:val="0"/>
        </w:rPr>
        <w:t>who provide</w:t>
      </w:r>
      <w:r w:rsidR="00273865" w:rsidRPr="00397A3E">
        <w:rPr>
          <w:noProof w:val="0"/>
        </w:rPr>
        <w:t>d</w:t>
      </w:r>
      <w:r w:rsidRPr="00397A3E">
        <w:rPr>
          <w:noProof w:val="0"/>
        </w:rPr>
        <w:t xml:space="preserve"> advice on its revision.</w:t>
      </w:r>
    </w:p>
    <w:p w14:paraId="04CC854C" w14:textId="77777777" w:rsidR="00096548" w:rsidRPr="00397A3E" w:rsidRDefault="00171C91" w:rsidP="00D95B6A">
      <w:pPr>
        <w:pStyle w:val="Heading2"/>
        <w:rPr>
          <w:noProof w:val="0"/>
        </w:rPr>
      </w:pPr>
      <w:bookmarkStart w:id="8" w:name="_Toc106964796"/>
      <w:r w:rsidRPr="00397A3E">
        <w:rPr>
          <w:noProof w:val="0"/>
        </w:rPr>
        <w:t>Purpose and objectives of review</w:t>
      </w:r>
      <w:bookmarkEnd w:id="8"/>
    </w:p>
    <w:p w14:paraId="35227AAC" w14:textId="1AAE0AFD" w:rsidR="00096548" w:rsidRPr="00397A3E" w:rsidRDefault="00171C91" w:rsidP="00096548">
      <w:pPr>
        <w:rPr>
          <w:noProof w:val="0"/>
        </w:rPr>
      </w:pPr>
      <w:r w:rsidRPr="00397A3E">
        <w:rPr>
          <w:noProof w:val="0"/>
        </w:rPr>
        <w:t xml:space="preserve">The purpose of the </w:t>
      </w:r>
      <w:r w:rsidR="003A70F6" w:rsidRPr="00397A3E">
        <w:rPr>
          <w:noProof w:val="0"/>
        </w:rPr>
        <w:t>microbial risks</w:t>
      </w:r>
      <w:r w:rsidR="00640AAA" w:rsidRPr="00397A3E">
        <w:rPr>
          <w:noProof w:val="0"/>
        </w:rPr>
        <w:t xml:space="preserve"> </w:t>
      </w:r>
      <w:r w:rsidRPr="00397A3E">
        <w:rPr>
          <w:noProof w:val="0"/>
        </w:rPr>
        <w:t>review is to inform the update to</w:t>
      </w:r>
      <w:r w:rsidR="00273865" w:rsidRPr="00397A3E">
        <w:rPr>
          <w:noProof w:val="0"/>
        </w:rPr>
        <w:t xml:space="preserve"> information provided in</w:t>
      </w:r>
      <w:r w:rsidRPr="00397A3E">
        <w:rPr>
          <w:noProof w:val="0"/>
        </w:rPr>
        <w:t xml:space="preserve"> Chapter </w:t>
      </w:r>
      <w:r w:rsidR="00D741DB" w:rsidRPr="00397A3E">
        <w:rPr>
          <w:noProof w:val="0"/>
        </w:rPr>
        <w:t>5</w:t>
      </w:r>
      <w:r w:rsidRPr="00397A3E">
        <w:rPr>
          <w:noProof w:val="0"/>
        </w:rPr>
        <w:t xml:space="preserve"> of the </w:t>
      </w:r>
      <w:r w:rsidR="00C62E7F">
        <w:rPr>
          <w:noProof w:val="0"/>
        </w:rPr>
        <w:t xml:space="preserve">2008 NHMRC </w:t>
      </w:r>
      <w:r w:rsidR="00302C04">
        <w:rPr>
          <w:noProof w:val="0"/>
        </w:rPr>
        <w:t xml:space="preserve">Guidelines </w:t>
      </w:r>
      <w:r w:rsidRPr="00397A3E">
        <w:rPr>
          <w:noProof w:val="0"/>
        </w:rPr>
        <w:fldChar w:fldCharType="begin"/>
      </w:r>
      <w:r w:rsidRPr="00397A3E">
        <w:rPr>
          <w:noProof w:val="0"/>
        </w:rPr>
        <w:instrText xml:space="preserve"> ADDIN ZOTERO_ITEM CSL_CITATION {"citationID":"Ulv80w7s","properties":{"formattedCitation":"(NHMRC,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397A3E">
        <w:rPr>
          <w:noProof w:val="0"/>
        </w:rPr>
        <w:fldChar w:fldCharType="separate"/>
      </w:r>
      <w:r w:rsidRPr="00397A3E">
        <w:rPr>
          <w:rFonts w:cs="Arial"/>
          <w:noProof w:val="0"/>
        </w:rPr>
        <w:t>(NHMRC, 2008)</w:t>
      </w:r>
      <w:r w:rsidRPr="00397A3E">
        <w:rPr>
          <w:noProof w:val="0"/>
        </w:rPr>
        <w:fldChar w:fldCharType="end"/>
      </w:r>
      <w:r w:rsidRPr="00397A3E">
        <w:rPr>
          <w:noProof w:val="0"/>
        </w:rPr>
        <w:t xml:space="preserve"> and any relevant sections throughout the rest of the document with respect to the </w:t>
      </w:r>
      <w:r w:rsidR="003A70F6" w:rsidRPr="00397A3E">
        <w:rPr>
          <w:noProof w:val="0"/>
        </w:rPr>
        <w:t>microbial risks</w:t>
      </w:r>
      <w:r w:rsidRPr="00397A3E">
        <w:rPr>
          <w:noProof w:val="0"/>
        </w:rPr>
        <w:t xml:space="preserve"> associated with the recreational use of water.  </w:t>
      </w:r>
      <w:r w:rsidR="00264C6D" w:rsidRPr="00397A3E">
        <w:rPr>
          <w:noProof w:val="0"/>
        </w:rPr>
        <w:t>T</w:t>
      </w:r>
      <w:r w:rsidRPr="00397A3E">
        <w:rPr>
          <w:noProof w:val="0"/>
        </w:rPr>
        <w:t>h</w:t>
      </w:r>
      <w:r w:rsidR="00A95DD6" w:rsidRPr="00397A3E">
        <w:rPr>
          <w:noProof w:val="0"/>
        </w:rPr>
        <w:t xml:space="preserve">is </w:t>
      </w:r>
      <w:r w:rsidR="00264C6D" w:rsidRPr="00397A3E">
        <w:rPr>
          <w:noProof w:val="0"/>
        </w:rPr>
        <w:t xml:space="preserve">review, undertaken </w:t>
      </w:r>
      <w:r w:rsidR="00681573" w:rsidRPr="00397A3E">
        <w:rPr>
          <w:noProof w:val="0"/>
        </w:rPr>
        <w:t xml:space="preserve">using a </w:t>
      </w:r>
      <w:r w:rsidR="00264C6D" w:rsidRPr="00397A3E">
        <w:rPr>
          <w:noProof w:val="0"/>
        </w:rPr>
        <w:t>systematic</w:t>
      </w:r>
      <w:r w:rsidR="00681573" w:rsidRPr="00397A3E">
        <w:rPr>
          <w:noProof w:val="0"/>
        </w:rPr>
        <w:t xml:space="preserve"> approach</w:t>
      </w:r>
      <w:r w:rsidR="00264C6D" w:rsidRPr="00397A3E">
        <w:rPr>
          <w:noProof w:val="0"/>
        </w:rPr>
        <w:t>, aims to</w:t>
      </w:r>
      <w:r w:rsidRPr="00397A3E">
        <w:rPr>
          <w:noProof w:val="0"/>
        </w:rPr>
        <w:t xml:space="preserve"> provide NHMRC with an independent body of evidence to assure that the revision of the Guidelines is based on the most up-to-date and relevant scientific literature.</w:t>
      </w:r>
    </w:p>
    <w:p w14:paraId="283EB246" w14:textId="02969FAA" w:rsidR="00421764" w:rsidRPr="00397A3E" w:rsidRDefault="00171C91" w:rsidP="006D3FDB">
      <w:pPr>
        <w:pStyle w:val="Heading1"/>
        <w:rPr>
          <w:noProof w:val="0"/>
        </w:rPr>
      </w:pPr>
      <w:bookmarkStart w:id="9" w:name="_Toc106964797"/>
      <w:bookmarkStart w:id="10" w:name="_Ref220898354"/>
      <w:bookmarkStart w:id="11" w:name="_Toc224621104"/>
      <w:bookmarkStart w:id="12" w:name="_Toc229135805"/>
      <w:r w:rsidRPr="00397A3E">
        <w:rPr>
          <w:noProof w:val="0"/>
        </w:rPr>
        <w:t>Methodology</w:t>
      </w:r>
      <w:bookmarkEnd w:id="9"/>
    </w:p>
    <w:p w14:paraId="7BD195EF" w14:textId="6AFC5CCC" w:rsidR="00640AAA" w:rsidRPr="00397A3E" w:rsidRDefault="00171C91" w:rsidP="00D95B6A">
      <w:pPr>
        <w:pStyle w:val="Heading2"/>
        <w:rPr>
          <w:noProof w:val="0"/>
        </w:rPr>
      </w:pPr>
      <w:bookmarkStart w:id="13" w:name="_Toc106964798"/>
      <w:r w:rsidRPr="00397A3E">
        <w:rPr>
          <w:noProof w:val="0"/>
        </w:rPr>
        <w:t xml:space="preserve">Review </w:t>
      </w:r>
      <w:r w:rsidR="00F97FB8" w:rsidRPr="00397A3E">
        <w:rPr>
          <w:noProof w:val="0"/>
        </w:rPr>
        <w:t>P</w:t>
      </w:r>
      <w:r w:rsidRPr="00397A3E">
        <w:rPr>
          <w:noProof w:val="0"/>
        </w:rPr>
        <w:t>eriod</w:t>
      </w:r>
      <w:bookmarkEnd w:id="13"/>
    </w:p>
    <w:p w14:paraId="0BE0090F" w14:textId="21E83BA4" w:rsidR="00640AAA" w:rsidRPr="00397A3E" w:rsidRDefault="00171C91" w:rsidP="00640AAA">
      <w:pPr>
        <w:rPr>
          <w:noProof w:val="0"/>
        </w:rPr>
      </w:pPr>
      <w:r w:rsidRPr="00397A3E">
        <w:rPr>
          <w:noProof w:val="0"/>
        </w:rPr>
        <w:t xml:space="preserve">Publications </w:t>
      </w:r>
      <w:r w:rsidR="00E83FB6" w:rsidRPr="00397A3E">
        <w:rPr>
          <w:noProof w:val="0"/>
        </w:rPr>
        <w:t xml:space="preserve">published </w:t>
      </w:r>
      <w:r w:rsidR="00083178" w:rsidRPr="00397A3E">
        <w:rPr>
          <w:noProof w:val="0"/>
        </w:rPr>
        <w:t xml:space="preserve">between </w:t>
      </w:r>
      <w:bookmarkStart w:id="14" w:name="_Hlk77070482"/>
      <w:r w:rsidR="00083178" w:rsidRPr="00397A3E">
        <w:rPr>
          <w:noProof w:val="0"/>
        </w:rPr>
        <w:t>January 1</w:t>
      </w:r>
      <w:r w:rsidR="00083178" w:rsidRPr="00397A3E">
        <w:rPr>
          <w:noProof w:val="0"/>
          <w:vertAlign w:val="superscript"/>
        </w:rPr>
        <w:t>st</w:t>
      </w:r>
      <w:r w:rsidR="00BD7E9F" w:rsidRPr="00397A3E">
        <w:rPr>
          <w:noProof w:val="0"/>
        </w:rPr>
        <w:t>, 2003,</w:t>
      </w:r>
      <w:r w:rsidR="00083178" w:rsidRPr="00397A3E">
        <w:rPr>
          <w:noProof w:val="0"/>
        </w:rPr>
        <w:t xml:space="preserve"> and 30</w:t>
      </w:r>
      <w:r w:rsidR="00083178" w:rsidRPr="00397A3E">
        <w:rPr>
          <w:noProof w:val="0"/>
          <w:vertAlign w:val="superscript"/>
        </w:rPr>
        <w:t>th</w:t>
      </w:r>
      <w:r w:rsidR="00083178" w:rsidRPr="00397A3E">
        <w:rPr>
          <w:noProof w:val="0"/>
        </w:rPr>
        <w:t xml:space="preserve"> </w:t>
      </w:r>
      <w:r w:rsidR="00E83FB6" w:rsidRPr="00397A3E">
        <w:rPr>
          <w:noProof w:val="0"/>
        </w:rPr>
        <w:t>October</w:t>
      </w:r>
      <w:r w:rsidR="00083178" w:rsidRPr="00397A3E">
        <w:rPr>
          <w:noProof w:val="0"/>
        </w:rPr>
        <w:t xml:space="preserve"> 2020</w:t>
      </w:r>
      <w:r w:rsidRPr="00397A3E">
        <w:rPr>
          <w:noProof w:val="0"/>
        </w:rPr>
        <w:t xml:space="preserve"> </w:t>
      </w:r>
      <w:bookmarkEnd w:id="14"/>
      <w:r w:rsidRPr="00397A3E">
        <w:rPr>
          <w:noProof w:val="0"/>
        </w:rPr>
        <w:t xml:space="preserve">were considered for the review.  Although the </w:t>
      </w:r>
      <w:r w:rsidR="004D3543">
        <w:rPr>
          <w:noProof w:val="0"/>
        </w:rPr>
        <w:t>current</w:t>
      </w:r>
      <w:r w:rsidR="004D3543" w:rsidRPr="00397A3E">
        <w:rPr>
          <w:noProof w:val="0"/>
        </w:rPr>
        <w:t xml:space="preserve"> </w:t>
      </w:r>
      <w:r w:rsidR="00E02706" w:rsidRPr="00397A3E">
        <w:rPr>
          <w:noProof w:val="0"/>
        </w:rPr>
        <w:t xml:space="preserve">NHMRC </w:t>
      </w:r>
      <w:r w:rsidRPr="00397A3E">
        <w:rPr>
          <w:noProof w:val="0"/>
        </w:rPr>
        <w:t>Guidelines were published in 2008, extending the date range back earlier was done to assist in locating any documents that may have been overlooked, have become recognised as being of greater importance since that time or missed the cut-off period during the preparation of the guidelines.</w:t>
      </w:r>
    </w:p>
    <w:p w14:paraId="28910411" w14:textId="77777777" w:rsidR="00C72E1F" w:rsidRPr="00397A3E" w:rsidRDefault="00C72E1F" w:rsidP="00C72E1F">
      <w:pPr>
        <w:rPr>
          <w:noProof w:val="0"/>
        </w:rPr>
      </w:pPr>
    </w:p>
    <w:p w14:paraId="45D2F896" w14:textId="77777777" w:rsidR="006C4287" w:rsidRPr="00397A3E" w:rsidRDefault="00171C91" w:rsidP="00D95B6A">
      <w:pPr>
        <w:pStyle w:val="Heading2"/>
        <w:rPr>
          <w:noProof w:val="0"/>
        </w:rPr>
      </w:pPr>
      <w:bookmarkStart w:id="15" w:name="_Toc106964799"/>
      <w:r w:rsidRPr="00397A3E">
        <w:rPr>
          <w:noProof w:val="0"/>
        </w:rPr>
        <w:t>Definitions</w:t>
      </w:r>
      <w:bookmarkEnd w:id="15"/>
    </w:p>
    <w:p w14:paraId="2DE460C6" w14:textId="5FC1FEE9" w:rsidR="003A70F6" w:rsidRPr="00397A3E" w:rsidRDefault="00171C91" w:rsidP="003A70F6">
      <w:pPr>
        <w:rPr>
          <w:bCs/>
          <w:noProof w:val="0"/>
        </w:rPr>
      </w:pPr>
      <w:r w:rsidRPr="00397A3E">
        <w:rPr>
          <w:bCs/>
          <w:noProof w:val="0"/>
        </w:rPr>
        <w:t xml:space="preserve">In this </w:t>
      </w:r>
      <w:r w:rsidR="005B747F" w:rsidRPr="00397A3E">
        <w:rPr>
          <w:noProof w:val="0"/>
        </w:rPr>
        <w:t xml:space="preserve">Evidence Evaluation </w:t>
      </w:r>
      <w:r w:rsidR="00486CE6" w:rsidRPr="00397A3E">
        <w:rPr>
          <w:bCs/>
          <w:noProof w:val="0"/>
        </w:rPr>
        <w:t>Report</w:t>
      </w:r>
      <w:r w:rsidRPr="00397A3E">
        <w:rPr>
          <w:bCs/>
          <w:noProof w:val="0"/>
        </w:rPr>
        <w:t>, “microbial risk” refers to risk associated with the contamination of the water by frank human pathogens, mostly of faecal origin, and excludes risk associated with free-living microorganisms such as saprozoic bacteria and protozoa which are generally considered as opportunistic pathogens (these are to be covered in</w:t>
      </w:r>
      <w:r w:rsidR="002904FC" w:rsidRPr="00397A3E">
        <w:rPr>
          <w:bCs/>
          <w:noProof w:val="0"/>
        </w:rPr>
        <w:t xml:space="preserve"> a</w:t>
      </w:r>
      <w:r w:rsidRPr="00397A3E">
        <w:rPr>
          <w:bCs/>
          <w:noProof w:val="0"/>
        </w:rPr>
        <w:t xml:space="preserve"> separate review).</w:t>
      </w:r>
    </w:p>
    <w:p w14:paraId="72068E43" w14:textId="1C16BA13" w:rsidR="00E52689" w:rsidRPr="00397A3E" w:rsidRDefault="00171C91" w:rsidP="00E52689">
      <w:pPr>
        <w:rPr>
          <w:bCs/>
          <w:noProof w:val="0"/>
        </w:rPr>
      </w:pPr>
      <w:r w:rsidRPr="00397A3E">
        <w:rPr>
          <w:bCs/>
          <w:noProof w:val="0"/>
        </w:rPr>
        <w:t xml:space="preserve">Definitions of </w:t>
      </w:r>
      <w:r w:rsidR="00AE38EF" w:rsidRPr="00397A3E">
        <w:rPr>
          <w:bCs/>
          <w:noProof w:val="0"/>
        </w:rPr>
        <w:t xml:space="preserve">types, </w:t>
      </w:r>
      <w:r w:rsidRPr="00397A3E">
        <w:rPr>
          <w:bCs/>
          <w:noProof w:val="0"/>
        </w:rPr>
        <w:t xml:space="preserve">uses and users of recreational water </w:t>
      </w:r>
      <w:r w:rsidR="008B7AC2" w:rsidRPr="00397A3E">
        <w:rPr>
          <w:bCs/>
          <w:noProof w:val="0"/>
        </w:rPr>
        <w:t>are</w:t>
      </w:r>
      <w:r w:rsidRPr="00397A3E">
        <w:rPr>
          <w:bCs/>
          <w:noProof w:val="0"/>
        </w:rPr>
        <w:t xml:space="preserve"> given in</w:t>
      </w:r>
      <w:r w:rsidR="005B747F" w:rsidRPr="00397A3E">
        <w:rPr>
          <w:bCs/>
          <w:noProof w:val="0"/>
        </w:rPr>
        <w:t xml:space="preserve"> Appendix 1 of the companion Technical Report to this study</w:t>
      </w:r>
      <w:r w:rsidR="005E72F5">
        <w:rPr>
          <w:bCs/>
          <w:noProof w:val="0"/>
        </w:rPr>
        <w:t xml:space="preserve"> </w:t>
      </w:r>
      <w:r w:rsidR="002F4F2E">
        <w:rPr>
          <w:bCs/>
          <w:noProof w:val="0"/>
        </w:rPr>
        <w:fldChar w:fldCharType="begin"/>
      </w:r>
      <w:r w:rsidR="00F65EDC">
        <w:rPr>
          <w:bCs/>
          <w:noProof w:val="0"/>
        </w:rPr>
        <w:instrText xml:space="preserve"> ADDIN ZOTERO_ITEM CSL_CITATION {"citationID":"aFGfFkb9","properties":{"formattedCitation":"(O\\uc0\\u8217{}Connor, 2022)","plainCitation":"(O’Connor, 2022)","noteIndex":0},"citationItems":[{"id":17799,"uris":["http://zotero.org/users/148142/items/2LMPM2CQ"],"uri":["http://zotero.org/users/148142/items/2LMPM2CQ"],"itemData":{"id":17799,"type":"report","title":"Technical Report for Narrative Reviews in support of NHMRC Recreational Water Quality Guidelines: Microbial Risks. DRAFT. Ecos Environmental Consulting, February 2022","author":[{"family":"O'Connor","given":"N.A."}],"issued":{"date-parts":[["2022",2]]}}}],"schema":"https://github.com/citation-style-language/schema/raw/master/csl-citation.json"} </w:instrText>
      </w:r>
      <w:r w:rsidR="002F4F2E">
        <w:rPr>
          <w:bCs/>
          <w:noProof w:val="0"/>
        </w:rPr>
        <w:fldChar w:fldCharType="separate"/>
      </w:r>
      <w:r w:rsidR="00F65EDC" w:rsidRPr="00F65EDC">
        <w:rPr>
          <w:rFonts w:cs="Arial"/>
        </w:rPr>
        <w:t>(O’Connor, 2022)</w:t>
      </w:r>
      <w:r w:rsidR="002F4F2E">
        <w:rPr>
          <w:bCs/>
          <w:noProof w:val="0"/>
        </w:rPr>
        <w:fldChar w:fldCharType="end"/>
      </w:r>
      <w:r w:rsidRPr="00397A3E">
        <w:rPr>
          <w:bCs/>
          <w:noProof w:val="0"/>
        </w:rPr>
        <w:t>.</w:t>
      </w:r>
    </w:p>
    <w:p w14:paraId="286A1552" w14:textId="77777777" w:rsidR="00E52689" w:rsidRPr="00397A3E" w:rsidRDefault="00E52689" w:rsidP="00F265A0">
      <w:pPr>
        <w:rPr>
          <w:bCs/>
          <w:noProof w:val="0"/>
        </w:rPr>
      </w:pPr>
    </w:p>
    <w:p w14:paraId="52D01748" w14:textId="2C75363A" w:rsidR="006C4287" w:rsidRPr="00397A3E" w:rsidRDefault="00171C91" w:rsidP="00D95B6A">
      <w:pPr>
        <w:pStyle w:val="Heading2"/>
        <w:rPr>
          <w:noProof w:val="0"/>
        </w:rPr>
      </w:pPr>
      <w:bookmarkStart w:id="16" w:name="_Toc106964800"/>
      <w:r w:rsidRPr="00397A3E">
        <w:rPr>
          <w:noProof w:val="0"/>
        </w:rPr>
        <w:t>Research Questions</w:t>
      </w:r>
      <w:bookmarkEnd w:id="16"/>
    </w:p>
    <w:p w14:paraId="0AEA303F" w14:textId="37FCF816" w:rsidR="00F265A0" w:rsidRPr="00397A3E" w:rsidRDefault="00171C91" w:rsidP="00F265A0">
      <w:pPr>
        <w:rPr>
          <w:noProof w:val="0"/>
        </w:rPr>
      </w:pPr>
      <w:r w:rsidRPr="00397A3E">
        <w:rPr>
          <w:noProof w:val="0"/>
        </w:rPr>
        <w:t xml:space="preserve">The research questions that form the basis of this review were developed by the </w:t>
      </w:r>
      <w:bookmarkStart w:id="17" w:name="_Hlk93923341"/>
      <w:r w:rsidR="00E441DE" w:rsidRPr="00397A3E">
        <w:rPr>
          <w:noProof w:val="0"/>
        </w:rPr>
        <w:t>Committee</w:t>
      </w:r>
      <w:bookmarkEnd w:id="17"/>
      <w:r w:rsidRPr="00397A3E">
        <w:rPr>
          <w:noProof w:val="0"/>
        </w:rPr>
        <w:t xml:space="preserve">.  There is one primary question and </w:t>
      </w:r>
      <w:r w:rsidR="00F6369E" w:rsidRPr="00397A3E">
        <w:rPr>
          <w:noProof w:val="0"/>
        </w:rPr>
        <w:t>two</w:t>
      </w:r>
      <w:r w:rsidR="009830C5" w:rsidRPr="00397A3E">
        <w:rPr>
          <w:noProof w:val="0"/>
        </w:rPr>
        <w:t xml:space="preserve"> </w:t>
      </w:r>
      <w:r w:rsidRPr="00397A3E">
        <w:rPr>
          <w:noProof w:val="0"/>
        </w:rPr>
        <w:t>secondary questions.</w:t>
      </w:r>
    </w:p>
    <w:p w14:paraId="75C73A17" w14:textId="77777777" w:rsidR="00F6369E" w:rsidRPr="00397A3E" w:rsidRDefault="00171C91" w:rsidP="00F6369E">
      <w:pPr>
        <w:pStyle w:val="Heading3"/>
        <w:rPr>
          <w:noProof w:val="0"/>
          <w:color w:val="auto"/>
        </w:rPr>
      </w:pPr>
      <w:bookmarkStart w:id="18" w:name="_Toc89275085"/>
      <w:bookmarkStart w:id="19" w:name="_Toc106964801"/>
      <w:bookmarkStart w:id="20" w:name="_Hlk42771129"/>
      <w:bookmarkStart w:id="21" w:name="_Toc71717360"/>
      <w:r w:rsidRPr="00397A3E">
        <w:rPr>
          <w:noProof w:val="0"/>
          <w:color w:val="auto"/>
        </w:rPr>
        <w:t>Primary question</w:t>
      </w:r>
      <w:bookmarkEnd w:id="18"/>
      <w:bookmarkEnd w:id="19"/>
    </w:p>
    <w:p w14:paraId="770C7B30" w14:textId="77777777" w:rsidR="00F6369E" w:rsidRPr="00397A3E" w:rsidRDefault="00171C91" w:rsidP="00F6369E">
      <w:pPr>
        <w:rPr>
          <w:i/>
          <w:noProof w:val="0"/>
        </w:rPr>
      </w:pPr>
      <w:bookmarkStart w:id="22" w:name="_Ref48638137"/>
      <w:bookmarkStart w:id="23" w:name="_Ref48638169"/>
      <w:r w:rsidRPr="00397A3E">
        <w:rPr>
          <w:iCs/>
          <w:noProof w:val="0"/>
        </w:rPr>
        <w:t>The primary question is:</w:t>
      </w:r>
      <w:r w:rsidRPr="00397A3E">
        <w:rPr>
          <w:i/>
          <w:noProof w:val="0"/>
        </w:rPr>
        <w:t xml:space="preserve"> How can we monitor, assess and predict risks from diffuse and point source microbial contamination in recreational waters?</w:t>
      </w:r>
    </w:p>
    <w:p w14:paraId="34DEE3F0" w14:textId="0A79C0B0" w:rsidR="00F6369E" w:rsidRPr="00397A3E" w:rsidRDefault="00171C91" w:rsidP="00F6369E">
      <w:pPr>
        <w:rPr>
          <w:noProof w:val="0"/>
        </w:rPr>
      </w:pPr>
      <w:r w:rsidRPr="00397A3E">
        <w:rPr>
          <w:noProof w:val="0"/>
        </w:rPr>
        <w:t xml:space="preserve">To answer the primary question </w:t>
      </w:r>
      <w:r w:rsidR="00597945" w:rsidRPr="00397A3E">
        <w:rPr>
          <w:noProof w:val="0"/>
        </w:rPr>
        <w:t xml:space="preserve">the </w:t>
      </w:r>
      <w:r w:rsidR="00E441DE" w:rsidRPr="00397A3E">
        <w:rPr>
          <w:noProof w:val="0"/>
        </w:rPr>
        <w:t xml:space="preserve">Committee </w:t>
      </w:r>
      <w:r w:rsidRPr="00397A3E">
        <w:rPr>
          <w:noProof w:val="0"/>
        </w:rPr>
        <w:t>provided the following guidance points:</w:t>
      </w:r>
    </w:p>
    <w:p w14:paraId="65DB3FA2" w14:textId="77777777" w:rsidR="00F6369E" w:rsidRPr="00397A3E" w:rsidRDefault="00171C91" w:rsidP="00764500">
      <w:pPr>
        <w:numPr>
          <w:ilvl w:val="0"/>
          <w:numId w:val="14"/>
        </w:numPr>
        <w:ind w:left="714" w:hanging="357"/>
        <w:contextualSpacing/>
        <w:rPr>
          <w:bCs/>
          <w:noProof w:val="0"/>
        </w:rPr>
      </w:pPr>
      <w:r w:rsidRPr="00397A3E">
        <w:rPr>
          <w:bCs/>
          <w:noProof w:val="0"/>
        </w:rPr>
        <w:t>Provide examples of what is done in Australian and international jurisdictions and their reasoning.</w:t>
      </w:r>
    </w:p>
    <w:p w14:paraId="272514B3" w14:textId="77777777" w:rsidR="00F6369E" w:rsidRPr="00397A3E" w:rsidRDefault="00171C91" w:rsidP="00764500">
      <w:pPr>
        <w:numPr>
          <w:ilvl w:val="0"/>
          <w:numId w:val="15"/>
        </w:numPr>
        <w:ind w:left="714" w:hanging="357"/>
        <w:contextualSpacing/>
        <w:rPr>
          <w:bCs/>
          <w:noProof w:val="0"/>
        </w:rPr>
      </w:pPr>
      <w:r w:rsidRPr="00397A3E">
        <w:rPr>
          <w:bCs/>
          <w:noProof w:val="0"/>
        </w:rPr>
        <w:t>Determine what is done in other settings and how this relates to the Australian context.</w:t>
      </w:r>
    </w:p>
    <w:p w14:paraId="5497F19D" w14:textId="77777777" w:rsidR="00F6369E" w:rsidRPr="00397A3E" w:rsidRDefault="00171C91" w:rsidP="00764500">
      <w:pPr>
        <w:numPr>
          <w:ilvl w:val="0"/>
          <w:numId w:val="15"/>
        </w:numPr>
        <w:ind w:left="714" w:hanging="357"/>
        <w:contextualSpacing/>
        <w:rPr>
          <w:bCs/>
          <w:noProof w:val="0"/>
        </w:rPr>
      </w:pPr>
      <w:r w:rsidRPr="00397A3E">
        <w:rPr>
          <w:bCs/>
          <w:noProof w:val="0"/>
        </w:rPr>
        <w:t>Determine how specific target populations such as children, immunocompromised or the elderly are impacted.</w:t>
      </w:r>
    </w:p>
    <w:p w14:paraId="641D0506" w14:textId="77777777" w:rsidR="00F6369E" w:rsidRPr="00397A3E" w:rsidRDefault="00171C91" w:rsidP="00764500">
      <w:pPr>
        <w:numPr>
          <w:ilvl w:val="0"/>
          <w:numId w:val="15"/>
        </w:numPr>
        <w:ind w:left="714" w:hanging="357"/>
        <w:contextualSpacing/>
        <w:rPr>
          <w:bCs/>
          <w:noProof w:val="0"/>
        </w:rPr>
      </w:pPr>
      <w:r w:rsidRPr="00397A3E">
        <w:rPr>
          <w:bCs/>
          <w:noProof w:val="0"/>
        </w:rPr>
        <w:t>Determine the main factors impacting risk and its prediction (environmental, microbial, etc.).</w:t>
      </w:r>
    </w:p>
    <w:p w14:paraId="4856B416" w14:textId="77777777" w:rsidR="00F6369E" w:rsidRPr="00397A3E" w:rsidRDefault="00171C91" w:rsidP="00764500">
      <w:pPr>
        <w:numPr>
          <w:ilvl w:val="0"/>
          <w:numId w:val="15"/>
        </w:numPr>
        <w:ind w:left="714" w:hanging="357"/>
        <w:contextualSpacing/>
        <w:rPr>
          <w:bCs/>
          <w:noProof w:val="0"/>
        </w:rPr>
      </w:pPr>
      <w:r w:rsidRPr="00397A3E">
        <w:rPr>
          <w:bCs/>
          <w:noProof w:val="0"/>
        </w:rPr>
        <w:t>Identify gaps and opportunities to design a risk assessment framework that would provide an estimation of the risk truly reflective of adverse health outcomes in various settings relevant to the Australian context.</w:t>
      </w:r>
    </w:p>
    <w:p w14:paraId="414781F7" w14:textId="77777777" w:rsidR="00F6369E" w:rsidRPr="00397A3E" w:rsidRDefault="00171C91" w:rsidP="00F6369E">
      <w:pPr>
        <w:pStyle w:val="Heading3"/>
        <w:rPr>
          <w:noProof w:val="0"/>
          <w:color w:val="auto"/>
        </w:rPr>
      </w:pPr>
      <w:bookmarkStart w:id="24" w:name="_Toc89275086"/>
      <w:bookmarkStart w:id="25" w:name="_Ref93923104"/>
      <w:bookmarkStart w:id="26" w:name="_Ref93927231"/>
      <w:bookmarkStart w:id="27" w:name="_Toc106964802"/>
      <w:r w:rsidRPr="00397A3E">
        <w:rPr>
          <w:noProof w:val="0"/>
          <w:color w:val="auto"/>
        </w:rPr>
        <w:t>Secondary questions</w:t>
      </w:r>
      <w:bookmarkEnd w:id="22"/>
      <w:bookmarkEnd w:id="23"/>
      <w:bookmarkEnd w:id="24"/>
      <w:bookmarkEnd w:id="25"/>
      <w:bookmarkEnd w:id="26"/>
      <w:bookmarkEnd w:id="27"/>
    </w:p>
    <w:p w14:paraId="6F51AFA1" w14:textId="77777777" w:rsidR="00F6369E" w:rsidRPr="00397A3E" w:rsidRDefault="00171C91" w:rsidP="00F6369E">
      <w:pPr>
        <w:rPr>
          <w:noProof w:val="0"/>
        </w:rPr>
      </w:pPr>
      <w:r w:rsidRPr="00397A3E">
        <w:rPr>
          <w:noProof w:val="0"/>
        </w:rPr>
        <w:t xml:space="preserve">The secondary questions are: </w:t>
      </w:r>
    </w:p>
    <w:p w14:paraId="2BCB9798" w14:textId="77777777" w:rsidR="00F6369E" w:rsidRPr="00397A3E" w:rsidRDefault="00171C91" w:rsidP="00764500">
      <w:pPr>
        <w:pStyle w:val="ListParagraph"/>
        <w:numPr>
          <w:ilvl w:val="0"/>
          <w:numId w:val="16"/>
        </w:numPr>
        <w:rPr>
          <w:i/>
          <w:noProof w:val="0"/>
          <w:lang w:val="en-AU"/>
        </w:rPr>
      </w:pPr>
      <w:bookmarkStart w:id="28" w:name="_Hlk48228564"/>
      <w:bookmarkStart w:id="29" w:name="_Hlk93929406"/>
      <w:r w:rsidRPr="00397A3E">
        <w:rPr>
          <w:i/>
          <w:noProof w:val="0"/>
          <w:lang w:val="en-AU"/>
        </w:rPr>
        <w:t>What are the indicators/surrogates of this/these risk/s?</w:t>
      </w:r>
    </w:p>
    <w:p w14:paraId="3C836F78" w14:textId="48B3D53F" w:rsidR="00F6369E" w:rsidRPr="00397A3E" w:rsidRDefault="00171C91" w:rsidP="00F6369E">
      <w:pPr>
        <w:ind w:left="714"/>
        <w:rPr>
          <w:noProof w:val="0"/>
        </w:rPr>
      </w:pPr>
      <w:r w:rsidRPr="00397A3E">
        <w:rPr>
          <w:noProof w:val="0"/>
        </w:rPr>
        <w:t>Committee guidance points:</w:t>
      </w:r>
    </w:p>
    <w:p w14:paraId="195832DA" w14:textId="77777777" w:rsidR="00F6369E" w:rsidRPr="00397A3E" w:rsidRDefault="00171C91" w:rsidP="00764500">
      <w:pPr>
        <w:numPr>
          <w:ilvl w:val="1"/>
          <w:numId w:val="17"/>
        </w:numPr>
        <w:contextualSpacing/>
        <w:rPr>
          <w:bCs/>
          <w:noProof w:val="0"/>
        </w:rPr>
      </w:pPr>
      <w:r w:rsidRPr="00397A3E">
        <w:rPr>
          <w:bCs/>
          <w:noProof w:val="0"/>
        </w:rPr>
        <w:t>Review the new technologies available to assess and monitor risks and determine how they could be practically applied to Australian recreational waters</w:t>
      </w:r>
    </w:p>
    <w:p w14:paraId="67A38A05" w14:textId="77777777" w:rsidR="00F6369E" w:rsidRPr="00397A3E" w:rsidRDefault="00171C91" w:rsidP="00764500">
      <w:pPr>
        <w:numPr>
          <w:ilvl w:val="1"/>
          <w:numId w:val="17"/>
        </w:numPr>
        <w:contextualSpacing/>
        <w:rPr>
          <w:bCs/>
          <w:noProof w:val="0"/>
        </w:rPr>
      </w:pPr>
      <w:r w:rsidRPr="00397A3E">
        <w:rPr>
          <w:bCs/>
          <w:noProof w:val="0"/>
        </w:rPr>
        <w:t>Describe the relationship between the indicator and surrogates with adverse health outcomes. Include how this relationship been demonstrated in settings relevant to Australia.</w:t>
      </w:r>
    </w:p>
    <w:bookmarkEnd w:id="28"/>
    <w:p w14:paraId="07F2BDD5" w14:textId="77777777" w:rsidR="00F6369E" w:rsidRPr="00397A3E" w:rsidRDefault="00171C91" w:rsidP="00764500">
      <w:pPr>
        <w:pStyle w:val="ListParagraph"/>
        <w:numPr>
          <w:ilvl w:val="0"/>
          <w:numId w:val="16"/>
        </w:numPr>
        <w:rPr>
          <w:i/>
          <w:noProof w:val="0"/>
          <w:lang w:val="en-AU"/>
        </w:rPr>
      </w:pPr>
      <w:r w:rsidRPr="00397A3E">
        <w:rPr>
          <w:i/>
          <w:noProof w:val="0"/>
          <w:lang w:val="en-AU"/>
        </w:rPr>
        <w:t>What are the current practices to minimise or manage this/these risk/s?</w:t>
      </w:r>
    </w:p>
    <w:p w14:paraId="066949F5" w14:textId="6C4127E0" w:rsidR="00F6369E" w:rsidRPr="00397A3E" w:rsidRDefault="00171C91" w:rsidP="00F6369E">
      <w:pPr>
        <w:ind w:left="720"/>
        <w:rPr>
          <w:noProof w:val="0"/>
        </w:rPr>
      </w:pPr>
      <w:r w:rsidRPr="00397A3E">
        <w:rPr>
          <w:noProof w:val="0"/>
        </w:rPr>
        <w:t>Committee guidance points:</w:t>
      </w:r>
    </w:p>
    <w:p w14:paraId="1046EA9D" w14:textId="77777777" w:rsidR="00F6369E" w:rsidRPr="00397A3E" w:rsidRDefault="00171C91" w:rsidP="00764500">
      <w:pPr>
        <w:numPr>
          <w:ilvl w:val="1"/>
          <w:numId w:val="17"/>
        </w:numPr>
        <w:contextualSpacing/>
        <w:rPr>
          <w:bCs/>
          <w:noProof w:val="0"/>
        </w:rPr>
      </w:pPr>
      <w:r w:rsidRPr="00397A3E">
        <w:rPr>
          <w:bCs/>
          <w:noProof w:val="0"/>
        </w:rPr>
        <w:t>Provide examples of how mitigation strategies have been developed based on scientific evidence.</w:t>
      </w:r>
    </w:p>
    <w:p w14:paraId="0BA33BC4" w14:textId="051F0866" w:rsidR="00F6369E" w:rsidRPr="00397A3E" w:rsidRDefault="00171C91" w:rsidP="00764500">
      <w:pPr>
        <w:numPr>
          <w:ilvl w:val="1"/>
          <w:numId w:val="17"/>
        </w:numPr>
        <w:ind w:left="1434" w:hanging="357"/>
        <w:rPr>
          <w:bCs/>
          <w:noProof w:val="0"/>
        </w:rPr>
      </w:pPr>
      <w:r w:rsidRPr="00397A3E">
        <w:rPr>
          <w:bCs/>
          <w:noProof w:val="0"/>
        </w:rPr>
        <w:t>Provide examples/case studies of how this is achieved/implemented in settings relevant to the Australian context.</w:t>
      </w:r>
    </w:p>
    <w:bookmarkEnd w:id="29"/>
    <w:p w14:paraId="1DBB395E" w14:textId="2A9D733B" w:rsidR="005B5FB9" w:rsidRPr="00397A3E" w:rsidRDefault="00171C91" w:rsidP="005B5FB9">
      <w:pPr>
        <w:rPr>
          <w:noProof w:val="0"/>
        </w:rPr>
      </w:pPr>
      <w:r w:rsidRPr="00397A3E">
        <w:rPr>
          <w:noProof w:val="0"/>
        </w:rPr>
        <w:t xml:space="preserve">To keep the workload manageable within the available resources the Committee agreed that the secondary research questions could be addressed through a review of existing guidance or reviews rather than though a review of primary studies (see Section </w:t>
      </w:r>
      <w:r w:rsidRPr="00397A3E">
        <w:rPr>
          <w:noProof w:val="0"/>
        </w:rPr>
        <w:fldChar w:fldCharType="begin"/>
      </w:r>
      <w:r w:rsidRPr="00397A3E">
        <w:rPr>
          <w:noProof w:val="0"/>
        </w:rPr>
        <w:instrText xml:space="preserve"> REF _Ref71193059 \r \h </w:instrText>
      </w:r>
      <w:r w:rsidRPr="00397A3E">
        <w:rPr>
          <w:noProof w:val="0"/>
        </w:rPr>
      </w:r>
      <w:r w:rsidRPr="00397A3E">
        <w:rPr>
          <w:noProof w:val="0"/>
        </w:rPr>
        <w:fldChar w:fldCharType="separate"/>
      </w:r>
      <w:r w:rsidR="001A0E9F">
        <w:rPr>
          <w:noProof w:val="0"/>
        </w:rPr>
        <w:t>2.5.1</w:t>
      </w:r>
      <w:r w:rsidRPr="00397A3E">
        <w:rPr>
          <w:noProof w:val="0"/>
        </w:rPr>
        <w:fldChar w:fldCharType="end"/>
      </w:r>
      <w:r w:rsidRPr="00397A3E">
        <w:rPr>
          <w:noProof w:val="0"/>
        </w:rPr>
        <w:t xml:space="preserve"> for definitions of these categories).</w:t>
      </w:r>
    </w:p>
    <w:p w14:paraId="34340FB5" w14:textId="170D6583" w:rsidR="00597945" w:rsidRPr="00397A3E" w:rsidRDefault="00171C91" w:rsidP="00597945">
      <w:pPr>
        <w:pStyle w:val="Heading3"/>
        <w:rPr>
          <w:noProof w:val="0"/>
          <w:color w:val="auto"/>
        </w:rPr>
      </w:pPr>
      <w:bookmarkStart w:id="30" w:name="_Toc89275087"/>
      <w:bookmarkStart w:id="31" w:name="_Toc106964803"/>
      <w:bookmarkEnd w:id="20"/>
      <w:bookmarkEnd w:id="21"/>
      <w:r w:rsidRPr="00397A3E">
        <w:rPr>
          <w:noProof w:val="0"/>
          <w:color w:val="auto"/>
        </w:rPr>
        <w:t xml:space="preserve">Additional commentary and guidance from </w:t>
      </w:r>
      <w:bookmarkEnd w:id="30"/>
      <w:r w:rsidR="00E441DE" w:rsidRPr="00397A3E">
        <w:rPr>
          <w:noProof w:val="0"/>
        </w:rPr>
        <w:t>Committee</w:t>
      </w:r>
      <w:bookmarkEnd w:id="31"/>
    </w:p>
    <w:p w14:paraId="0458577B" w14:textId="5AE6D312" w:rsidR="00597945" w:rsidRPr="00397A3E" w:rsidRDefault="00171C91" w:rsidP="00597945">
      <w:pPr>
        <w:rPr>
          <w:noProof w:val="0"/>
        </w:rPr>
      </w:pPr>
      <w:r w:rsidRPr="00397A3E">
        <w:rPr>
          <w:noProof w:val="0"/>
        </w:rPr>
        <w:t xml:space="preserve">Whilst the above questions were the focus of the narrative review, the </w:t>
      </w:r>
      <w:r w:rsidR="00E441DE" w:rsidRPr="00397A3E">
        <w:rPr>
          <w:noProof w:val="0"/>
        </w:rPr>
        <w:t xml:space="preserve">Committee </w:t>
      </w:r>
      <w:r w:rsidRPr="00397A3E">
        <w:rPr>
          <w:noProof w:val="0"/>
        </w:rPr>
        <w:t xml:space="preserve">noted that the </w:t>
      </w:r>
      <w:r w:rsidR="004D3543">
        <w:rPr>
          <w:noProof w:val="0"/>
        </w:rPr>
        <w:t>2008</w:t>
      </w:r>
      <w:r w:rsidR="004D3543" w:rsidRPr="00397A3E">
        <w:rPr>
          <w:noProof w:val="0"/>
        </w:rPr>
        <w:t xml:space="preserve"> </w:t>
      </w:r>
      <w:r w:rsidRPr="00397A3E">
        <w:rPr>
          <w:noProof w:val="0"/>
        </w:rPr>
        <w:t xml:space="preserve">NHMRC </w:t>
      </w:r>
      <w:r w:rsidR="004D3543">
        <w:rPr>
          <w:noProof w:val="0"/>
        </w:rPr>
        <w:t>G</w:t>
      </w:r>
      <w:r w:rsidRPr="00397A3E">
        <w:rPr>
          <w:noProof w:val="0"/>
        </w:rPr>
        <w:t xml:space="preserve">uidelines were centred around marine waters and a risk model based on a study conducted in an oceanic setting in the </w:t>
      </w:r>
      <w:r w:rsidR="00302C04">
        <w:rPr>
          <w:noProof w:val="0"/>
        </w:rPr>
        <w:t>United Kingdom (</w:t>
      </w:r>
      <w:r w:rsidRPr="00397A3E">
        <w:rPr>
          <w:noProof w:val="0"/>
        </w:rPr>
        <w:t>UK</w:t>
      </w:r>
      <w:r w:rsidR="00302C04">
        <w:rPr>
          <w:noProof w:val="0"/>
        </w:rPr>
        <w:t>)</w:t>
      </w:r>
      <w:r w:rsidRPr="00397A3E">
        <w:rPr>
          <w:noProof w:val="0"/>
        </w:rPr>
        <w:t xml:space="preserve"> with a point source of pollution of human origin.  Such an approach excludes consideration of freshwaters as well as zoonotic pathogens and their sources with the exception of some pathogens or indicator organisms that infect both humans and other animals.  Therefore, the current review considered the risks to recreational water quality from all sources of pathogens in marine, freshwater and estuarine environments.</w:t>
      </w:r>
    </w:p>
    <w:p w14:paraId="4C20C267" w14:textId="16F6BD48" w:rsidR="00597945" w:rsidRPr="00397A3E" w:rsidRDefault="00171C91" w:rsidP="00597945">
      <w:pPr>
        <w:rPr>
          <w:noProof w:val="0"/>
        </w:rPr>
      </w:pPr>
      <w:r w:rsidRPr="00397A3E">
        <w:rPr>
          <w:noProof w:val="0"/>
        </w:rPr>
        <w:t xml:space="preserve">Since the publication of the </w:t>
      </w:r>
      <w:r w:rsidR="0030339F">
        <w:rPr>
          <w:noProof w:val="0"/>
        </w:rPr>
        <w:t>2008</w:t>
      </w:r>
      <w:r w:rsidR="0030339F" w:rsidRPr="00397A3E">
        <w:rPr>
          <w:noProof w:val="0"/>
        </w:rPr>
        <w:t xml:space="preserve"> </w:t>
      </w:r>
      <w:r w:rsidRPr="00397A3E">
        <w:rPr>
          <w:noProof w:val="0"/>
        </w:rPr>
        <w:t>NHM</w:t>
      </w:r>
      <w:r w:rsidR="0075369B">
        <w:rPr>
          <w:noProof w:val="0"/>
        </w:rPr>
        <w:t>R</w:t>
      </w:r>
      <w:r w:rsidRPr="00397A3E">
        <w:rPr>
          <w:noProof w:val="0"/>
        </w:rPr>
        <w:t xml:space="preserve">C Guidelines, the field of risk assessment (in particular QMRA) has become well established and new technologies to monitor indicators and pathogens have been developed. Therefore, in </w:t>
      </w:r>
      <w:bookmarkStart w:id="32" w:name="_Hlk48229219"/>
      <w:r w:rsidRPr="00397A3E">
        <w:rPr>
          <w:noProof w:val="0"/>
        </w:rPr>
        <w:t>preparing our responses to the main research questions listed</w:t>
      </w:r>
      <w:bookmarkEnd w:id="32"/>
      <w:r w:rsidRPr="00397A3E">
        <w:rPr>
          <w:noProof w:val="0"/>
        </w:rPr>
        <w:t xml:space="preserve"> above, the </w:t>
      </w:r>
      <w:r w:rsidR="00E441DE" w:rsidRPr="00397A3E">
        <w:rPr>
          <w:noProof w:val="0"/>
        </w:rPr>
        <w:t xml:space="preserve">Committee </w:t>
      </w:r>
      <w:r w:rsidRPr="00397A3E">
        <w:rPr>
          <w:noProof w:val="0"/>
        </w:rPr>
        <w:t>suggested that the narrative review should consider a number of additional questions based on the scientific evidence produced since 2003 (</w:t>
      </w:r>
      <w:r w:rsidRPr="00397A3E">
        <w:rPr>
          <w:noProof w:val="0"/>
        </w:rPr>
        <w:fldChar w:fldCharType="begin"/>
      </w:r>
      <w:r w:rsidRPr="00397A3E">
        <w:rPr>
          <w:noProof w:val="0"/>
        </w:rPr>
        <w:instrText xml:space="preserve"> REF _Ref48231997 \h  \* MERGEFORMAT </w:instrText>
      </w:r>
      <w:r w:rsidRPr="00397A3E">
        <w:rPr>
          <w:noProof w:val="0"/>
        </w:rPr>
      </w:r>
      <w:r w:rsidRPr="00397A3E">
        <w:rPr>
          <w:noProof w:val="0"/>
        </w:rPr>
        <w:fldChar w:fldCharType="separate"/>
      </w:r>
      <w:r w:rsidR="001A0E9F" w:rsidRPr="00397A3E">
        <w:rPr>
          <w:noProof w:val="0"/>
        </w:rPr>
        <w:t xml:space="preserve">Table </w:t>
      </w:r>
      <w:r w:rsidR="001A0E9F">
        <w:rPr>
          <w:noProof w:val="0"/>
        </w:rPr>
        <w:t>2</w:t>
      </w:r>
      <w:r w:rsidR="001A0E9F">
        <w:rPr>
          <w:noProof w:val="0"/>
        </w:rPr>
        <w:noBreakHyphen/>
        <w:t>1</w:t>
      </w:r>
      <w:r w:rsidRPr="00397A3E">
        <w:rPr>
          <w:noProof w:val="0"/>
        </w:rPr>
        <w:fldChar w:fldCharType="end"/>
      </w:r>
      <w:r w:rsidRPr="00397A3E">
        <w:rPr>
          <w:noProof w:val="0"/>
        </w:rPr>
        <w:t>).  These questions were addressed based on evaluation of the body of evidence.</w:t>
      </w:r>
    </w:p>
    <w:p w14:paraId="1FCED684" w14:textId="36EEEBEA" w:rsidR="00597945" w:rsidRPr="00397A3E" w:rsidRDefault="00171C91" w:rsidP="00597945">
      <w:pPr>
        <w:pStyle w:val="Caption"/>
        <w:pageBreakBefore/>
        <w:rPr>
          <w:noProof w:val="0"/>
        </w:rPr>
      </w:pPr>
      <w:bookmarkStart w:id="33" w:name="_Ref48231997"/>
      <w:bookmarkStart w:id="34" w:name="_Toc50037337"/>
      <w:bookmarkStart w:id="35" w:name="_Toc89333434"/>
      <w:bookmarkStart w:id="36" w:name="_Toc106964853"/>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2</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1</w:t>
      </w:r>
      <w:r w:rsidR="00F178D7">
        <w:rPr>
          <w:noProof w:val="0"/>
        </w:rPr>
        <w:fldChar w:fldCharType="end"/>
      </w:r>
      <w:bookmarkEnd w:id="33"/>
      <w:r w:rsidRPr="00397A3E">
        <w:rPr>
          <w:noProof w:val="0"/>
        </w:rPr>
        <w:t>. Additional questions and tasks required to answer questions for supporting main research questions for this narrative review</w:t>
      </w:r>
      <w:bookmarkEnd w:id="34"/>
      <w:r w:rsidRPr="00397A3E">
        <w:rPr>
          <w:noProof w:val="0"/>
        </w:rPr>
        <w:t>.</w:t>
      </w:r>
      <w:bookmarkEnd w:id="35"/>
      <w:bookmarkEnd w:id="36"/>
    </w:p>
    <w:tbl>
      <w:tblPr>
        <w:tblStyle w:val="EcosleftTableStyle"/>
        <w:tblW w:w="0" w:type="auto"/>
        <w:tblLook w:val="04A0" w:firstRow="1" w:lastRow="0" w:firstColumn="1" w:lastColumn="0" w:noHBand="0" w:noVBand="1"/>
      </w:tblPr>
      <w:tblGrid>
        <w:gridCol w:w="2830"/>
        <w:gridCol w:w="4813"/>
      </w:tblGrid>
      <w:tr w:rsidR="00785848" w14:paraId="54C52000" w14:textId="77777777" w:rsidTr="007858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D084B69" w14:textId="77777777" w:rsidR="00597945" w:rsidRPr="00397A3E" w:rsidRDefault="00171C91" w:rsidP="0075369B">
            <w:pPr>
              <w:ind w:left="357"/>
              <w:contextualSpacing/>
              <w:rPr>
                <w:rFonts w:asciiTheme="minorHAnsi" w:hAnsiTheme="minorHAnsi"/>
                <w:noProof w:val="0"/>
                <w:szCs w:val="16"/>
              </w:rPr>
            </w:pPr>
            <w:r w:rsidRPr="00397A3E">
              <w:rPr>
                <w:rFonts w:asciiTheme="minorHAnsi" w:hAnsiTheme="minorHAnsi"/>
                <w:noProof w:val="0"/>
                <w:szCs w:val="16"/>
              </w:rPr>
              <w:t>Additional Questions</w:t>
            </w:r>
          </w:p>
        </w:tc>
        <w:tc>
          <w:tcPr>
            <w:tcW w:w="4813" w:type="dxa"/>
          </w:tcPr>
          <w:p w14:paraId="2241E399" w14:textId="77777777" w:rsidR="00597945" w:rsidRPr="00397A3E" w:rsidRDefault="00171C91" w:rsidP="0075369B">
            <w:pPr>
              <w:cnfStyle w:val="100000000000" w:firstRow="1" w:lastRow="0" w:firstColumn="0" w:lastColumn="0" w:oddVBand="0" w:evenVBand="0" w:oddHBand="0" w:evenHBand="0" w:firstRowFirstColumn="0" w:firstRowLastColumn="0" w:lastRowFirstColumn="0" w:lastRowLastColumn="0"/>
              <w:rPr>
                <w:rFonts w:asciiTheme="minorHAnsi" w:hAnsiTheme="minorHAnsi"/>
                <w:bCs/>
                <w:iCs/>
                <w:noProof w:val="0"/>
                <w:szCs w:val="16"/>
              </w:rPr>
            </w:pPr>
            <w:r w:rsidRPr="00397A3E">
              <w:rPr>
                <w:rFonts w:asciiTheme="minorHAnsi" w:hAnsiTheme="minorHAnsi"/>
                <w:bCs/>
                <w:iCs/>
                <w:noProof w:val="0"/>
                <w:szCs w:val="16"/>
              </w:rPr>
              <w:t>Tasks required to answer questions</w:t>
            </w:r>
          </w:p>
        </w:tc>
      </w:tr>
      <w:tr w:rsidR="00785848" w14:paraId="1250EF5F" w14:textId="77777777" w:rsidTr="00785848">
        <w:tc>
          <w:tcPr>
            <w:cnfStyle w:val="001000000000" w:firstRow="0" w:lastRow="0" w:firstColumn="1" w:lastColumn="0" w:oddVBand="0" w:evenVBand="0" w:oddHBand="0" w:evenHBand="0" w:firstRowFirstColumn="0" w:firstRowLastColumn="0" w:lastRowFirstColumn="0" w:lastRowLastColumn="0"/>
            <w:tcW w:w="2830" w:type="dxa"/>
          </w:tcPr>
          <w:p w14:paraId="29697B6A" w14:textId="77777777" w:rsidR="00597945" w:rsidRPr="00397A3E" w:rsidRDefault="00171C91" w:rsidP="00764500">
            <w:pPr>
              <w:numPr>
                <w:ilvl w:val="0"/>
                <w:numId w:val="18"/>
              </w:numPr>
              <w:spacing w:before="0" w:after="0" w:line="240" w:lineRule="auto"/>
              <w:ind w:left="714" w:hanging="357"/>
              <w:rPr>
                <w:rFonts w:asciiTheme="minorHAnsi" w:hAnsiTheme="minorHAnsi"/>
                <w:noProof w:val="0"/>
                <w:szCs w:val="16"/>
              </w:rPr>
            </w:pPr>
            <w:r w:rsidRPr="00397A3E">
              <w:rPr>
                <w:rFonts w:asciiTheme="minorHAnsi" w:hAnsiTheme="minorHAnsi"/>
                <w:noProof w:val="0"/>
                <w:szCs w:val="16"/>
              </w:rPr>
              <w:t>What are drawbacks of the interpretation of risks provided by the previous guidelines when applied to the Australian context?</w:t>
            </w:r>
          </w:p>
          <w:p w14:paraId="4EB05C10" w14:textId="77777777" w:rsidR="00597945" w:rsidRPr="00397A3E" w:rsidRDefault="00171C91" w:rsidP="00764500">
            <w:pPr>
              <w:numPr>
                <w:ilvl w:val="0"/>
                <w:numId w:val="18"/>
              </w:numPr>
              <w:spacing w:before="0" w:after="0" w:line="240" w:lineRule="auto"/>
              <w:ind w:left="714" w:hanging="357"/>
              <w:rPr>
                <w:rFonts w:asciiTheme="minorHAnsi" w:hAnsiTheme="minorHAnsi"/>
                <w:noProof w:val="0"/>
                <w:szCs w:val="16"/>
              </w:rPr>
            </w:pPr>
            <w:r w:rsidRPr="00397A3E">
              <w:rPr>
                <w:rFonts w:asciiTheme="minorHAnsi" w:hAnsiTheme="minorHAnsi"/>
                <w:noProof w:val="0"/>
                <w:szCs w:val="16"/>
              </w:rPr>
              <w:t xml:space="preserve">What happens when pollution is from non-point sources or when pollution is mainly associated with sources other than human? </w:t>
            </w:r>
          </w:p>
          <w:p w14:paraId="5EC8A163" w14:textId="77777777" w:rsidR="00597945" w:rsidRPr="00397A3E" w:rsidRDefault="00171C91" w:rsidP="00764500">
            <w:pPr>
              <w:numPr>
                <w:ilvl w:val="0"/>
                <w:numId w:val="18"/>
              </w:numPr>
              <w:spacing w:before="0" w:after="0" w:line="240" w:lineRule="auto"/>
              <w:ind w:left="714" w:hanging="357"/>
              <w:rPr>
                <w:rFonts w:asciiTheme="minorHAnsi" w:hAnsiTheme="minorHAnsi"/>
                <w:noProof w:val="0"/>
                <w:szCs w:val="16"/>
              </w:rPr>
            </w:pPr>
            <w:r w:rsidRPr="00397A3E">
              <w:rPr>
                <w:rFonts w:asciiTheme="minorHAnsi" w:hAnsiTheme="minorHAnsi"/>
                <w:noProof w:val="0"/>
                <w:szCs w:val="16"/>
              </w:rPr>
              <w:t xml:space="preserve">Can a new framework be developed to take into account these variations and truly reflect potential health outcomes in different settings (including in freshwaters)? </w:t>
            </w:r>
          </w:p>
          <w:p w14:paraId="51E4290F" w14:textId="77777777" w:rsidR="00597945" w:rsidRPr="00397A3E" w:rsidRDefault="00171C91" w:rsidP="00764500">
            <w:pPr>
              <w:numPr>
                <w:ilvl w:val="0"/>
                <w:numId w:val="18"/>
              </w:numPr>
              <w:spacing w:before="0" w:after="0" w:line="240" w:lineRule="auto"/>
              <w:ind w:left="714" w:hanging="357"/>
              <w:rPr>
                <w:rFonts w:asciiTheme="minorHAnsi" w:hAnsiTheme="minorHAnsi"/>
                <w:noProof w:val="0"/>
                <w:szCs w:val="16"/>
              </w:rPr>
            </w:pPr>
            <w:r w:rsidRPr="00397A3E">
              <w:rPr>
                <w:rFonts w:asciiTheme="minorHAnsi" w:hAnsiTheme="minorHAnsi"/>
                <w:noProof w:val="0"/>
                <w:szCs w:val="16"/>
              </w:rPr>
              <w:t xml:space="preserve">Can the previous values be retained as default values in absence of a risk assessment process? </w:t>
            </w:r>
          </w:p>
          <w:p w14:paraId="3907F2FA" w14:textId="77777777" w:rsidR="00597945" w:rsidRPr="00397A3E" w:rsidRDefault="00171C91" w:rsidP="00764500">
            <w:pPr>
              <w:numPr>
                <w:ilvl w:val="0"/>
                <w:numId w:val="18"/>
              </w:numPr>
              <w:spacing w:before="0" w:after="0" w:line="240" w:lineRule="auto"/>
              <w:ind w:left="714" w:hanging="357"/>
              <w:rPr>
                <w:rFonts w:asciiTheme="minorHAnsi" w:hAnsiTheme="minorHAnsi"/>
                <w:noProof w:val="0"/>
                <w:szCs w:val="16"/>
              </w:rPr>
            </w:pPr>
            <w:r w:rsidRPr="00397A3E">
              <w:rPr>
                <w:rFonts w:asciiTheme="minorHAnsi" w:hAnsiTheme="minorHAnsi"/>
                <w:noProof w:val="0"/>
                <w:szCs w:val="16"/>
              </w:rPr>
              <w:t>Can source tracking be a part this framework in identifying sources of contamination?</w:t>
            </w:r>
          </w:p>
          <w:p w14:paraId="01012216" w14:textId="77777777" w:rsidR="00597945" w:rsidRPr="00397A3E" w:rsidRDefault="00597945" w:rsidP="0075369B">
            <w:pPr>
              <w:spacing w:after="0" w:line="240" w:lineRule="auto"/>
              <w:rPr>
                <w:rFonts w:asciiTheme="minorHAnsi" w:hAnsiTheme="minorHAnsi"/>
                <w:noProof w:val="0"/>
                <w:szCs w:val="16"/>
              </w:rPr>
            </w:pPr>
          </w:p>
        </w:tc>
        <w:tc>
          <w:tcPr>
            <w:tcW w:w="4813" w:type="dxa"/>
          </w:tcPr>
          <w:p w14:paraId="2385617D" w14:textId="77777777" w:rsidR="00597945" w:rsidRPr="00397A3E" w:rsidRDefault="00171C91" w:rsidP="00764500">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noProof w:val="0"/>
                <w:szCs w:val="16"/>
                <w:lang w:val="en-AU"/>
              </w:rPr>
            </w:pPr>
            <w:r w:rsidRPr="00397A3E">
              <w:rPr>
                <w:rFonts w:asciiTheme="minorHAnsi" w:hAnsiTheme="minorHAnsi"/>
                <w:bCs/>
                <w:iCs/>
                <w:noProof w:val="0"/>
                <w:szCs w:val="16"/>
                <w:lang w:val="en-AU"/>
              </w:rPr>
              <w:t>A brief</w:t>
            </w:r>
            <w:r w:rsidRPr="00397A3E">
              <w:rPr>
                <w:rFonts w:asciiTheme="minorHAnsi" w:hAnsiTheme="minorHAnsi"/>
                <w:noProof w:val="0"/>
                <w:szCs w:val="16"/>
                <w:lang w:val="en-AU"/>
              </w:rPr>
              <w:t xml:space="preserve"> review of the current science relating faecal indicator bacteria to pathogen presence and public health risk to identify potential gaps in existing guidance. For example, can we use the same indicator(s) for fresh and marine waters? Are they relevant for all seasons and all regions of Australia?</w:t>
            </w:r>
          </w:p>
          <w:p w14:paraId="4EF9B46E" w14:textId="77777777" w:rsidR="00597945" w:rsidRPr="00397A3E" w:rsidRDefault="00171C91" w:rsidP="00764500">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noProof w:val="0"/>
                <w:szCs w:val="16"/>
                <w:lang w:val="en-AU"/>
              </w:rPr>
            </w:pPr>
            <w:r w:rsidRPr="00397A3E">
              <w:rPr>
                <w:rFonts w:asciiTheme="minorHAnsi" w:hAnsiTheme="minorHAnsi"/>
                <w:noProof w:val="0"/>
                <w:szCs w:val="16"/>
                <w:lang w:val="en-AU"/>
              </w:rPr>
              <w:t xml:space="preserve">Review of the potential alternatives or secondary indicators as reported in the literature and/or used in international guidance, regulation and practices (for example, </w:t>
            </w:r>
            <w:r w:rsidRPr="00397A3E">
              <w:rPr>
                <w:rFonts w:asciiTheme="minorHAnsi" w:hAnsiTheme="minorHAnsi"/>
                <w:i/>
                <w:noProof w:val="0"/>
                <w:szCs w:val="16"/>
                <w:lang w:val="en-AU"/>
              </w:rPr>
              <w:t>Clostridium perfringens</w:t>
            </w:r>
            <w:r w:rsidRPr="00397A3E">
              <w:rPr>
                <w:rFonts w:asciiTheme="minorHAnsi" w:hAnsiTheme="minorHAnsi"/>
                <w:noProof w:val="0"/>
                <w:szCs w:val="16"/>
                <w:lang w:val="en-AU"/>
              </w:rPr>
              <w:t>, bacteroides, 16s microbial community fingerprinting, bacteriophages, direct pathogen monitoring, non-microbial indicators, etc.)</w:t>
            </w:r>
          </w:p>
          <w:p w14:paraId="5C8BB1E5" w14:textId="77777777" w:rsidR="00597945" w:rsidRPr="00397A3E" w:rsidRDefault="00171C91" w:rsidP="00764500">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noProof w:val="0"/>
                <w:szCs w:val="16"/>
                <w:lang w:val="en-AU"/>
              </w:rPr>
            </w:pPr>
            <w:r w:rsidRPr="00397A3E">
              <w:rPr>
                <w:rFonts w:asciiTheme="minorHAnsi" w:hAnsiTheme="minorHAnsi"/>
                <w:noProof w:val="0"/>
                <w:szCs w:val="16"/>
                <w:lang w:val="en-AU"/>
              </w:rPr>
              <w:t>A quick review of new technologies and methods for quantifying indicators, tracking sources and assessing risk. This should include sample analysis times and any issues associated with analytical variability.</w:t>
            </w:r>
          </w:p>
          <w:p w14:paraId="76347CBF" w14:textId="77777777" w:rsidR="00597945" w:rsidRPr="00397A3E" w:rsidRDefault="00171C91" w:rsidP="00764500">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noProof w:val="0"/>
                <w:szCs w:val="16"/>
                <w:lang w:val="en-AU"/>
              </w:rPr>
            </w:pPr>
            <w:r w:rsidRPr="00397A3E">
              <w:rPr>
                <w:rFonts w:asciiTheme="minorHAnsi" w:hAnsiTheme="minorHAnsi"/>
                <w:noProof w:val="0"/>
                <w:szCs w:val="16"/>
                <w:lang w:val="en-AU"/>
              </w:rPr>
              <w:t>Guidance on single-sample water quality triggers for short-term water quality assessment.</w:t>
            </w:r>
          </w:p>
          <w:p w14:paraId="56A2B46E" w14:textId="6FC0DFFC" w:rsidR="00597945" w:rsidRPr="00397A3E" w:rsidRDefault="00171C91" w:rsidP="00764500">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noProof w:val="0"/>
                <w:szCs w:val="16"/>
                <w:lang w:val="en-AU"/>
              </w:rPr>
            </w:pPr>
            <w:r w:rsidRPr="00397A3E">
              <w:rPr>
                <w:rFonts w:asciiTheme="minorHAnsi" w:hAnsiTheme="minorHAnsi"/>
                <w:noProof w:val="0"/>
                <w:szCs w:val="16"/>
                <w:lang w:val="en-AU"/>
              </w:rPr>
              <w:t>Review of QMRA approach to recreational water assessment to inform a methodology for inclusion in the Guideline</w:t>
            </w:r>
            <w:r w:rsidR="00DE1215">
              <w:rPr>
                <w:rFonts w:asciiTheme="minorHAnsi" w:hAnsiTheme="minorHAnsi"/>
                <w:noProof w:val="0"/>
                <w:szCs w:val="16"/>
                <w:lang w:val="en-AU"/>
              </w:rPr>
              <w:t>s</w:t>
            </w:r>
            <w:r w:rsidRPr="00397A3E">
              <w:rPr>
                <w:rFonts w:asciiTheme="minorHAnsi" w:hAnsiTheme="minorHAnsi"/>
                <w:noProof w:val="0"/>
                <w:szCs w:val="16"/>
                <w:lang w:val="en-AU"/>
              </w:rPr>
              <w:t>.</w:t>
            </w:r>
          </w:p>
          <w:p w14:paraId="3AF0C258" w14:textId="77777777" w:rsidR="00597945" w:rsidRPr="00397A3E" w:rsidRDefault="00171C91" w:rsidP="00764500">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noProof w:val="0"/>
                <w:szCs w:val="16"/>
                <w:lang w:val="en-AU"/>
              </w:rPr>
            </w:pPr>
            <w:r w:rsidRPr="00397A3E">
              <w:rPr>
                <w:rFonts w:asciiTheme="minorHAnsi" w:hAnsiTheme="minorHAnsi"/>
                <w:noProof w:val="0"/>
                <w:szCs w:val="16"/>
                <w:lang w:val="en-AU"/>
              </w:rPr>
              <w:t xml:space="preserve">Practical implementation and consideration for a tiered approach to risk assessment. </w:t>
            </w:r>
          </w:p>
          <w:p w14:paraId="415C7067" w14:textId="77777777" w:rsidR="00597945" w:rsidRPr="00397A3E" w:rsidRDefault="00171C91" w:rsidP="00764500">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noProof w:val="0"/>
                <w:szCs w:val="16"/>
                <w:lang w:val="en-AU"/>
              </w:rPr>
            </w:pPr>
            <w:r w:rsidRPr="00397A3E">
              <w:rPr>
                <w:rFonts w:asciiTheme="minorHAnsi" w:hAnsiTheme="minorHAnsi"/>
                <w:noProof w:val="0"/>
                <w:szCs w:val="16"/>
                <w:lang w:val="en-AU"/>
              </w:rPr>
              <w:t>State of knowledge for recreational waters in relation to climate change, emerging pathogens and antimicrobial resistance (AMR).</w:t>
            </w:r>
          </w:p>
        </w:tc>
      </w:tr>
    </w:tbl>
    <w:p w14:paraId="45FBBBB8" w14:textId="77777777" w:rsidR="00597945" w:rsidRPr="00397A3E" w:rsidRDefault="00597945" w:rsidP="00280954">
      <w:pPr>
        <w:rPr>
          <w:noProof w:val="0"/>
        </w:rPr>
      </w:pPr>
    </w:p>
    <w:p w14:paraId="59080369" w14:textId="2255199D" w:rsidR="006C4287" w:rsidRPr="00397A3E" w:rsidRDefault="00171C91" w:rsidP="00D95B6A">
      <w:pPr>
        <w:pStyle w:val="Heading2"/>
        <w:rPr>
          <w:noProof w:val="0"/>
        </w:rPr>
      </w:pPr>
      <w:bookmarkStart w:id="37" w:name="_Ref64282671"/>
      <w:bookmarkStart w:id="38" w:name="_Toc106964804"/>
      <w:r w:rsidRPr="00397A3E">
        <w:rPr>
          <w:noProof w:val="0"/>
        </w:rPr>
        <w:t>Search Strategy and Selection of Evidence</w:t>
      </w:r>
      <w:bookmarkEnd w:id="37"/>
      <w:bookmarkEnd w:id="38"/>
    </w:p>
    <w:p w14:paraId="0D8FB4AF" w14:textId="77777777" w:rsidR="007737E3" w:rsidRPr="00397A3E" w:rsidRDefault="00171C91" w:rsidP="007737E3">
      <w:pPr>
        <w:pStyle w:val="Heading3"/>
        <w:rPr>
          <w:noProof w:val="0"/>
          <w:color w:val="auto"/>
        </w:rPr>
      </w:pPr>
      <w:bookmarkStart w:id="39" w:name="_Toc89275089"/>
      <w:bookmarkStart w:id="40" w:name="_Toc106964805"/>
      <w:r w:rsidRPr="00397A3E">
        <w:rPr>
          <w:noProof w:val="0"/>
          <w:color w:val="auto"/>
        </w:rPr>
        <w:t>Overview</w:t>
      </w:r>
      <w:bookmarkEnd w:id="39"/>
      <w:bookmarkEnd w:id="40"/>
    </w:p>
    <w:p w14:paraId="5D1344AF" w14:textId="77777777" w:rsidR="007737E3" w:rsidRPr="00397A3E" w:rsidRDefault="00171C91" w:rsidP="007737E3">
      <w:pPr>
        <w:rPr>
          <w:noProof w:val="0"/>
        </w:rPr>
      </w:pPr>
      <w:r w:rsidRPr="00397A3E">
        <w:rPr>
          <w:noProof w:val="0"/>
        </w:rPr>
        <w:t>The specific steps involved in finding and selecting the evidence for review were:</w:t>
      </w:r>
    </w:p>
    <w:p w14:paraId="473EE6BC" w14:textId="73DFE1C9" w:rsidR="007737E3" w:rsidRPr="00397A3E" w:rsidRDefault="00171C91" w:rsidP="00764500">
      <w:pPr>
        <w:pStyle w:val="ListParagraph"/>
        <w:numPr>
          <w:ilvl w:val="0"/>
          <w:numId w:val="11"/>
        </w:numPr>
        <w:ind w:left="714" w:hanging="357"/>
        <w:contextualSpacing/>
        <w:rPr>
          <w:noProof w:val="0"/>
          <w:lang w:val="en-AU"/>
        </w:rPr>
      </w:pPr>
      <w:r w:rsidRPr="00397A3E">
        <w:rPr>
          <w:noProof w:val="0"/>
          <w:lang w:val="en-AU"/>
        </w:rPr>
        <w:t xml:space="preserve">Preparation of a list of keywords (search terms) (Appendix 2) for approval by the </w:t>
      </w:r>
      <w:r w:rsidR="00E441DE" w:rsidRPr="00397A3E">
        <w:rPr>
          <w:noProof w:val="0"/>
          <w:lang w:val="en-AU"/>
        </w:rPr>
        <w:t>Committee</w:t>
      </w:r>
      <w:r w:rsidRPr="00397A3E">
        <w:rPr>
          <w:noProof w:val="0"/>
          <w:lang w:val="en-AU"/>
        </w:rPr>
        <w:t>;</w:t>
      </w:r>
    </w:p>
    <w:p w14:paraId="5326891F" w14:textId="77777777" w:rsidR="007737E3" w:rsidRPr="00397A3E" w:rsidRDefault="00171C91" w:rsidP="00764500">
      <w:pPr>
        <w:pStyle w:val="ListParagraph"/>
        <w:numPr>
          <w:ilvl w:val="0"/>
          <w:numId w:val="11"/>
        </w:numPr>
        <w:ind w:left="714" w:hanging="357"/>
        <w:contextualSpacing/>
        <w:rPr>
          <w:noProof w:val="0"/>
          <w:lang w:val="en-AU"/>
        </w:rPr>
      </w:pPr>
      <w:r w:rsidRPr="00397A3E">
        <w:rPr>
          <w:noProof w:val="0"/>
          <w:lang w:val="en-AU"/>
        </w:rPr>
        <w:t>Classification of the list into logical categories related to population, location, study type, property or attribute, method, health outcome, carrier (type of water), exposure pathway (includes split into sub-categories) and source.  The classification was performed to assist in composing search strings;</w:t>
      </w:r>
    </w:p>
    <w:p w14:paraId="08674767" w14:textId="77777777" w:rsidR="007737E3" w:rsidRPr="00397A3E" w:rsidRDefault="00171C91" w:rsidP="00764500">
      <w:pPr>
        <w:pStyle w:val="ListParagraph"/>
        <w:numPr>
          <w:ilvl w:val="0"/>
          <w:numId w:val="11"/>
        </w:numPr>
        <w:ind w:left="714" w:hanging="357"/>
        <w:contextualSpacing/>
        <w:rPr>
          <w:noProof w:val="0"/>
          <w:lang w:val="en-AU"/>
        </w:rPr>
      </w:pPr>
      <w:r w:rsidRPr="00397A3E">
        <w:rPr>
          <w:noProof w:val="0"/>
          <w:lang w:val="en-AU"/>
        </w:rPr>
        <w:t>Development of search strings based on the keywords and preparing combinations of strings to create search strategies;</w:t>
      </w:r>
    </w:p>
    <w:p w14:paraId="7D2AE56C" w14:textId="77777777" w:rsidR="007737E3" w:rsidRPr="00397A3E" w:rsidRDefault="00171C91" w:rsidP="00764500">
      <w:pPr>
        <w:pStyle w:val="ListParagraph"/>
        <w:numPr>
          <w:ilvl w:val="0"/>
          <w:numId w:val="11"/>
        </w:numPr>
        <w:ind w:left="714" w:hanging="357"/>
        <w:contextualSpacing/>
        <w:rPr>
          <w:noProof w:val="0"/>
          <w:lang w:val="en-AU"/>
        </w:rPr>
      </w:pPr>
      <w:bookmarkStart w:id="41" w:name="_Hlk64280812"/>
      <w:r w:rsidRPr="00397A3E">
        <w:rPr>
          <w:noProof w:val="0"/>
          <w:lang w:val="en-AU"/>
        </w:rPr>
        <w:t>Using the composed search strategies to search key life-science literature databases (</w:t>
      </w:r>
      <w:bookmarkStart w:id="42" w:name="_Hlk72502479"/>
      <w:r w:rsidRPr="00397A3E">
        <w:rPr>
          <w:noProof w:val="0"/>
          <w:lang w:val="en-AU"/>
        </w:rPr>
        <w:t xml:space="preserve">Scopus, Web of Science, PubMed) </w:t>
      </w:r>
      <w:bookmarkEnd w:id="42"/>
      <w:r w:rsidRPr="00397A3E">
        <w:rPr>
          <w:noProof w:val="0"/>
          <w:lang w:val="en-AU"/>
        </w:rPr>
        <w:t>and the general technical literature database, Google Scholar;</w:t>
      </w:r>
    </w:p>
    <w:p w14:paraId="71B06A79" w14:textId="429FED50" w:rsidR="007737E3" w:rsidRPr="00397A3E" w:rsidRDefault="00171C91" w:rsidP="00764500">
      <w:pPr>
        <w:pStyle w:val="ListParagraph"/>
        <w:numPr>
          <w:ilvl w:val="0"/>
          <w:numId w:val="11"/>
        </w:numPr>
        <w:ind w:left="714" w:hanging="357"/>
        <w:contextualSpacing/>
        <w:rPr>
          <w:noProof w:val="0"/>
          <w:lang w:val="en-AU"/>
        </w:rPr>
      </w:pPr>
      <w:bookmarkStart w:id="43" w:name="_Hlk72502572"/>
      <w:r w:rsidRPr="00397A3E">
        <w:rPr>
          <w:noProof w:val="0"/>
          <w:lang w:val="en-AU"/>
        </w:rPr>
        <w:t xml:space="preserve">In addition to the above literature, a search of grey literature, including existing recreational water quality guidelines and/or reports, was undertaken based on a list provided by the </w:t>
      </w:r>
      <w:r w:rsidR="00E441DE" w:rsidRPr="00397A3E">
        <w:rPr>
          <w:noProof w:val="0"/>
          <w:lang w:val="en-AU"/>
        </w:rPr>
        <w:t xml:space="preserve">Committee </w:t>
      </w:r>
      <w:r w:rsidRPr="00397A3E">
        <w:rPr>
          <w:noProof w:val="0"/>
          <w:lang w:val="en-AU"/>
        </w:rPr>
        <w:t>(Technical Report Appendix 3</w:t>
      </w:r>
      <w:r w:rsidR="00364214">
        <w:rPr>
          <w:noProof w:val="0"/>
          <w:lang w:val="en-AU"/>
        </w:rPr>
        <w:t xml:space="preserve">: </w:t>
      </w:r>
      <w:r w:rsidR="00364214">
        <w:rPr>
          <w:noProof w:val="0"/>
          <w:lang w:val="en-AU"/>
        </w:rPr>
        <w:fldChar w:fldCharType="begin"/>
      </w:r>
      <w:r w:rsidR="00364214">
        <w:rPr>
          <w:noProof w:val="0"/>
          <w:lang w:val="en-AU"/>
        </w:rPr>
        <w:instrText xml:space="preserve"> ADDIN ZOTERO_ITEM CSL_CITATION {"citationID":"0HrrPvAn","properties":{"custom":"O\\uc0\\u8217{}Connor, 2022)","formattedCitation":"O\\uc0\\u8217{}Connor, 2022)","plainCitation":"O’Connor, 2022)","noteIndex":0},"citationItems":[{"id":17799,"uris":["http://zotero.org/users/148142/items/2LMPM2CQ"],"uri":["http://zotero.org/users/148142/items/2LMPM2CQ"],"itemData":{"id":17799,"type":"report","title":"Technical Report for Narrative Reviews in support of NHMRC Recreational Water Quality Guidelines: Microbial Risks. DRAFT. Ecos Environmental Consulting, February 2022","author":[{"family":"O'Connor","given":"N.A."}],"issued":{"date-parts":[["2022",2]]}}}],"schema":"https://github.com/citation-style-language/schema/raw/master/csl-citation.json"} </w:instrText>
      </w:r>
      <w:r w:rsidR="00364214">
        <w:rPr>
          <w:noProof w:val="0"/>
          <w:lang w:val="en-AU"/>
        </w:rPr>
        <w:fldChar w:fldCharType="separate"/>
      </w:r>
      <w:r w:rsidR="00364214" w:rsidRPr="00364214">
        <w:rPr>
          <w:rFonts w:cs="Arial"/>
        </w:rPr>
        <w:t>O’Connor, 2022)</w:t>
      </w:r>
      <w:r w:rsidR="00364214">
        <w:rPr>
          <w:noProof w:val="0"/>
          <w:lang w:val="en-AU"/>
        </w:rPr>
        <w:fldChar w:fldCharType="end"/>
      </w:r>
      <w:r w:rsidRPr="00397A3E">
        <w:rPr>
          <w:noProof w:val="0"/>
          <w:lang w:val="en-AU"/>
        </w:rPr>
        <w:t xml:space="preserve"> plus a search of websites of key international environmental and public health agencies </w:t>
      </w:r>
      <w:r w:rsidR="00302C04">
        <w:rPr>
          <w:noProof w:val="0"/>
          <w:lang w:val="en-AU"/>
        </w:rPr>
        <w:t>such as the World Health Organization (WHO) and the United States Environmental Protection Agency (US EPA).</w:t>
      </w:r>
      <w:r w:rsidRPr="00397A3E">
        <w:rPr>
          <w:noProof w:val="0"/>
          <w:lang w:val="en-AU"/>
        </w:rPr>
        <w:t xml:space="preserve">; </w:t>
      </w:r>
    </w:p>
    <w:bookmarkEnd w:id="43"/>
    <w:p w14:paraId="17F1A91B" w14:textId="77777777" w:rsidR="007737E3" w:rsidRPr="00397A3E" w:rsidRDefault="00171C91" w:rsidP="00764500">
      <w:pPr>
        <w:pStyle w:val="ListParagraph"/>
        <w:numPr>
          <w:ilvl w:val="0"/>
          <w:numId w:val="11"/>
        </w:numPr>
        <w:ind w:left="714" w:hanging="357"/>
        <w:contextualSpacing/>
        <w:rPr>
          <w:noProof w:val="0"/>
          <w:lang w:val="en-AU"/>
        </w:rPr>
      </w:pPr>
      <w:r w:rsidRPr="00397A3E">
        <w:rPr>
          <w:noProof w:val="0"/>
          <w:lang w:val="en-AU"/>
        </w:rPr>
        <w:t xml:space="preserve">Lists of retrieved publications were exported to Microsoft Excel spreadsheets and sorted and filtered based on relevancy and quality, including risk of bias, using methods described in detail in subsequent sections below; and  </w:t>
      </w:r>
    </w:p>
    <w:p w14:paraId="2CF1421B" w14:textId="77777777" w:rsidR="007737E3" w:rsidRPr="00397A3E" w:rsidRDefault="00171C91" w:rsidP="00764500">
      <w:pPr>
        <w:pStyle w:val="ListParagraph"/>
        <w:numPr>
          <w:ilvl w:val="0"/>
          <w:numId w:val="11"/>
        </w:numPr>
        <w:rPr>
          <w:noProof w:val="0"/>
          <w:lang w:val="en-AU"/>
        </w:rPr>
      </w:pPr>
      <w:r w:rsidRPr="00397A3E">
        <w:rPr>
          <w:noProof w:val="0"/>
          <w:lang w:val="en-AU"/>
        </w:rPr>
        <w:t>Shortlisted literature was imported from Excel into a bibliographic software package (Zotero) for management of associated PDF documents and for reporting on the results of the literature search.</w:t>
      </w:r>
    </w:p>
    <w:p w14:paraId="3E81E2B8" w14:textId="42578478" w:rsidR="007737E3" w:rsidRPr="00397A3E" w:rsidRDefault="00171C91" w:rsidP="00764500">
      <w:pPr>
        <w:pStyle w:val="ListParagraph"/>
        <w:numPr>
          <w:ilvl w:val="0"/>
          <w:numId w:val="11"/>
        </w:numPr>
        <w:rPr>
          <w:noProof w:val="0"/>
          <w:lang w:val="en-AU"/>
        </w:rPr>
      </w:pPr>
      <w:r w:rsidRPr="00397A3E">
        <w:rPr>
          <w:noProof w:val="0"/>
          <w:lang w:val="en-AU"/>
        </w:rPr>
        <w:t>The shortlisted literature was subject to further screening during the quality assessment steps.</w:t>
      </w:r>
    </w:p>
    <w:p w14:paraId="7FF7A4D6" w14:textId="77777777" w:rsidR="009425E1" w:rsidRPr="00397A3E" w:rsidRDefault="00171C91" w:rsidP="009425E1">
      <w:pPr>
        <w:pStyle w:val="Heading3"/>
        <w:rPr>
          <w:noProof w:val="0"/>
          <w:color w:val="auto"/>
        </w:rPr>
      </w:pPr>
      <w:bookmarkStart w:id="44" w:name="_Toc89275092"/>
      <w:bookmarkStart w:id="45" w:name="_Toc106964806"/>
      <w:bookmarkStart w:id="46" w:name="_Ref42960069"/>
      <w:bookmarkStart w:id="47" w:name="_Ref43479810"/>
      <w:bookmarkEnd w:id="41"/>
      <w:r w:rsidRPr="00397A3E">
        <w:rPr>
          <w:noProof w:val="0"/>
          <w:color w:val="auto"/>
        </w:rPr>
        <w:t>Inclusion and exclusion criteria</w:t>
      </w:r>
      <w:bookmarkEnd w:id="44"/>
      <w:bookmarkEnd w:id="45"/>
    </w:p>
    <w:p w14:paraId="5A7B9815" w14:textId="77777777" w:rsidR="009425E1" w:rsidRPr="00397A3E" w:rsidRDefault="00171C91" w:rsidP="009425E1">
      <w:pPr>
        <w:rPr>
          <w:noProof w:val="0"/>
        </w:rPr>
      </w:pPr>
      <w:r w:rsidRPr="00397A3E">
        <w:rPr>
          <w:noProof w:val="0"/>
        </w:rPr>
        <w:t>When conducting the literature search exercise, the criteria for literature inclusion or exclusion were:</w:t>
      </w:r>
    </w:p>
    <w:p w14:paraId="52863EA9" w14:textId="77777777" w:rsidR="009425E1" w:rsidRPr="00397A3E" w:rsidRDefault="00171C91" w:rsidP="00764500">
      <w:pPr>
        <w:pStyle w:val="ListParagraph"/>
        <w:numPr>
          <w:ilvl w:val="0"/>
          <w:numId w:val="10"/>
        </w:numPr>
        <w:ind w:left="714" w:hanging="357"/>
        <w:contextualSpacing/>
        <w:rPr>
          <w:noProof w:val="0"/>
          <w:lang w:val="en-AU"/>
        </w:rPr>
      </w:pPr>
      <w:r w:rsidRPr="00397A3E">
        <w:rPr>
          <w:noProof w:val="0"/>
          <w:lang w:val="en-AU"/>
        </w:rPr>
        <w:t>English language studies only were included;</w:t>
      </w:r>
    </w:p>
    <w:p w14:paraId="031EBBDB" w14:textId="77777777" w:rsidR="009425E1" w:rsidRPr="00397A3E" w:rsidRDefault="00171C91" w:rsidP="00764500">
      <w:pPr>
        <w:pStyle w:val="ListParagraph"/>
        <w:numPr>
          <w:ilvl w:val="0"/>
          <w:numId w:val="10"/>
        </w:numPr>
        <w:ind w:left="714" w:hanging="357"/>
        <w:contextualSpacing/>
        <w:rPr>
          <w:noProof w:val="0"/>
          <w:lang w:val="en-AU"/>
        </w:rPr>
      </w:pPr>
      <w:r w:rsidRPr="00397A3E">
        <w:rPr>
          <w:noProof w:val="0"/>
          <w:lang w:val="en-AU"/>
        </w:rPr>
        <w:t>Human health outcomes only were included</w:t>
      </w:r>
    </w:p>
    <w:p w14:paraId="4D196799" w14:textId="06F82405" w:rsidR="009425E1" w:rsidRPr="00397A3E" w:rsidRDefault="00171C91" w:rsidP="00764500">
      <w:pPr>
        <w:pStyle w:val="ListParagraph"/>
        <w:numPr>
          <w:ilvl w:val="0"/>
          <w:numId w:val="10"/>
        </w:numPr>
        <w:ind w:left="714" w:hanging="357"/>
        <w:contextualSpacing/>
        <w:rPr>
          <w:noProof w:val="0"/>
          <w:lang w:val="en-AU"/>
        </w:rPr>
      </w:pPr>
      <w:bookmarkStart w:id="48" w:name="_Hlk72503112"/>
      <w:r w:rsidRPr="00397A3E">
        <w:rPr>
          <w:noProof w:val="0"/>
          <w:lang w:val="en-AU"/>
        </w:rPr>
        <w:t xml:space="preserve">Publication date-range for inclusion was from 2003 onwards.  As noted earlier the date range for review was extended back to 2003 which is 5 years prior to the publication of the 2008 NHMRC Guidelines.  </w:t>
      </w:r>
      <w:bookmarkEnd w:id="48"/>
      <w:r w:rsidRPr="00397A3E">
        <w:rPr>
          <w:noProof w:val="0"/>
          <w:lang w:val="en-AU"/>
        </w:rPr>
        <w:t>Extending the date range back earlier was done to assist in locating any documents that may have been overlooked or have become recognised as being of greater importance since that time or missed the cut-off period during the preparation of the guidelines;</w:t>
      </w:r>
    </w:p>
    <w:p w14:paraId="62A82469" w14:textId="019096F1" w:rsidR="009425E1" w:rsidRPr="00397A3E" w:rsidRDefault="00171C91" w:rsidP="00764500">
      <w:pPr>
        <w:pStyle w:val="ListParagraph"/>
        <w:numPr>
          <w:ilvl w:val="0"/>
          <w:numId w:val="10"/>
        </w:numPr>
        <w:ind w:left="714" w:hanging="357"/>
        <w:contextualSpacing/>
        <w:rPr>
          <w:noProof w:val="0"/>
          <w:lang w:val="en-AU"/>
        </w:rPr>
      </w:pPr>
      <w:r w:rsidRPr="00397A3E">
        <w:rPr>
          <w:noProof w:val="0"/>
          <w:lang w:val="en-AU"/>
        </w:rPr>
        <w:t>Peer reviewed publications only were considered, except for certain grey literature reports and guidelines from reputable international and national agencies (e.g., WHO, US EPA, State and Commonwealth Departments of Health, State EPAs, etc.).  It is likely that such documents have undergone a peer-review process, however the process is not always clearly documented;</w:t>
      </w:r>
    </w:p>
    <w:p w14:paraId="6789BA17" w14:textId="39BC0F1A" w:rsidR="009425E1" w:rsidRPr="00397A3E" w:rsidRDefault="00171C91" w:rsidP="00764500">
      <w:pPr>
        <w:pStyle w:val="ListParagraph"/>
        <w:numPr>
          <w:ilvl w:val="0"/>
          <w:numId w:val="10"/>
        </w:numPr>
        <w:ind w:left="714" w:hanging="357"/>
        <w:contextualSpacing/>
        <w:rPr>
          <w:noProof w:val="0"/>
          <w:lang w:val="en-AU"/>
        </w:rPr>
      </w:pPr>
      <w:r w:rsidRPr="00397A3E">
        <w:rPr>
          <w:noProof w:val="0"/>
          <w:lang w:val="en-AU"/>
        </w:rPr>
        <w:t xml:space="preserve">Relevancy –studies </w:t>
      </w:r>
      <w:r w:rsidR="0021665E">
        <w:rPr>
          <w:noProof w:val="0"/>
          <w:lang w:val="en-AU"/>
        </w:rPr>
        <w:t xml:space="preserve">that were not relevant to the Guideline or review scope </w:t>
      </w:r>
      <w:r w:rsidRPr="00397A3E">
        <w:rPr>
          <w:noProof w:val="0"/>
          <w:lang w:val="en-AU"/>
        </w:rPr>
        <w:t>were excluded, e.g., studies on dental hygiene.</w:t>
      </w:r>
    </w:p>
    <w:p w14:paraId="29B4FE6A" w14:textId="004AEC93" w:rsidR="009425E1" w:rsidRPr="00397A3E" w:rsidRDefault="00171C91" w:rsidP="00764500">
      <w:pPr>
        <w:pStyle w:val="ListParagraph"/>
        <w:numPr>
          <w:ilvl w:val="0"/>
          <w:numId w:val="10"/>
        </w:numPr>
        <w:ind w:left="714" w:hanging="357"/>
        <w:contextualSpacing/>
        <w:rPr>
          <w:noProof w:val="0"/>
          <w:lang w:val="en-AU"/>
        </w:rPr>
      </w:pPr>
      <w:r w:rsidRPr="00397A3E">
        <w:rPr>
          <w:noProof w:val="0"/>
          <w:lang w:val="en-AU"/>
        </w:rPr>
        <w:t>The study location was a developed country (excluding external territories) that was listed as a member of the OECD on the OECD website: (http:// http://www.oecd.org/about/members-and-partners/).</w:t>
      </w:r>
    </w:p>
    <w:p w14:paraId="1F90FE3A" w14:textId="04B6EFC9" w:rsidR="009425E1" w:rsidRPr="00397A3E" w:rsidRDefault="00171C91" w:rsidP="009425E1">
      <w:pPr>
        <w:contextualSpacing/>
        <w:rPr>
          <w:noProof w:val="0"/>
        </w:rPr>
      </w:pPr>
      <w:r w:rsidRPr="00397A3E">
        <w:rPr>
          <w:noProof w:val="0"/>
        </w:rPr>
        <w:t xml:space="preserve">However, since initial search results yielded a very large selection of potentially relevant studies, the </w:t>
      </w:r>
      <w:r w:rsidR="00E441DE" w:rsidRPr="00397A3E">
        <w:rPr>
          <w:noProof w:val="0"/>
        </w:rPr>
        <w:t xml:space="preserve">Committee </w:t>
      </w:r>
      <w:r w:rsidRPr="00397A3E">
        <w:rPr>
          <w:noProof w:val="0"/>
        </w:rPr>
        <w:t>approved some changes to the research protocol in the relation to the primary research question (</w:t>
      </w:r>
      <w:r w:rsidRPr="00397A3E">
        <w:rPr>
          <w:noProof w:val="0"/>
        </w:rPr>
        <w:fldChar w:fldCharType="begin"/>
      </w:r>
      <w:r w:rsidRPr="00397A3E">
        <w:rPr>
          <w:noProof w:val="0"/>
        </w:rPr>
        <w:instrText xml:space="preserve"> REF _Ref88231995 \h </w:instrText>
      </w:r>
      <w:r w:rsidRPr="00397A3E">
        <w:rPr>
          <w:noProof w:val="0"/>
        </w:rPr>
      </w:r>
      <w:r w:rsidRPr="00397A3E">
        <w:rPr>
          <w:noProof w:val="0"/>
        </w:rPr>
        <w:fldChar w:fldCharType="separate"/>
      </w:r>
      <w:r w:rsidR="001A0E9F" w:rsidRPr="00397A3E">
        <w:rPr>
          <w:noProof w:val="0"/>
        </w:rPr>
        <w:t xml:space="preserve">Table </w:t>
      </w:r>
      <w:r w:rsidR="001A0E9F">
        <w:t>2</w:t>
      </w:r>
      <w:r w:rsidR="001A0E9F">
        <w:rPr>
          <w:noProof w:val="0"/>
        </w:rPr>
        <w:noBreakHyphen/>
      </w:r>
      <w:r w:rsidR="001A0E9F">
        <w:t>2</w:t>
      </w:r>
      <w:r w:rsidRPr="00397A3E">
        <w:rPr>
          <w:noProof w:val="0"/>
        </w:rPr>
        <w:fldChar w:fldCharType="end"/>
      </w:r>
      <w:r w:rsidRPr="00397A3E">
        <w:rPr>
          <w:noProof w:val="0"/>
        </w:rPr>
        <w:t>) to reduce the large volume of literature required for review.</w:t>
      </w:r>
    </w:p>
    <w:p w14:paraId="1875C91F" w14:textId="1EC2AB4A" w:rsidR="009425E1" w:rsidRPr="00397A3E" w:rsidRDefault="00171C91" w:rsidP="009425E1">
      <w:pPr>
        <w:pStyle w:val="Caption"/>
        <w:rPr>
          <w:noProof w:val="0"/>
          <w:color w:val="365F91" w:themeColor="accent1" w:themeShade="BF"/>
        </w:rPr>
      </w:pPr>
      <w:bookmarkStart w:id="49" w:name="_Ref88231995"/>
      <w:bookmarkStart w:id="50" w:name="_Toc89333436"/>
      <w:bookmarkStart w:id="51" w:name="_Toc106964854"/>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2</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2</w:t>
      </w:r>
      <w:r w:rsidR="00F178D7">
        <w:rPr>
          <w:noProof w:val="0"/>
        </w:rPr>
        <w:fldChar w:fldCharType="end"/>
      </w:r>
      <w:bookmarkEnd w:id="49"/>
      <w:r w:rsidRPr="00397A3E">
        <w:rPr>
          <w:noProof w:val="0"/>
        </w:rPr>
        <w:t>. Changes to the microbial risks research protocol to reduce the review workload.</w:t>
      </w:r>
      <w:bookmarkEnd w:id="50"/>
      <w:bookmarkEnd w:id="51"/>
    </w:p>
    <w:tbl>
      <w:tblPr>
        <w:tblStyle w:val="EcosleftTableStyle"/>
        <w:tblW w:w="0" w:type="auto"/>
        <w:tblLook w:val="04A0" w:firstRow="1" w:lastRow="0" w:firstColumn="1" w:lastColumn="0" w:noHBand="0" w:noVBand="1"/>
      </w:tblPr>
      <w:tblGrid>
        <w:gridCol w:w="1829"/>
        <w:gridCol w:w="2844"/>
        <w:gridCol w:w="2970"/>
      </w:tblGrid>
      <w:tr w:rsidR="00785848" w14:paraId="37DCFD6B" w14:textId="77777777" w:rsidTr="007858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29" w:type="dxa"/>
            <w:hideMark/>
          </w:tcPr>
          <w:p w14:paraId="79B159C3" w14:textId="77777777" w:rsidR="009425E1" w:rsidRPr="00397A3E" w:rsidRDefault="00171C91" w:rsidP="0075369B">
            <w:pPr>
              <w:spacing w:line="240" w:lineRule="auto"/>
              <w:rPr>
                <w:rFonts w:ascii="Calibri" w:hAnsi="Calibri" w:cs="Calibri"/>
                <w:noProof w:val="0"/>
                <w:szCs w:val="16"/>
              </w:rPr>
            </w:pPr>
            <w:r w:rsidRPr="00397A3E">
              <w:rPr>
                <w:rFonts w:ascii="Calibri" w:hAnsi="Calibri" w:cs="Calibri"/>
                <w:bCs/>
                <w:noProof w:val="0"/>
                <w:szCs w:val="16"/>
              </w:rPr>
              <w:t>Initial research protocol</w:t>
            </w:r>
          </w:p>
        </w:tc>
        <w:tc>
          <w:tcPr>
            <w:tcW w:w="2844" w:type="dxa"/>
            <w:hideMark/>
          </w:tcPr>
          <w:p w14:paraId="23CD9430" w14:textId="77777777" w:rsidR="009425E1" w:rsidRPr="00397A3E" w:rsidRDefault="00171C91" w:rsidP="0075369B">
            <w:pPr>
              <w:spacing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noProof w:val="0"/>
                <w:szCs w:val="16"/>
              </w:rPr>
            </w:pPr>
            <w:r w:rsidRPr="00397A3E">
              <w:rPr>
                <w:rFonts w:ascii="Calibri" w:hAnsi="Calibri" w:cs="Calibri"/>
                <w:bCs/>
                <w:noProof w:val="0"/>
                <w:szCs w:val="16"/>
              </w:rPr>
              <w:t>Changes</w:t>
            </w:r>
          </w:p>
        </w:tc>
        <w:tc>
          <w:tcPr>
            <w:tcW w:w="2970" w:type="dxa"/>
            <w:hideMark/>
          </w:tcPr>
          <w:p w14:paraId="20BAC324" w14:textId="788A9B4B" w:rsidR="009425E1" w:rsidRPr="00397A3E" w:rsidRDefault="00171C91" w:rsidP="0075369B">
            <w:pPr>
              <w:spacing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noProof w:val="0"/>
                <w:szCs w:val="16"/>
              </w:rPr>
            </w:pPr>
            <w:r w:rsidRPr="00397A3E">
              <w:rPr>
                <w:rFonts w:ascii="Calibri" w:hAnsi="Calibri" w:cs="Calibri"/>
                <w:bCs/>
                <w:noProof w:val="0"/>
                <w:szCs w:val="16"/>
              </w:rPr>
              <w:t>NHMRC specifications</w:t>
            </w:r>
          </w:p>
        </w:tc>
      </w:tr>
      <w:tr w:rsidR="00785848" w14:paraId="603E0FDA" w14:textId="77777777" w:rsidTr="00785848">
        <w:tc>
          <w:tcPr>
            <w:cnfStyle w:val="001000000000" w:firstRow="0" w:lastRow="0" w:firstColumn="1" w:lastColumn="0" w:oddVBand="0" w:evenVBand="0" w:oddHBand="0" w:evenHBand="0" w:firstRowFirstColumn="0" w:firstRowLastColumn="0" w:lastRowFirstColumn="0" w:lastRowLastColumn="0"/>
            <w:tcW w:w="1829" w:type="dxa"/>
            <w:hideMark/>
          </w:tcPr>
          <w:p w14:paraId="33F2B455" w14:textId="77777777" w:rsidR="009425E1" w:rsidRPr="00397A3E" w:rsidRDefault="00171C91" w:rsidP="0075369B">
            <w:pPr>
              <w:spacing w:before="0" w:after="0" w:line="240" w:lineRule="auto"/>
              <w:rPr>
                <w:rFonts w:ascii="Calibri" w:hAnsi="Calibri" w:cs="Calibri"/>
                <w:noProof w:val="0"/>
                <w:szCs w:val="16"/>
              </w:rPr>
            </w:pPr>
            <w:r w:rsidRPr="00397A3E">
              <w:rPr>
                <w:rFonts w:ascii="Calibri" w:hAnsi="Calibri" w:cs="Calibri"/>
                <w:i/>
                <w:iCs/>
                <w:noProof w:val="0"/>
                <w:szCs w:val="16"/>
              </w:rPr>
              <w:t>Method:</w:t>
            </w:r>
          </w:p>
          <w:p w14:paraId="00FCFF25" w14:textId="77777777" w:rsidR="009425E1" w:rsidRPr="00397A3E" w:rsidRDefault="00171C91" w:rsidP="0075369B">
            <w:pPr>
              <w:spacing w:before="0" w:after="0" w:line="240" w:lineRule="auto"/>
              <w:rPr>
                <w:rFonts w:ascii="Calibri" w:hAnsi="Calibri" w:cs="Calibri"/>
                <w:noProof w:val="0"/>
                <w:szCs w:val="16"/>
              </w:rPr>
            </w:pPr>
            <w:r w:rsidRPr="00397A3E">
              <w:rPr>
                <w:rFonts w:ascii="Calibri" w:hAnsi="Calibri" w:cs="Calibri"/>
                <w:noProof w:val="0"/>
                <w:szCs w:val="16"/>
              </w:rPr>
              <w:t xml:space="preserve">Review relevant primary studies to answer the primary research question. </w:t>
            </w:r>
          </w:p>
          <w:p w14:paraId="04D4CEE4" w14:textId="77777777" w:rsidR="009425E1" w:rsidRPr="00397A3E" w:rsidRDefault="00171C91" w:rsidP="0075369B">
            <w:pPr>
              <w:spacing w:before="0" w:after="0" w:line="240" w:lineRule="auto"/>
              <w:rPr>
                <w:rFonts w:ascii="Calibri" w:hAnsi="Calibri" w:cs="Calibri"/>
                <w:noProof w:val="0"/>
                <w:szCs w:val="16"/>
              </w:rPr>
            </w:pPr>
            <w:r w:rsidRPr="00397A3E">
              <w:rPr>
                <w:rFonts w:ascii="Calibri" w:hAnsi="Calibri" w:cs="Calibri"/>
                <w:noProof w:val="0"/>
                <w:szCs w:val="16"/>
              </w:rPr>
              <w:t> </w:t>
            </w:r>
          </w:p>
          <w:p w14:paraId="7311A6E4" w14:textId="77777777" w:rsidR="009425E1" w:rsidRPr="00397A3E" w:rsidRDefault="00171C91" w:rsidP="0075369B">
            <w:pPr>
              <w:spacing w:before="0" w:after="0" w:line="240" w:lineRule="auto"/>
              <w:rPr>
                <w:rFonts w:ascii="Calibri" w:hAnsi="Calibri" w:cs="Calibri"/>
                <w:noProof w:val="0"/>
                <w:szCs w:val="16"/>
              </w:rPr>
            </w:pPr>
            <w:r w:rsidRPr="00397A3E">
              <w:rPr>
                <w:rFonts w:ascii="Calibri" w:hAnsi="Calibri" w:cs="Calibri"/>
                <w:i/>
                <w:iCs/>
                <w:noProof w:val="0"/>
                <w:szCs w:val="16"/>
              </w:rPr>
              <w:t>Literature search period</w:t>
            </w:r>
            <w:r w:rsidRPr="00397A3E">
              <w:rPr>
                <w:rFonts w:ascii="Calibri" w:hAnsi="Calibri" w:cs="Calibri"/>
                <w:noProof w:val="0"/>
                <w:szCs w:val="16"/>
              </w:rPr>
              <w:t>:</w:t>
            </w:r>
          </w:p>
          <w:p w14:paraId="073C68A8" w14:textId="77777777" w:rsidR="009425E1" w:rsidRPr="00397A3E" w:rsidRDefault="00171C91" w:rsidP="0075369B">
            <w:pPr>
              <w:spacing w:before="0" w:after="0" w:line="240" w:lineRule="auto"/>
              <w:rPr>
                <w:rFonts w:ascii="Calibri" w:hAnsi="Calibri" w:cs="Calibri"/>
                <w:noProof w:val="0"/>
                <w:szCs w:val="16"/>
              </w:rPr>
            </w:pPr>
            <w:r w:rsidRPr="00397A3E">
              <w:rPr>
                <w:rFonts w:ascii="Calibri" w:hAnsi="Calibri" w:cs="Calibri"/>
                <w:noProof w:val="0"/>
                <w:szCs w:val="16"/>
              </w:rPr>
              <w:t>Include all relevant primary studies (Australian and international) from 2003 onwards that meet inclusion criteria.</w:t>
            </w:r>
          </w:p>
          <w:p w14:paraId="3387B7F1" w14:textId="77777777" w:rsidR="009425E1" w:rsidRPr="00397A3E" w:rsidRDefault="00171C91" w:rsidP="0075369B">
            <w:pPr>
              <w:spacing w:before="0" w:after="0" w:line="240" w:lineRule="auto"/>
              <w:rPr>
                <w:rFonts w:ascii="Calibri" w:hAnsi="Calibri" w:cs="Calibri"/>
                <w:noProof w:val="0"/>
                <w:szCs w:val="16"/>
              </w:rPr>
            </w:pPr>
            <w:r w:rsidRPr="00397A3E">
              <w:rPr>
                <w:rFonts w:ascii="Calibri" w:hAnsi="Calibri" w:cs="Calibri"/>
                <w:noProof w:val="0"/>
                <w:szCs w:val="16"/>
              </w:rPr>
              <w:t> </w:t>
            </w:r>
          </w:p>
        </w:tc>
        <w:tc>
          <w:tcPr>
            <w:tcW w:w="2844" w:type="dxa"/>
            <w:hideMark/>
          </w:tcPr>
          <w:p w14:paraId="78A87A41" w14:textId="77777777" w:rsidR="009425E1" w:rsidRPr="00397A3E" w:rsidRDefault="00171C91" w:rsidP="0075369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noProof w:val="0"/>
                <w:szCs w:val="16"/>
              </w:rPr>
            </w:pPr>
            <w:r w:rsidRPr="00397A3E">
              <w:rPr>
                <w:rFonts w:ascii="Calibri" w:hAnsi="Calibri" w:cs="Calibri"/>
                <w:noProof w:val="0"/>
                <w:szCs w:val="16"/>
              </w:rPr>
              <w:t>The method was modified to allow for reviews to be used instead of primary studies over certain time periods. Literature search periods were amended accordingly to reflect the time coverage of the reviews. This reduced the number of primary studies to be assessed.</w:t>
            </w:r>
          </w:p>
          <w:p w14:paraId="72670A6B" w14:textId="77777777" w:rsidR="009425E1" w:rsidRPr="00397A3E" w:rsidRDefault="00171C91" w:rsidP="0075369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noProof w:val="0"/>
                <w:szCs w:val="16"/>
              </w:rPr>
            </w:pPr>
            <w:r w:rsidRPr="00397A3E">
              <w:rPr>
                <w:rFonts w:ascii="Calibri" w:hAnsi="Calibri" w:cs="Calibri"/>
                <w:i/>
                <w:iCs/>
                <w:noProof w:val="0"/>
                <w:szCs w:val="16"/>
              </w:rPr>
              <w:t> </w:t>
            </w:r>
          </w:p>
          <w:p w14:paraId="76079FFB" w14:textId="77777777" w:rsidR="009425E1" w:rsidRPr="00397A3E" w:rsidRDefault="00171C91" w:rsidP="0075369B">
            <w:pPr>
              <w:keepNext/>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noProof w:val="0"/>
                <w:szCs w:val="16"/>
              </w:rPr>
            </w:pPr>
            <w:r w:rsidRPr="00397A3E">
              <w:rPr>
                <w:rFonts w:ascii="Calibri" w:hAnsi="Calibri" w:cs="Calibri"/>
                <w:i/>
                <w:iCs/>
                <w:noProof w:val="0"/>
                <w:szCs w:val="16"/>
              </w:rPr>
              <w:t>International data:</w:t>
            </w:r>
          </w:p>
          <w:p w14:paraId="1D915CCB" w14:textId="4C9469F5" w:rsidR="009425E1" w:rsidRPr="00397A3E" w:rsidRDefault="00171C91" w:rsidP="0075369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noProof w:val="0"/>
                <w:szCs w:val="16"/>
              </w:rPr>
            </w:pPr>
            <w:r w:rsidRPr="00397A3E">
              <w:rPr>
                <w:rFonts w:ascii="Calibri" w:hAnsi="Calibri" w:cs="Calibri"/>
                <w:noProof w:val="0"/>
                <w:szCs w:val="16"/>
              </w:rPr>
              <w:t xml:space="preserve">Use three reviews </w:t>
            </w:r>
            <w:r w:rsidR="00352BBB">
              <w:rPr>
                <w:rFonts w:ascii="Calibri" w:hAnsi="Calibri" w:cs="Calibri"/>
                <w:noProof w:val="0"/>
                <w:szCs w:val="16"/>
              </w:rPr>
              <w:fldChar w:fldCharType="begin"/>
            </w:r>
            <w:r w:rsidR="00352BBB">
              <w:rPr>
                <w:rFonts w:ascii="Calibri" w:hAnsi="Calibri" w:cs="Calibri"/>
                <w:noProof w:val="0"/>
                <w:szCs w:val="16"/>
              </w:rPr>
              <w:instrText xml:space="preserve"> ADDIN ZOTERO_ITEM CSL_CITATION {"citationID":"tNwUXF2N","properties":{"formattedCitation":"(King, Exley, et al., 2014; US EPA, 2017; WHO, 2018)","plainCitation":"(King, Exley, et al., 2014; US EPA, 2017; WHO, 2018)","noteIndex":0},"citationItems":[{"id":15773,"uris":["http://zotero.org/users/148142/items/LATIBYWS"],"uri":["http://zotero.org/users/148142/items/LATIBYWS"],"itemData":{"id":15773,"type":"report","event-place":"United Kingdom","publisher":"Department of Environment, Food and Rural Affairs (DEFRA)","publisher-place":"United Kingdom","title":"The health risks of bathing in recreational waters. A rapid evidence assessment of water quality and gastrointestinal illness. Final report WT1530. A report of research carried out by RAND Europe, on behalf of the UK Department for Environment, Farming and Rural Affairs (DEFRA)","URL":"https://www.rand.org/content/dam/rand/pubs/research_reports/RR600/RR698/RAND_RR698.pdf","author":[{"family":"King","given":"Sarah"},{"family":"Exley","given":"Josephine"},{"family":"Winpenny","given":"Eleanor"},{"family":"Alves","given":"Lottie"},{"family":"Henham","given":"Marie-Louise"},{"family":"Larkin","given":"Jody"}],"issued":{"date-parts":[["2014"]]}},"label":"page"},{"id":15763,"uris":["http://zotero.org/users/148142/items/BR87QUJ3"],"uri":["http://zotero.org/users/148142/items/BR87QUJ3"],"itemData":{"id":15763,"type":"report","event-place":"Washington, DC, United States","number":"Office of Water 823-R-18-001","publisher":"US Environmental Protection Agency, Office of Water, Office of Science and Technology","publisher-place":"Washington, DC, United States","title":"2017 Five-Year Review of the 2012 Recreational Water Quality Criteria","URL":"https://www.epa.gov/sites/production/files/2018-05/documents/2017-5year-review-rwqc.pdf","author":[{"literal":"US EPA"}],"issued":{"date-parts":[["2017"]]}},"label":"page"},{"id":16342,"uris":["http://zotero.org/users/148142/items/FAQ5QAH6"],"uri":["http://zotero.org/users/148142/items/FAQ5QAH6"],"itemData":{"id":16342,"type":"report","publisher":"World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label":"page"}],"schema":"https://github.com/citation-style-language/schema/raw/master/csl-citation.json"} </w:instrText>
            </w:r>
            <w:r w:rsidR="00352BBB">
              <w:rPr>
                <w:rFonts w:ascii="Calibri" w:hAnsi="Calibri" w:cs="Calibri"/>
                <w:noProof w:val="0"/>
                <w:szCs w:val="16"/>
              </w:rPr>
              <w:fldChar w:fldCharType="separate"/>
            </w:r>
            <w:r w:rsidR="00352BBB" w:rsidRPr="00352BBB">
              <w:rPr>
                <w:rFonts w:ascii="Calibri" w:hAnsi="Calibri" w:cs="Calibri"/>
              </w:rPr>
              <w:t>(King, Exley, et al., 2014; US EPA, 2017; WHO, 2018)</w:t>
            </w:r>
            <w:r w:rsidR="00352BBB">
              <w:rPr>
                <w:rFonts w:ascii="Calibri" w:hAnsi="Calibri" w:cs="Calibri"/>
                <w:noProof w:val="0"/>
                <w:szCs w:val="16"/>
              </w:rPr>
              <w:fldChar w:fldCharType="end"/>
            </w:r>
            <w:r w:rsidR="00352BBB">
              <w:rPr>
                <w:rFonts w:ascii="Calibri" w:hAnsi="Calibri" w:cs="Calibri"/>
                <w:noProof w:val="0"/>
                <w:szCs w:val="16"/>
              </w:rPr>
              <w:t xml:space="preserve"> </w:t>
            </w:r>
            <w:r w:rsidRPr="00397A3E">
              <w:rPr>
                <w:rFonts w:ascii="Calibri" w:hAnsi="Calibri" w:cs="Calibri"/>
                <w:noProof w:val="0"/>
                <w:szCs w:val="16"/>
              </w:rPr>
              <w:t>to cover the period up to 1 Jan 2017.</w:t>
            </w:r>
          </w:p>
          <w:p w14:paraId="6CA18DEB" w14:textId="77777777" w:rsidR="009425E1" w:rsidRPr="00397A3E" w:rsidRDefault="00171C91" w:rsidP="0075369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noProof w:val="0"/>
                <w:szCs w:val="16"/>
              </w:rPr>
            </w:pPr>
            <w:r w:rsidRPr="00397A3E">
              <w:rPr>
                <w:rFonts w:ascii="Calibri" w:hAnsi="Calibri" w:cs="Calibri"/>
                <w:noProof w:val="0"/>
                <w:szCs w:val="16"/>
              </w:rPr>
              <w:t> </w:t>
            </w:r>
          </w:p>
          <w:p w14:paraId="0CCE56BA" w14:textId="77777777" w:rsidR="009425E1" w:rsidRPr="00397A3E" w:rsidRDefault="00171C91" w:rsidP="0075369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noProof w:val="0"/>
                <w:szCs w:val="16"/>
              </w:rPr>
            </w:pPr>
            <w:r w:rsidRPr="00397A3E">
              <w:rPr>
                <w:rFonts w:ascii="Calibri" w:hAnsi="Calibri" w:cs="Calibri"/>
                <w:noProof w:val="0"/>
                <w:szCs w:val="16"/>
              </w:rPr>
              <w:t>Use primary studies from the literature search from 1 Jan 2017 to 30 Nov 2020.</w:t>
            </w:r>
          </w:p>
          <w:p w14:paraId="62E1D5D7" w14:textId="77777777" w:rsidR="009425E1" w:rsidRPr="00397A3E" w:rsidRDefault="00171C91" w:rsidP="0075369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noProof w:val="0"/>
                <w:szCs w:val="16"/>
              </w:rPr>
            </w:pPr>
            <w:r w:rsidRPr="00397A3E">
              <w:rPr>
                <w:rFonts w:ascii="Calibri" w:hAnsi="Calibri" w:cs="Calibri"/>
                <w:i/>
                <w:iCs/>
                <w:noProof w:val="0"/>
                <w:szCs w:val="16"/>
              </w:rPr>
              <w:t> </w:t>
            </w:r>
          </w:p>
          <w:p w14:paraId="0CD582C2" w14:textId="77777777" w:rsidR="009425E1" w:rsidRPr="00397A3E" w:rsidRDefault="00171C91" w:rsidP="0075369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noProof w:val="0"/>
                <w:szCs w:val="16"/>
              </w:rPr>
            </w:pPr>
            <w:r w:rsidRPr="00397A3E">
              <w:rPr>
                <w:rFonts w:ascii="Calibri" w:hAnsi="Calibri" w:cs="Calibri"/>
                <w:i/>
                <w:iCs/>
                <w:noProof w:val="0"/>
                <w:szCs w:val="16"/>
              </w:rPr>
              <w:t>Australian data:</w:t>
            </w:r>
          </w:p>
          <w:p w14:paraId="7606044C" w14:textId="77777777" w:rsidR="009425E1" w:rsidRPr="00397A3E" w:rsidRDefault="00171C91" w:rsidP="0075369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noProof w:val="0"/>
                <w:szCs w:val="16"/>
              </w:rPr>
            </w:pPr>
            <w:r w:rsidRPr="00397A3E">
              <w:rPr>
                <w:rFonts w:ascii="Calibri" w:hAnsi="Calibri" w:cs="Calibri"/>
                <w:noProof w:val="0"/>
                <w:szCs w:val="16"/>
              </w:rPr>
              <w:t>Include all primary studies/reports found from 1 Jan 2003 to 30 Nov 2020</w:t>
            </w:r>
          </w:p>
        </w:tc>
        <w:tc>
          <w:tcPr>
            <w:tcW w:w="2970" w:type="dxa"/>
            <w:hideMark/>
          </w:tcPr>
          <w:p w14:paraId="5FDFBDCF" w14:textId="699B1789" w:rsidR="009425E1" w:rsidRPr="00397A3E" w:rsidRDefault="00171C91" w:rsidP="0075369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noProof w:val="0"/>
                <w:szCs w:val="16"/>
              </w:rPr>
            </w:pPr>
            <w:r w:rsidRPr="00397A3E">
              <w:rPr>
                <w:rFonts w:ascii="Calibri" w:hAnsi="Calibri" w:cs="Calibri"/>
                <w:noProof w:val="0"/>
                <w:szCs w:val="16"/>
              </w:rPr>
              <w:t>The selected reviews were appraised using the appropriate screening criteria outlined in this section (</w:t>
            </w:r>
            <w:r w:rsidRPr="00397A3E">
              <w:rPr>
                <w:rFonts w:ascii="Calibri" w:hAnsi="Calibri" w:cs="Calibri"/>
                <w:noProof w:val="0"/>
                <w:szCs w:val="16"/>
              </w:rPr>
              <w:fldChar w:fldCharType="begin"/>
            </w:r>
            <w:r w:rsidRPr="00397A3E">
              <w:rPr>
                <w:rFonts w:ascii="Calibri" w:hAnsi="Calibri" w:cs="Calibri"/>
                <w:noProof w:val="0"/>
                <w:szCs w:val="16"/>
              </w:rPr>
              <w:instrText xml:space="preserve"> REF _Ref64282671 \r \h  \* MERGEFORMAT </w:instrText>
            </w:r>
            <w:r w:rsidRPr="00397A3E">
              <w:rPr>
                <w:rFonts w:ascii="Calibri" w:hAnsi="Calibri" w:cs="Calibri"/>
                <w:noProof w:val="0"/>
                <w:szCs w:val="16"/>
              </w:rPr>
            </w:r>
            <w:r w:rsidRPr="00397A3E">
              <w:rPr>
                <w:rFonts w:ascii="Calibri" w:hAnsi="Calibri" w:cs="Calibri"/>
                <w:noProof w:val="0"/>
                <w:szCs w:val="16"/>
              </w:rPr>
              <w:fldChar w:fldCharType="separate"/>
            </w:r>
            <w:r w:rsidR="001A0E9F">
              <w:rPr>
                <w:rFonts w:ascii="Calibri" w:hAnsi="Calibri" w:cs="Calibri"/>
                <w:noProof w:val="0"/>
                <w:szCs w:val="16"/>
              </w:rPr>
              <w:t>2.4</w:t>
            </w:r>
            <w:r w:rsidRPr="00397A3E">
              <w:rPr>
                <w:rFonts w:ascii="Calibri" w:hAnsi="Calibri" w:cs="Calibri"/>
                <w:noProof w:val="0"/>
                <w:szCs w:val="16"/>
              </w:rPr>
              <w:fldChar w:fldCharType="end"/>
            </w:r>
            <w:r w:rsidRPr="00397A3E">
              <w:rPr>
                <w:rFonts w:ascii="Calibri" w:hAnsi="Calibri" w:cs="Calibri"/>
                <w:noProof w:val="0"/>
                <w:szCs w:val="16"/>
              </w:rPr>
              <w:t>). This includes assessing relevance for the Australian context and scope of our guidelines and the quality of the review process itself.</w:t>
            </w:r>
          </w:p>
          <w:p w14:paraId="2581A51D" w14:textId="77777777" w:rsidR="009425E1" w:rsidRPr="00397A3E" w:rsidRDefault="00171C91" w:rsidP="0075369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noProof w:val="0"/>
                <w:szCs w:val="16"/>
              </w:rPr>
            </w:pPr>
            <w:r w:rsidRPr="00397A3E">
              <w:rPr>
                <w:rFonts w:ascii="Calibri" w:hAnsi="Calibri" w:cs="Calibri"/>
                <w:noProof w:val="0"/>
                <w:szCs w:val="16"/>
              </w:rPr>
              <w:t> </w:t>
            </w:r>
          </w:p>
          <w:p w14:paraId="79A8071F" w14:textId="77777777" w:rsidR="009425E1" w:rsidRPr="00397A3E" w:rsidRDefault="00171C91" w:rsidP="0075369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noProof w:val="0"/>
                <w:szCs w:val="16"/>
              </w:rPr>
            </w:pPr>
            <w:r w:rsidRPr="00397A3E">
              <w:rPr>
                <w:rFonts w:ascii="Calibri" w:hAnsi="Calibri" w:cs="Calibri"/>
                <w:noProof w:val="0"/>
                <w:szCs w:val="16"/>
              </w:rPr>
              <w:t>The reviews were cross-checked against the results of the literature search to ensure that they cover the period 2003-2017. Any relevant primary studies/reports from this period not listed in the reviews was also screened for eligibility.</w:t>
            </w:r>
            <w:r w:rsidRPr="00397A3E">
              <w:rPr>
                <w:rFonts w:ascii="Calibri" w:hAnsi="Calibri" w:cs="Calibri"/>
                <w:noProof w:val="0"/>
                <w:szCs w:val="16"/>
                <w:shd w:val="clear" w:color="auto" w:fill="FFFF99"/>
              </w:rPr>
              <w:t xml:space="preserve"> </w:t>
            </w:r>
          </w:p>
          <w:p w14:paraId="3E263C4E" w14:textId="77777777" w:rsidR="009425E1" w:rsidRPr="00397A3E" w:rsidRDefault="00171C91" w:rsidP="0075369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noProof w:val="0"/>
                <w:szCs w:val="16"/>
              </w:rPr>
            </w:pPr>
            <w:r w:rsidRPr="00397A3E">
              <w:rPr>
                <w:rFonts w:ascii="Calibri" w:hAnsi="Calibri" w:cs="Calibri"/>
                <w:noProof w:val="0"/>
                <w:szCs w:val="16"/>
              </w:rPr>
              <w:t> </w:t>
            </w:r>
          </w:p>
          <w:p w14:paraId="5BE4428B" w14:textId="77777777" w:rsidR="009425E1" w:rsidRPr="00397A3E" w:rsidRDefault="00171C91" w:rsidP="0075369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noProof w:val="0"/>
                <w:szCs w:val="16"/>
              </w:rPr>
            </w:pPr>
            <w:r w:rsidRPr="00397A3E">
              <w:rPr>
                <w:rFonts w:ascii="Calibri" w:hAnsi="Calibri" w:cs="Calibri"/>
                <w:noProof w:val="0"/>
                <w:szCs w:val="16"/>
              </w:rPr>
              <w:t>The findings from the reviews are included in a Summary of Findings table in the Evidence Evaluation Report, alongside the findings from the review of primary studies.</w:t>
            </w:r>
          </w:p>
          <w:p w14:paraId="5ED9AFE7" w14:textId="77777777" w:rsidR="009425E1" w:rsidRPr="00397A3E" w:rsidRDefault="00171C91" w:rsidP="0075369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noProof w:val="0"/>
                <w:szCs w:val="16"/>
              </w:rPr>
            </w:pPr>
            <w:r w:rsidRPr="00397A3E">
              <w:rPr>
                <w:rFonts w:ascii="Calibri" w:hAnsi="Calibri" w:cs="Calibri"/>
                <w:noProof w:val="0"/>
                <w:szCs w:val="16"/>
              </w:rPr>
              <w:t> </w:t>
            </w:r>
          </w:p>
        </w:tc>
      </w:tr>
    </w:tbl>
    <w:p w14:paraId="47F2FD5B" w14:textId="77777777" w:rsidR="009425E1" w:rsidRPr="00397A3E" w:rsidRDefault="009425E1" w:rsidP="009425E1">
      <w:pPr>
        <w:contextualSpacing/>
        <w:rPr>
          <w:noProof w:val="0"/>
        </w:rPr>
      </w:pPr>
    </w:p>
    <w:p w14:paraId="4FEE59C2" w14:textId="04133D2B" w:rsidR="009425E1" w:rsidRPr="00397A3E" w:rsidRDefault="00171C91" w:rsidP="00280954">
      <w:pPr>
        <w:rPr>
          <w:noProof w:val="0"/>
        </w:rPr>
      </w:pPr>
      <w:r w:rsidRPr="00397A3E">
        <w:rPr>
          <w:noProof w:val="0"/>
        </w:rPr>
        <w:t xml:space="preserve">Apart from the exclusions listed above, all study other types were included (e.g., local and international surveys; peer-reviewed publications or government reports or guidelines for indicators).  The resulting list of studies was subject to further screening and filtering based on more refined criteria for quality as described in Section </w:t>
      </w:r>
      <w:r w:rsidRPr="00397A3E">
        <w:rPr>
          <w:noProof w:val="0"/>
        </w:rPr>
        <w:fldChar w:fldCharType="begin"/>
      </w:r>
      <w:r w:rsidRPr="00397A3E">
        <w:rPr>
          <w:noProof w:val="0"/>
        </w:rPr>
        <w:instrText xml:space="preserve"> REF _Ref43479810 \r \h  \* MERGEFORMAT </w:instrText>
      </w:r>
      <w:r w:rsidRPr="00397A3E">
        <w:rPr>
          <w:noProof w:val="0"/>
        </w:rPr>
      </w:r>
      <w:r w:rsidRPr="00397A3E">
        <w:rPr>
          <w:noProof w:val="0"/>
        </w:rPr>
        <w:fldChar w:fldCharType="separate"/>
      </w:r>
      <w:r w:rsidR="001A0E9F">
        <w:rPr>
          <w:noProof w:val="0"/>
        </w:rPr>
        <w:t>2.4.2</w:t>
      </w:r>
      <w:r w:rsidRPr="00397A3E">
        <w:rPr>
          <w:noProof w:val="0"/>
        </w:rPr>
        <w:fldChar w:fldCharType="end"/>
      </w:r>
      <w:r w:rsidRPr="00397A3E">
        <w:rPr>
          <w:noProof w:val="0"/>
        </w:rPr>
        <w:t xml:space="preserve"> below.</w:t>
      </w:r>
    </w:p>
    <w:p w14:paraId="017F8495" w14:textId="6F249B94" w:rsidR="00F36139" w:rsidRPr="00397A3E" w:rsidRDefault="00171C91" w:rsidP="00D95B6A">
      <w:pPr>
        <w:pStyle w:val="Heading2"/>
        <w:rPr>
          <w:noProof w:val="0"/>
        </w:rPr>
      </w:pPr>
      <w:bookmarkStart w:id="52" w:name="_Toc106964807"/>
      <w:r w:rsidRPr="00397A3E">
        <w:rPr>
          <w:noProof w:val="0"/>
        </w:rPr>
        <w:t xml:space="preserve">Evidence </w:t>
      </w:r>
      <w:r w:rsidR="00F97FB8" w:rsidRPr="00397A3E">
        <w:rPr>
          <w:noProof w:val="0"/>
        </w:rPr>
        <w:t>C</w:t>
      </w:r>
      <w:r w:rsidRPr="00397A3E">
        <w:rPr>
          <w:noProof w:val="0"/>
        </w:rPr>
        <w:t>ollection</w:t>
      </w:r>
      <w:bookmarkEnd w:id="52"/>
    </w:p>
    <w:p w14:paraId="7FF5DDFB" w14:textId="640DF6A0" w:rsidR="006A0DF9" w:rsidRPr="00397A3E" w:rsidRDefault="00171C91" w:rsidP="006A0DF9">
      <w:pPr>
        <w:pStyle w:val="Heading3"/>
        <w:rPr>
          <w:noProof w:val="0"/>
          <w:color w:val="auto"/>
        </w:rPr>
      </w:pPr>
      <w:bookmarkStart w:id="53" w:name="_Ref71193059"/>
      <w:bookmarkStart w:id="54" w:name="_Toc106964808"/>
      <w:r w:rsidRPr="00397A3E">
        <w:rPr>
          <w:noProof w:val="0"/>
          <w:color w:val="auto"/>
        </w:rPr>
        <w:t>Classification of the evidence</w:t>
      </w:r>
      <w:bookmarkEnd w:id="53"/>
      <w:bookmarkEnd w:id="54"/>
    </w:p>
    <w:p w14:paraId="020450A0" w14:textId="77777777" w:rsidR="00E75E01" w:rsidRPr="00397A3E" w:rsidRDefault="00171C91" w:rsidP="00E75E01">
      <w:pPr>
        <w:keepNext/>
        <w:rPr>
          <w:i/>
          <w:iCs/>
          <w:noProof w:val="0"/>
        </w:rPr>
      </w:pPr>
      <w:bookmarkStart w:id="55" w:name="_Hlk72503065"/>
      <w:r w:rsidRPr="00397A3E">
        <w:rPr>
          <w:i/>
          <w:iCs/>
          <w:noProof w:val="0"/>
        </w:rPr>
        <w:t>Literature types</w:t>
      </w:r>
    </w:p>
    <w:p w14:paraId="65234BEE" w14:textId="77777777" w:rsidR="00E75E01" w:rsidRPr="00397A3E" w:rsidRDefault="00171C91" w:rsidP="00E75E01">
      <w:pPr>
        <w:rPr>
          <w:noProof w:val="0"/>
        </w:rPr>
      </w:pPr>
      <w:bookmarkStart w:id="56" w:name="_Hlk70088886"/>
      <w:r w:rsidRPr="00397A3E">
        <w:rPr>
          <w:noProof w:val="0"/>
        </w:rPr>
        <w:t xml:space="preserve">To assist in appropriate assessment of the literature, the search results were classified into two broad categories; </w:t>
      </w:r>
    </w:p>
    <w:p w14:paraId="1BDB0D58" w14:textId="6020CAD0" w:rsidR="00E75E01" w:rsidRPr="00397A3E" w:rsidRDefault="00171C91" w:rsidP="00764500">
      <w:pPr>
        <w:pStyle w:val="ListParagraph"/>
        <w:numPr>
          <w:ilvl w:val="0"/>
          <w:numId w:val="20"/>
        </w:numPr>
        <w:rPr>
          <w:noProof w:val="0"/>
          <w:lang w:val="en-AU"/>
        </w:rPr>
      </w:pPr>
      <w:r>
        <w:rPr>
          <w:noProof w:val="0"/>
          <w:lang w:val="en-AU"/>
        </w:rPr>
        <w:t>p</w:t>
      </w:r>
      <w:r w:rsidRPr="00397A3E">
        <w:rPr>
          <w:noProof w:val="0"/>
          <w:lang w:val="en-AU"/>
        </w:rPr>
        <w:t xml:space="preserve">rimary </w:t>
      </w:r>
      <w:r w:rsidR="00E9684C">
        <w:rPr>
          <w:noProof w:val="0"/>
          <w:lang w:val="en-AU"/>
        </w:rPr>
        <w:t>s</w:t>
      </w:r>
      <w:r w:rsidRPr="00397A3E">
        <w:rPr>
          <w:noProof w:val="0"/>
          <w:lang w:val="en-AU"/>
        </w:rPr>
        <w:t>tudies that were peer-reviewed journal articles and</w:t>
      </w:r>
    </w:p>
    <w:p w14:paraId="7A95AB8A" w14:textId="34C5D936" w:rsidR="00E75E01" w:rsidRPr="00397A3E" w:rsidRDefault="00171C91" w:rsidP="00764500">
      <w:pPr>
        <w:pStyle w:val="ListParagraph"/>
        <w:numPr>
          <w:ilvl w:val="0"/>
          <w:numId w:val="20"/>
        </w:numPr>
        <w:rPr>
          <w:noProof w:val="0"/>
          <w:lang w:val="en-AU"/>
        </w:rPr>
      </w:pPr>
      <w:r>
        <w:rPr>
          <w:noProof w:val="0"/>
          <w:lang w:val="en-AU"/>
        </w:rPr>
        <w:t>g</w:t>
      </w:r>
      <w:r w:rsidRPr="00397A3E">
        <w:rPr>
          <w:noProof w:val="0"/>
          <w:lang w:val="en-AU"/>
        </w:rPr>
        <w:t xml:space="preserve">rey </w:t>
      </w:r>
      <w:r>
        <w:rPr>
          <w:noProof w:val="0"/>
          <w:lang w:val="en-AU"/>
        </w:rPr>
        <w:t>l</w:t>
      </w:r>
      <w:r w:rsidRPr="00397A3E">
        <w:rPr>
          <w:noProof w:val="0"/>
          <w:lang w:val="en-AU"/>
        </w:rPr>
        <w:t>iterature which refers to literature produced by organisations other than conventional academic journal publishers and includes reviews, regulatory guidelines or technical guidance publications produced by federal and state agencies in support of regulatory compliance goals.</w:t>
      </w:r>
      <w:bookmarkEnd w:id="56"/>
      <w:r w:rsidRPr="00397A3E">
        <w:rPr>
          <w:noProof w:val="0"/>
          <w:lang w:val="en-AU"/>
        </w:rPr>
        <w:t xml:space="preserve">  </w:t>
      </w:r>
    </w:p>
    <w:p w14:paraId="4C432DC9" w14:textId="5079E222" w:rsidR="006A0DF9" w:rsidRPr="00397A3E" w:rsidRDefault="00171C91" w:rsidP="006A0DF9">
      <w:pPr>
        <w:pStyle w:val="Heading4"/>
        <w:rPr>
          <w:noProof w:val="0"/>
          <w:color w:val="auto"/>
        </w:rPr>
      </w:pPr>
      <w:bookmarkStart w:id="57" w:name="_Toc106964809"/>
      <w:bookmarkEnd w:id="55"/>
      <w:r w:rsidRPr="00397A3E">
        <w:rPr>
          <w:noProof w:val="0"/>
          <w:color w:val="auto"/>
        </w:rPr>
        <w:t>Grey literature</w:t>
      </w:r>
      <w:bookmarkEnd w:id="57"/>
    </w:p>
    <w:p w14:paraId="343397AD" w14:textId="71A9CAD9" w:rsidR="00AE6BF1" w:rsidRPr="00397A3E" w:rsidRDefault="00171C91" w:rsidP="00AE6BF1">
      <w:pPr>
        <w:rPr>
          <w:noProof w:val="0"/>
        </w:rPr>
      </w:pPr>
      <w:r w:rsidRPr="00397A3E">
        <w:rPr>
          <w:noProof w:val="0"/>
        </w:rPr>
        <w:t xml:space="preserve">Grey literature documents are generally structured as larger documents seeking to integrate a wide range of topics in support of national regulatory goals (e.g. US EPA documents), more general international guidance (e.g. WHO documents) or strategic reviews for particular agencies in order </w:t>
      </w:r>
      <w:r w:rsidR="00D95421">
        <w:rPr>
          <w:noProof w:val="0"/>
        </w:rPr>
        <w:t xml:space="preserve">to </w:t>
      </w:r>
      <w:r w:rsidRPr="00397A3E">
        <w:rPr>
          <w:noProof w:val="0"/>
        </w:rPr>
        <w:t xml:space="preserve">support subsequent regulations or guidance. In comparison, </w:t>
      </w:r>
      <w:r w:rsidR="00D95421">
        <w:rPr>
          <w:noProof w:val="0"/>
        </w:rPr>
        <w:t>p</w:t>
      </w:r>
      <w:r w:rsidRPr="00397A3E">
        <w:rPr>
          <w:noProof w:val="0"/>
        </w:rPr>
        <w:t xml:space="preserve">rimary </w:t>
      </w:r>
      <w:r w:rsidR="00D95421">
        <w:rPr>
          <w:noProof w:val="0"/>
        </w:rPr>
        <w:t>s</w:t>
      </w:r>
      <w:r w:rsidRPr="00397A3E">
        <w:rPr>
          <w:noProof w:val="0"/>
        </w:rPr>
        <w:t>tudies are mainly focused on the results of original research undertaken in response to narrowly focused study objectives. For the purposes of this evidence evaluation report and corresponding technical report, grey literature, although it may be constructed around reviews of the literature</w:t>
      </w:r>
      <w:r w:rsidR="00D95421">
        <w:rPr>
          <w:noProof w:val="0"/>
        </w:rPr>
        <w:t>,</w:t>
      </w:r>
      <w:r w:rsidRPr="00397A3E">
        <w:rPr>
          <w:noProof w:val="0"/>
        </w:rPr>
        <w:t xml:space="preserve"> should not be confused with the term “systematic review” used in the </w:t>
      </w:r>
      <w:r w:rsidR="00D95421">
        <w:rPr>
          <w:noProof w:val="0"/>
        </w:rPr>
        <w:t>p</w:t>
      </w:r>
      <w:r w:rsidRPr="00397A3E">
        <w:rPr>
          <w:noProof w:val="0"/>
        </w:rPr>
        <w:t xml:space="preserve">rimary </w:t>
      </w:r>
      <w:r w:rsidR="00D95421">
        <w:rPr>
          <w:noProof w:val="0"/>
        </w:rPr>
        <w:t>s</w:t>
      </w:r>
      <w:r w:rsidRPr="00397A3E">
        <w:rPr>
          <w:noProof w:val="0"/>
        </w:rPr>
        <w:t xml:space="preserve">tudies classification below as systematic reviews generally have a much narrower focus and are published in peer-reviewed journals.  Grey literature </w:t>
      </w:r>
      <w:r w:rsidR="00D95421">
        <w:rPr>
          <w:noProof w:val="0"/>
        </w:rPr>
        <w:t>is</w:t>
      </w:r>
      <w:r w:rsidR="00D95421" w:rsidRPr="00397A3E">
        <w:rPr>
          <w:noProof w:val="0"/>
        </w:rPr>
        <w:t xml:space="preserve"> </w:t>
      </w:r>
      <w:r w:rsidRPr="00397A3E">
        <w:rPr>
          <w:noProof w:val="0"/>
        </w:rPr>
        <w:t>usually overseen by expert committees convened by national or international authorities and have many contributing authors, whereas systematic reviews may frequently be carried out by individual researchers or small groups of researchers.</w:t>
      </w:r>
    </w:p>
    <w:p w14:paraId="3A9A93F0" w14:textId="3A4E97A6" w:rsidR="006A0DF9" w:rsidRPr="00397A3E" w:rsidRDefault="00171C91" w:rsidP="00AE6BF1">
      <w:pPr>
        <w:pStyle w:val="Heading4"/>
        <w:rPr>
          <w:noProof w:val="0"/>
          <w:color w:val="auto"/>
        </w:rPr>
      </w:pPr>
      <w:bookmarkStart w:id="58" w:name="_Ref91237485"/>
      <w:bookmarkStart w:id="59" w:name="_Toc106964810"/>
      <w:r w:rsidRPr="00397A3E">
        <w:rPr>
          <w:noProof w:val="0"/>
          <w:color w:val="auto"/>
        </w:rPr>
        <w:t>Primary studies</w:t>
      </w:r>
      <w:bookmarkEnd w:id="58"/>
      <w:bookmarkEnd w:id="59"/>
    </w:p>
    <w:p w14:paraId="62867A4F" w14:textId="3E6DE2ED" w:rsidR="006A0DF9" w:rsidRPr="00397A3E" w:rsidRDefault="00171C91" w:rsidP="006A0DF9">
      <w:pPr>
        <w:rPr>
          <w:noProof w:val="0"/>
        </w:rPr>
      </w:pPr>
      <w:r w:rsidRPr="00397A3E">
        <w:rPr>
          <w:noProof w:val="0"/>
        </w:rPr>
        <w:t xml:space="preserve">The quality of each study to be included </w:t>
      </w:r>
      <w:r w:rsidR="00820CF1" w:rsidRPr="00397A3E">
        <w:rPr>
          <w:noProof w:val="0"/>
        </w:rPr>
        <w:t>was</w:t>
      </w:r>
      <w:r w:rsidRPr="00397A3E">
        <w:rPr>
          <w:noProof w:val="0"/>
        </w:rPr>
        <w:t xml:space="preserve"> assessed using </w:t>
      </w:r>
      <w:r w:rsidR="000857BA">
        <w:rPr>
          <w:noProof w:val="0"/>
        </w:rPr>
        <w:t xml:space="preserve">an appraisal tool based on </w:t>
      </w:r>
      <w:r w:rsidRPr="00397A3E">
        <w:rPr>
          <w:noProof w:val="0"/>
        </w:rPr>
        <w:t>the CASP (</w:t>
      </w:r>
      <w:r w:rsidRPr="00397A3E">
        <w:rPr>
          <w:noProof w:val="0"/>
        </w:rPr>
        <w:fldChar w:fldCharType="begin"/>
      </w:r>
      <w:r w:rsidRPr="00397A3E">
        <w:rPr>
          <w:noProof w:val="0"/>
        </w:rPr>
        <w:instrText xml:space="preserve"> ADDIN ZOTERO_ITEM CSL_CITATION {"citationID":"18mTOVJs","properties":{"custom":"Oxford CTVH, 2020)","formattedCitation":"Oxford CTVH, 2020)","plainCitation":"Oxford CTVH, 2020)","noteIndex":0},"citationItems":[{"id":11707,"uris":["http://zotero.org/users/148142/items/U49379IL"],"uri":["http://zotero.org/users/148142/items/U49379IL"],"itemData":{"id":11707,"type":"webpage","container-title":"Oxford Centre for Triple Value Healthcare Ltd","language":"en-US","note":"source: casp-uk.net","title":"CASP - Critical Appraisal Skills Programme","URL":"https://casp-uk.net/","author":[{"literal":"Oxford CTVH"}],"accessed":{"date-parts":[["2020",6,13]]},"issued":{"date-parts":[["2020"]]}}}],"schema":"https://github.com/citation-style-language/schema/raw/master/csl-citation.json"} </w:instrText>
      </w:r>
      <w:r w:rsidRPr="00397A3E">
        <w:rPr>
          <w:noProof w:val="0"/>
        </w:rPr>
        <w:fldChar w:fldCharType="separate"/>
      </w:r>
      <w:r w:rsidRPr="00397A3E">
        <w:rPr>
          <w:rFonts w:cs="Arial"/>
          <w:noProof w:val="0"/>
        </w:rPr>
        <w:t>Oxford CTVH, 2020)</w:t>
      </w:r>
      <w:r w:rsidRPr="00397A3E">
        <w:rPr>
          <w:noProof w:val="0"/>
        </w:rPr>
        <w:fldChar w:fldCharType="end"/>
      </w:r>
      <w:r>
        <w:rPr>
          <w:rStyle w:val="FootnoteReference"/>
          <w:noProof w:val="0"/>
        </w:rPr>
        <w:footnoteReference w:id="1"/>
      </w:r>
      <w:r w:rsidRPr="00397A3E">
        <w:rPr>
          <w:noProof w:val="0"/>
        </w:rPr>
        <w:t xml:space="preserve"> quality assessment protocols for observational studies</w:t>
      </w:r>
      <w:r w:rsidR="000857BA">
        <w:rPr>
          <w:noProof w:val="0"/>
        </w:rPr>
        <w:t xml:space="preserve"> with an additional risk of bias rating similar to the OHAT Risk-of-Bias tool (OHAT, 2015)</w:t>
      </w:r>
      <w:r w:rsidRPr="00397A3E">
        <w:rPr>
          <w:noProof w:val="0"/>
        </w:rPr>
        <w:t>.  T</w:t>
      </w:r>
      <w:r w:rsidR="000857BA">
        <w:rPr>
          <w:noProof w:val="0"/>
        </w:rPr>
        <w:t>o assist in the selection of appropriate CASP tools, t</w:t>
      </w:r>
      <w:r w:rsidRPr="00397A3E">
        <w:rPr>
          <w:noProof w:val="0"/>
        </w:rPr>
        <w:t xml:space="preserve">he studies </w:t>
      </w:r>
      <w:r w:rsidR="00820CF1" w:rsidRPr="00397A3E">
        <w:rPr>
          <w:noProof w:val="0"/>
        </w:rPr>
        <w:t>were</w:t>
      </w:r>
      <w:r w:rsidRPr="00397A3E">
        <w:rPr>
          <w:noProof w:val="0"/>
        </w:rPr>
        <w:t xml:space="preserve"> categorised according to a selected list of CASP study type</w:t>
      </w:r>
      <w:r w:rsidR="00D842E3">
        <w:rPr>
          <w:noProof w:val="0"/>
        </w:rPr>
        <w:t xml:space="preserve"> </w:t>
      </w:r>
      <w:r w:rsidR="000857BA">
        <w:rPr>
          <w:noProof w:val="0"/>
        </w:rPr>
        <w:t>definitions</w:t>
      </w:r>
      <w:r w:rsidRPr="00397A3E">
        <w:rPr>
          <w:noProof w:val="0"/>
        </w:rPr>
        <w:t xml:space="preserve"> </w:t>
      </w:r>
      <w:r w:rsidR="00384856" w:rsidRPr="00397A3E">
        <w:rPr>
          <w:noProof w:val="0"/>
        </w:rPr>
        <w:t xml:space="preserve">based on the </w:t>
      </w:r>
      <w:r w:rsidR="008122FE" w:rsidRPr="00397A3E">
        <w:rPr>
          <w:noProof w:val="0"/>
        </w:rPr>
        <w:t xml:space="preserve">adopted </w:t>
      </w:r>
      <w:r w:rsidR="00710197" w:rsidRPr="00397A3E">
        <w:rPr>
          <w:noProof w:val="0"/>
        </w:rPr>
        <w:t>research protocol</w:t>
      </w:r>
      <w:r w:rsidR="000857BA">
        <w:rPr>
          <w:noProof w:val="0"/>
        </w:rPr>
        <w:t xml:space="preserve"> (O’Connor, 2020)</w:t>
      </w:r>
      <w:r w:rsidR="00820CF1" w:rsidRPr="00397A3E">
        <w:rPr>
          <w:noProof w:val="0"/>
        </w:rPr>
        <w:t xml:space="preserve">.  </w:t>
      </w:r>
      <w:r w:rsidRPr="00397A3E">
        <w:rPr>
          <w:noProof w:val="0"/>
        </w:rPr>
        <w:t xml:space="preserve">These study categories were used to guide a critical appraisal of study quality and selection for the review.  </w:t>
      </w:r>
    </w:p>
    <w:p w14:paraId="4DF04B2E" w14:textId="54304C09" w:rsidR="006F6992" w:rsidRPr="00397A3E" w:rsidRDefault="00171C91" w:rsidP="00764500">
      <w:pPr>
        <w:pStyle w:val="ListParagraph"/>
        <w:numPr>
          <w:ilvl w:val="0"/>
          <w:numId w:val="12"/>
        </w:numPr>
        <w:ind w:left="714" w:hanging="357"/>
        <w:contextualSpacing/>
        <w:rPr>
          <w:noProof w:val="0"/>
          <w:lang w:val="en-AU"/>
        </w:rPr>
      </w:pPr>
      <w:r w:rsidRPr="00397A3E">
        <w:rPr>
          <w:noProof w:val="0"/>
          <w:lang w:val="en-AU"/>
        </w:rPr>
        <w:t>Systematic review</w:t>
      </w:r>
    </w:p>
    <w:p w14:paraId="1680F443" w14:textId="76331C4E" w:rsidR="006F6992" w:rsidRPr="00397A3E" w:rsidRDefault="00171C91" w:rsidP="00764500">
      <w:pPr>
        <w:pStyle w:val="ListParagraph"/>
        <w:numPr>
          <w:ilvl w:val="0"/>
          <w:numId w:val="12"/>
        </w:numPr>
        <w:ind w:left="714" w:hanging="357"/>
        <w:contextualSpacing/>
        <w:rPr>
          <w:noProof w:val="0"/>
          <w:lang w:val="en-AU"/>
        </w:rPr>
      </w:pPr>
      <w:r w:rsidRPr="00397A3E">
        <w:rPr>
          <w:noProof w:val="0"/>
          <w:lang w:val="en-AU"/>
        </w:rPr>
        <w:t>Qualitative research</w:t>
      </w:r>
    </w:p>
    <w:p w14:paraId="6C276BEE" w14:textId="75CFC722" w:rsidR="006F6992" w:rsidRPr="00397A3E" w:rsidRDefault="00171C91" w:rsidP="00764500">
      <w:pPr>
        <w:pStyle w:val="ListParagraph"/>
        <w:numPr>
          <w:ilvl w:val="0"/>
          <w:numId w:val="12"/>
        </w:numPr>
        <w:ind w:left="714" w:hanging="357"/>
        <w:contextualSpacing/>
        <w:rPr>
          <w:noProof w:val="0"/>
          <w:lang w:val="en-AU"/>
        </w:rPr>
      </w:pPr>
      <w:r w:rsidRPr="00397A3E">
        <w:rPr>
          <w:noProof w:val="0"/>
          <w:lang w:val="en-AU"/>
        </w:rPr>
        <w:t>Case control study</w:t>
      </w:r>
    </w:p>
    <w:p w14:paraId="3F646F24" w14:textId="5ECE66D1" w:rsidR="006F6992" w:rsidRPr="00397A3E" w:rsidRDefault="00171C91" w:rsidP="00764500">
      <w:pPr>
        <w:pStyle w:val="ListParagraph"/>
        <w:numPr>
          <w:ilvl w:val="0"/>
          <w:numId w:val="12"/>
        </w:numPr>
        <w:ind w:left="714" w:hanging="357"/>
        <w:contextualSpacing/>
        <w:rPr>
          <w:noProof w:val="0"/>
          <w:lang w:val="en-AU"/>
        </w:rPr>
      </w:pPr>
      <w:r w:rsidRPr="00397A3E">
        <w:rPr>
          <w:noProof w:val="0"/>
          <w:lang w:val="en-AU"/>
        </w:rPr>
        <w:t>Cohort study</w:t>
      </w:r>
    </w:p>
    <w:p w14:paraId="0B087E4A" w14:textId="5173273E" w:rsidR="006F6992" w:rsidRPr="00397A3E" w:rsidRDefault="00171C91" w:rsidP="00764500">
      <w:pPr>
        <w:pStyle w:val="ListParagraph"/>
        <w:numPr>
          <w:ilvl w:val="0"/>
          <w:numId w:val="12"/>
        </w:numPr>
        <w:ind w:left="714" w:hanging="357"/>
        <w:contextualSpacing/>
        <w:rPr>
          <w:noProof w:val="0"/>
          <w:lang w:val="en-AU"/>
        </w:rPr>
      </w:pPr>
      <w:r w:rsidRPr="00397A3E">
        <w:rPr>
          <w:noProof w:val="0"/>
          <w:lang w:val="en-AU"/>
        </w:rPr>
        <w:t>Diagnostic test study</w:t>
      </w:r>
    </w:p>
    <w:p w14:paraId="5FE197ED" w14:textId="408FFC4F" w:rsidR="006F6992" w:rsidRPr="00397A3E" w:rsidRDefault="00171C91" w:rsidP="00764500">
      <w:pPr>
        <w:pStyle w:val="ListParagraph"/>
        <w:numPr>
          <w:ilvl w:val="0"/>
          <w:numId w:val="12"/>
        </w:numPr>
        <w:ind w:left="714" w:hanging="357"/>
        <w:contextualSpacing/>
        <w:rPr>
          <w:noProof w:val="0"/>
          <w:lang w:val="en-AU"/>
        </w:rPr>
      </w:pPr>
      <w:r w:rsidRPr="00397A3E">
        <w:rPr>
          <w:noProof w:val="0"/>
          <w:lang w:val="en-AU"/>
        </w:rPr>
        <w:t>Randomised controlled trial</w:t>
      </w:r>
    </w:p>
    <w:p w14:paraId="6C8E3E08" w14:textId="73A1B32D" w:rsidR="006F6992" w:rsidRPr="00397A3E" w:rsidRDefault="00171C91" w:rsidP="00764500">
      <w:pPr>
        <w:pStyle w:val="ListParagraph"/>
        <w:numPr>
          <w:ilvl w:val="0"/>
          <w:numId w:val="12"/>
        </w:numPr>
        <w:ind w:left="714" w:hanging="357"/>
        <w:contextualSpacing/>
        <w:rPr>
          <w:noProof w:val="0"/>
          <w:lang w:val="en-AU"/>
        </w:rPr>
      </w:pPr>
      <w:r w:rsidRPr="00397A3E">
        <w:rPr>
          <w:noProof w:val="0"/>
          <w:lang w:val="en-AU"/>
        </w:rPr>
        <w:t>Cross-sectional study (mix of case-control and cohort)</w:t>
      </w:r>
    </w:p>
    <w:p w14:paraId="010E10EF" w14:textId="0AD4F5ED" w:rsidR="006F6992" w:rsidRPr="00397A3E" w:rsidRDefault="00171C91" w:rsidP="00764500">
      <w:pPr>
        <w:pStyle w:val="ListParagraph"/>
        <w:numPr>
          <w:ilvl w:val="0"/>
          <w:numId w:val="12"/>
        </w:numPr>
        <w:ind w:left="714" w:hanging="357"/>
        <w:contextualSpacing/>
        <w:rPr>
          <w:noProof w:val="0"/>
          <w:lang w:val="en-AU"/>
        </w:rPr>
      </w:pPr>
      <w:r w:rsidRPr="00397A3E">
        <w:rPr>
          <w:noProof w:val="0"/>
          <w:lang w:val="en-AU"/>
        </w:rPr>
        <w:t>Quantitative research</w:t>
      </w:r>
    </w:p>
    <w:p w14:paraId="578C443A" w14:textId="18A77E62" w:rsidR="006F6992" w:rsidRPr="00397A3E" w:rsidRDefault="00171C91" w:rsidP="006A0DF9">
      <w:pPr>
        <w:rPr>
          <w:noProof w:val="0"/>
        </w:rPr>
      </w:pPr>
      <w:r w:rsidRPr="00397A3E">
        <w:rPr>
          <w:noProof w:val="0"/>
        </w:rPr>
        <w:t xml:space="preserve">See the Technical Report </w:t>
      </w:r>
      <w:r w:rsidR="002F4F2E">
        <w:rPr>
          <w:bCs/>
          <w:noProof w:val="0"/>
        </w:rPr>
        <w:fldChar w:fldCharType="begin"/>
      </w:r>
      <w:r w:rsidR="00F65EDC">
        <w:rPr>
          <w:bCs/>
          <w:noProof w:val="0"/>
        </w:rPr>
        <w:instrText xml:space="preserve"> ADDIN ZOTERO_ITEM CSL_CITATION {"citationID":"yFqWQrZV","properties":{"formattedCitation":"(O\\uc0\\u8217{}Connor, 2022)","plainCitation":"(O’Connor, 2022)","noteIndex":0},"citationItems":[{"id":17799,"uris":["http://zotero.org/users/148142/items/2LMPM2CQ"],"uri":["http://zotero.org/users/148142/items/2LMPM2CQ"],"itemData":{"id":17799,"type":"report","title":"Technical Report for Narrative Reviews in support of NHMRC Recreational Water Quality Guidelines: Microbial Risks. DRAFT. Ecos Environmental Consulting, February 2022","author":[{"family":"O'Connor","given":"N.A."}],"issued":{"date-parts":[["2022",2]]}}}],"schema":"https://github.com/citation-style-language/schema/raw/master/csl-citation.json"} </w:instrText>
      </w:r>
      <w:r w:rsidR="002F4F2E">
        <w:rPr>
          <w:bCs/>
          <w:noProof w:val="0"/>
        </w:rPr>
        <w:fldChar w:fldCharType="separate"/>
      </w:r>
      <w:r w:rsidR="00F65EDC" w:rsidRPr="00F65EDC">
        <w:rPr>
          <w:rFonts w:cs="Arial"/>
        </w:rPr>
        <w:t>(O’Connor, 2022)</w:t>
      </w:r>
      <w:r w:rsidR="002F4F2E">
        <w:rPr>
          <w:bCs/>
          <w:noProof w:val="0"/>
        </w:rPr>
        <w:fldChar w:fldCharType="end"/>
      </w:r>
      <w:r w:rsidR="00B36355" w:rsidRPr="00397A3E">
        <w:rPr>
          <w:noProof w:val="0"/>
        </w:rPr>
        <w:t xml:space="preserve"> </w:t>
      </w:r>
      <w:r w:rsidRPr="00397A3E">
        <w:rPr>
          <w:noProof w:val="0"/>
        </w:rPr>
        <w:t>for definitions.</w:t>
      </w:r>
    </w:p>
    <w:p w14:paraId="35A45E09" w14:textId="6ED62740" w:rsidR="00F36139" w:rsidRPr="00397A3E" w:rsidRDefault="00171C91" w:rsidP="00F36139">
      <w:pPr>
        <w:pStyle w:val="Heading3"/>
        <w:rPr>
          <w:noProof w:val="0"/>
          <w:color w:val="auto"/>
        </w:rPr>
      </w:pPr>
      <w:bookmarkStart w:id="60" w:name="_Toc106964811"/>
      <w:r w:rsidRPr="00397A3E">
        <w:rPr>
          <w:noProof w:val="0"/>
          <w:color w:val="auto"/>
        </w:rPr>
        <w:t>Quality assessment (by types)</w:t>
      </w:r>
      <w:bookmarkEnd w:id="60"/>
    </w:p>
    <w:p w14:paraId="67ECA60A" w14:textId="0D79D507" w:rsidR="00AB60E5" w:rsidRPr="00397A3E" w:rsidRDefault="00171C91" w:rsidP="00AB60E5">
      <w:pPr>
        <w:pStyle w:val="Heading4"/>
        <w:rPr>
          <w:noProof w:val="0"/>
          <w:color w:val="auto"/>
        </w:rPr>
      </w:pPr>
      <w:bookmarkStart w:id="61" w:name="_Ref91086040"/>
      <w:bookmarkStart w:id="62" w:name="_Toc106964812"/>
      <w:bookmarkStart w:id="63" w:name="_Ref70948231"/>
      <w:bookmarkStart w:id="64" w:name="_Ref70330021"/>
      <w:r w:rsidRPr="00397A3E">
        <w:rPr>
          <w:noProof w:val="0"/>
          <w:color w:val="auto"/>
        </w:rPr>
        <w:t>Grey literature</w:t>
      </w:r>
      <w:bookmarkEnd w:id="61"/>
      <w:bookmarkEnd w:id="62"/>
      <w:r w:rsidR="009C5429" w:rsidRPr="00397A3E">
        <w:rPr>
          <w:noProof w:val="0"/>
          <w:color w:val="auto"/>
        </w:rPr>
        <w:t xml:space="preserve"> </w:t>
      </w:r>
      <w:bookmarkEnd w:id="63"/>
      <w:bookmarkEnd w:id="64"/>
    </w:p>
    <w:p w14:paraId="20B484E0" w14:textId="75AD12EA" w:rsidR="00F85F33" w:rsidRPr="00397A3E" w:rsidRDefault="00171C91" w:rsidP="00EA0B0A">
      <w:pPr>
        <w:rPr>
          <w:noProof w:val="0"/>
        </w:rPr>
      </w:pPr>
      <w:bookmarkStart w:id="65" w:name="_Hlk72504738"/>
      <w:r w:rsidRPr="00397A3E">
        <w:rPr>
          <w:noProof w:val="0"/>
        </w:rPr>
        <w:t xml:space="preserve">The methodological quality of </w:t>
      </w:r>
      <w:r w:rsidR="00B36355" w:rsidRPr="00397A3E">
        <w:rPr>
          <w:noProof w:val="0"/>
        </w:rPr>
        <w:t xml:space="preserve">grey </w:t>
      </w:r>
      <w:r w:rsidR="00037ADF" w:rsidRPr="00397A3E">
        <w:rPr>
          <w:noProof w:val="0"/>
        </w:rPr>
        <w:t>literature</w:t>
      </w:r>
      <w:r w:rsidRPr="00397A3E">
        <w:rPr>
          <w:noProof w:val="0"/>
        </w:rPr>
        <w:t xml:space="preserve"> was assessed using </w:t>
      </w:r>
      <w:r w:rsidR="002700C5" w:rsidRPr="00397A3E">
        <w:rPr>
          <w:noProof w:val="0"/>
        </w:rPr>
        <w:t xml:space="preserve">administrative and technical </w:t>
      </w:r>
      <w:r w:rsidR="00456CBB" w:rsidRPr="00397A3E">
        <w:rPr>
          <w:noProof w:val="0"/>
        </w:rPr>
        <w:t xml:space="preserve">criteria </w:t>
      </w:r>
      <w:r w:rsidR="00DF2CC6" w:rsidRPr="00397A3E">
        <w:rPr>
          <w:noProof w:val="0"/>
        </w:rPr>
        <w:t>via a</w:t>
      </w:r>
      <w:r w:rsidR="00DA7C19" w:rsidRPr="00397A3E">
        <w:rPr>
          <w:noProof w:val="0"/>
        </w:rPr>
        <w:t xml:space="preserve"> draft</w:t>
      </w:r>
      <w:r w:rsidR="00456CBB" w:rsidRPr="00397A3E">
        <w:rPr>
          <w:noProof w:val="0"/>
        </w:rPr>
        <w:t xml:space="preserve"> assessment tool</w:t>
      </w:r>
      <w:r w:rsidR="00DA7C19" w:rsidRPr="00397A3E">
        <w:rPr>
          <w:noProof w:val="0"/>
        </w:rPr>
        <w:t xml:space="preserve"> developed by NHMRC</w:t>
      </w:r>
      <w:r w:rsidR="00456CBB" w:rsidRPr="00397A3E">
        <w:rPr>
          <w:noProof w:val="0"/>
        </w:rPr>
        <w:t xml:space="preserve">. </w:t>
      </w:r>
      <w:r w:rsidRPr="00397A3E">
        <w:rPr>
          <w:noProof w:val="0"/>
        </w:rPr>
        <w:t xml:space="preserve"> The criteria listed in the tool were based on common domains that have been evaluated in several existing tools for assessing guidelines and systematic reviews (e.g. </w:t>
      </w:r>
      <w:hyperlink r:id="rId17" w:history="1">
        <w:r w:rsidRPr="00397A3E">
          <w:rPr>
            <w:rStyle w:val="Hyperlink"/>
            <w:noProof w:val="0"/>
            <w:color w:val="auto"/>
            <w:u w:val="none"/>
          </w:rPr>
          <w:t>AGREE tool</w:t>
        </w:r>
      </w:hyperlink>
      <w:bookmarkEnd w:id="65"/>
      <w:r w:rsidR="00075CEC" w:rsidRPr="00397A3E">
        <w:rPr>
          <w:rStyle w:val="Hyperlink"/>
          <w:noProof w:val="0"/>
          <w:color w:val="auto"/>
          <w:u w:val="none"/>
        </w:rPr>
        <w:t xml:space="preserve">: </w:t>
      </w:r>
      <w:r w:rsidR="00075CEC" w:rsidRPr="00397A3E">
        <w:rPr>
          <w:rStyle w:val="Hyperlink"/>
          <w:noProof w:val="0"/>
          <w:color w:val="auto"/>
          <w:u w:val="none"/>
        </w:rPr>
        <w:fldChar w:fldCharType="begin"/>
      </w:r>
      <w:r w:rsidR="003A70F6" w:rsidRPr="00397A3E">
        <w:rPr>
          <w:rStyle w:val="Hyperlink"/>
          <w:noProof w:val="0"/>
          <w:color w:val="auto"/>
          <w:u w:val="none"/>
        </w:rPr>
        <w:instrText xml:space="preserve"> ADDIN ZOTERO_ITEM CSL_CITATION {"citationID":"mMRCvSgs","properties":{"custom":"Brouwers, Kerkvliet, et al., 2016; AGREE Next Steps Consortium, 2017)","formattedCitation":"Brouwers, Kerkvliet, et al., 2016; AGREE Next Steps Consortium, 2017)","plainCitation":"Brouwers, Kerkvliet, et al., 2016; AGREE Next Steps Consortium, 2017)","noteIndex":0},"citationItems":[{"id":17457,"uris":["http://zotero.org/users/148142/items/GCFRE5L9"],"uri":["http://zotero.org/users/148142/items/GCFRE5L9"],"itemData":{"id":17457,"type":"article-journal","container-title":"BMJ","DOI":"10.1136/bmj.i1152","ISSN":"1756-1833","journalAbbreviation":"BMJ","language":"en","page":"i1152","source":"DOI.org (Crossref)","title":"The AGREE Reporting Checklist: a tool to improve reporting of clinical practice guidelines","title-short":"The AGREE Reporting Checklist","URL":"https://www.bmj.com/lookup/doi/10.1136/bmj.i1152","author":[{"family":"Brouwers","given":"Melissa C"},{"family":"Kerkvliet","given":"Kate"},{"family":"Spithoff","given":"Karen"},{"literal":"AGREE Next Steps Consortium"}],"accessed":{"date-parts":[["2021",4,26]]},"issued":{"date-parts":[["2016",3,8]]}},"label":"page"},{"id":17459,"uris":["http://zotero.org/users/148142/items/SJS9QVZS"],"uri":["http://zotero.org/users/148142/items/SJS9QVZS"],"itemData":{"id":17459,"type":"report","page":"57","title":"The AGREE II Instrument [Electronic version].","URL":"http://www.agreetrust.org.","author":[{"literal":"AGREE Next Steps Consortium"}],"issued":{"date-parts":[["2017"]]}},"label":"page"}],"schema":"https://github.com/citation-style-language/schema/raw/master/csl-citation.json"} </w:instrText>
      </w:r>
      <w:r w:rsidR="00075CEC" w:rsidRPr="00397A3E">
        <w:rPr>
          <w:rStyle w:val="Hyperlink"/>
          <w:noProof w:val="0"/>
          <w:color w:val="auto"/>
          <w:u w:val="none"/>
        </w:rPr>
        <w:fldChar w:fldCharType="separate"/>
      </w:r>
      <w:r w:rsidR="00075CEC" w:rsidRPr="00397A3E">
        <w:rPr>
          <w:rFonts w:cs="Arial"/>
          <w:noProof w:val="0"/>
        </w:rPr>
        <w:t>Brouwers, Kerkvliet, et al., 2016; AGREE Next Steps Consortium, 2017)</w:t>
      </w:r>
      <w:r w:rsidR="00075CEC" w:rsidRPr="00397A3E">
        <w:rPr>
          <w:rStyle w:val="Hyperlink"/>
          <w:noProof w:val="0"/>
          <w:color w:val="auto"/>
          <w:u w:val="none"/>
        </w:rPr>
        <w:fldChar w:fldCharType="end"/>
      </w:r>
      <w:r w:rsidRPr="00397A3E">
        <w:rPr>
          <w:noProof w:val="0"/>
        </w:rPr>
        <w:t>.</w:t>
      </w:r>
      <w:r w:rsidR="00DD143E" w:rsidRPr="00397A3E">
        <w:rPr>
          <w:noProof w:val="0"/>
        </w:rPr>
        <w:t xml:space="preserve">  A form for capturing the data is </w:t>
      </w:r>
      <w:r w:rsidR="001F58A3" w:rsidRPr="00397A3E">
        <w:rPr>
          <w:noProof w:val="0"/>
        </w:rPr>
        <w:t>described</w:t>
      </w:r>
      <w:r w:rsidR="00DD143E" w:rsidRPr="00397A3E">
        <w:rPr>
          <w:noProof w:val="0"/>
        </w:rPr>
        <w:t xml:space="preserve"> in the Technical Report</w:t>
      </w:r>
      <w:r w:rsidR="00364214">
        <w:rPr>
          <w:noProof w:val="0"/>
        </w:rPr>
        <w:t xml:space="preserve"> </w:t>
      </w:r>
      <w:r w:rsidR="002F4F2E">
        <w:rPr>
          <w:bCs/>
          <w:noProof w:val="0"/>
        </w:rPr>
        <w:fldChar w:fldCharType="begin"/>
      </w:r>
      <w:r w:rsidR="00F65EDC">
        <w:rPr>
          <w:bCs/>
          <w:noProof w:val="0"/>
        </w:rPr>
        <w:instrText xml:space="preserve"> ADDIN ZOTERO_ITEM CSL_CITATION {"citationID":"RNhDSIbO","properties":{"formattedCitation":"(O\\uc0\\u8217{}Connor, 2022)","plainCitation":"(O’Connor, 2022)","noteIndex":0},"citationItems":[{"id":17799,"uris":["http://zotero.org/users/148142/items/2LMPM2CQ"],"uri":["http://zotero.org/users/148142/items/2LMPM2CQ"],"itemData":{"id":17799,"type":"report","title":"Technical Report for Narrative Reviews in support of NHMRC Recreational Water Quality Guidelines: Microbial Risks. DRAFT. Ecos Environmental Consulting, February 2022","author":[{"family":"O'Connor","given":"N.A."}],"issued":{"date-parts":[["2022",2]]}}}],"schema":"https://github.com/citation-style-language/schema/raw/master/csl-citation.json"} </w:instrText>
      </w:r>
      <w:r w:rsidR="002F4F2E">
        <w:rPr>
          <w:bCs/>
          <w:noProof w:val="0"/>
        </w:rPr>
        <w:fldChar w:fldCharType="separate"/>
      </w:r>
      <w:r w:rsidR="00F65EDC" w:rsidRPr="00F65EDC">
        <w:rPr>
          <w:rFonts w:cs="Arial"/>
        </w:rPr>
        <w:t>(O’Connor, 2022)</w:t>
      </w:r>
      <w:r w:rsidR="002F4F2E">
        <w:rPr>
          <w:bCs/>
          <w:noProof w:val="0"/>
        </w:rPr>
        <w:fldChar w:fldCharType="end"/>
      </w:r>
      <w:r w:rsidR="00037ADF" w:rsidRPr="00397A3E">
        <w:rPr>
          <w:noProof w:val="0"/>
        </w:rPr>
        <w:t>.</w:t>
      </w:r>
      <w:r w:rsidR="00EA0B0A" w:rsidRPr="00397A3E">
        <w:rPr>
          <w:noProof w:val="0"/>
        </w:rPr>
        <w:t xml:space="preserve">  Based on the responses in the form</w:t>
      </w:r>
      <w:r w:rsidR="00983E21" w:rsidRPr="00397A3E">
        <w:rPr>
          <w:noProof w:val="0"/>
        </w:rPr>
        <w:t>,</w:t>
      </w:r>
      <w:r w:rsidR="00EA0B0A" w:rsidRPr="00397A3E">
        <w:rPr>
          <w:noProof w:val="0"/>
        </w:rPr>
        <w:t xml:space="preserve"> a decision was made on whether </w:t>
      </w:r>
      <w:r w:rsidR="00037ADF" w:rsidRPr="00397A3E">
        <w:rPr>
          <w:noProof w:val="0"/>
        </w:rPr>
        <w:t xml:space="preserve">a grey literature document </w:t>
      </w:r>
      <w:r w:rsidR="00EA0B0A" w:rsidRPr="00397A3E">
        <w:rPr>
          <w:noProof w:val="0"/>
        </w:rPr>
        <w:t>should be included or excluded from the review</w:t>
      </w:r>
      <w:r w:rsidR="000C5C08" w:rsidRPr="00397A3E">
        <w:rPr>
          <w:noProof w:val="0"/>
        </w:rPr>
        <w:t xml:space="preserve"> on quality grounds</w:t>
      </w:r>
      <w:r w:rsidR="00EA0B0A" w:rsidRPr="00397A3E">
        <w:rPr>
          <w:noProof w:val="0"/>
        </w:rPr>
        <w:t>.</w:t>
      </w:r>
      <w:r w:rsidRPr="00397A3E">
        <w:rPr>
          <w:noProof w:val="0"/>
        </w:rPr>
        <w:t xml:space="preserve"> </w:t>
      </w:r>
    </w:p>
    <w:p w14:paraId="254B42BB" w14:textId="5D9904CD" w:rsidR="00037ADF" w:rsidRPr="00397A3E" w:rsidRDefault="00171C91" w:rsidP="00037ADF">
      <w:pPr>
        <w:rPr>
          <w:noProof w:val="0"/>
        </w:rPr>
      </w:pPr>
      <w:r w:rsidRPr="00397A3E">
        <w:rPr>
          <w:noProof w:val="0"/>
        </w:rPr>
        <w:t>In addition to this formal quality assessment approach, the close inspection of the full text document at this stage in some cases indicated that the evidence contained in the document did not satisfactorily contribute to answering the primary and/or secondary research questions.  Where that was the case, the document was classed as “Excluded from further review” and the reason for the exclusion noted in the table.</w:t>
      </w:r>
    </w:p>
    <w:p w14:paraId="706A91B3" w14:textId="62C18DEE" w:rsidR="00AB60E5" w:rsidRPr="00397A3E" w:rsidRDefault="00171C91" w:rsidP="00AB60E5">
      <w:pPr>
        <w:pStyle w:val="Heading4"/>
        <w:rPr>
          <w:noProof w:val="0"/>
          <w:color w:val="auto"/>
        </w:rPr>
      </w:pPr>
      <w:bookmarkStart w:id="66" w:name="_Toc106964813"/>
      <w:r w:rsidRPr="00397A3E">
        <w:rPr>
          <w:noProof w:val="0"/>
          <w:color w:val="auto"/>
        </w:rPr>
        <w:t>Primary studies</w:t>
      </w:r>
      <w:bookmarkEnd w:id="66"/>
    </w:p>
    <w:p w14:paraId="7321CB4A" w14:textId="7F7B9736" w:rsidR="00837B63" w:rsidRPr="00397A3E" w:rsidRDefault="00171C91" w:rsidP="00AB60E5">
      <w:pPr>
        <w:rPr>
          <w:i/>
          <w:iCs/>
          <w:noProof w:val="0"/>
        </w:rPr>
      </w:pPr>
      <w:bookmarkStart w:id="67" w:name="_Hlk43481712"/>
      <w:bookmarkEnd w:id="46"/>
      <w:bookmarkEnd w:id="47"/>
      <w:r w:rsidRPr="00397A3E">
        <w:rPr>
          <w:i/>
          <w:iCs/>
          <w:noProof w:val="0"/>
        </w:rPr>
        <w:t>Critical appraisal of evidenc</w:t>
      </w:r>
      <w:bookmarkEnd w:id="67"/>
      <w:r w:rsidRPr="00397A3E">
        <w:rPr>
          <w:i/>
          <w:iCs/>
          <w:noProof w:val="0"/>
        </w:rPr>
        <w:t>e</w:t>
      </w:r>
    </w:p>
    <w:p w14:paraId="0416A189" w14:textId="0703C133" w:rsidR="006A0DF9" w:rsidRPr="00397A3E" w:rsidRDefault="00171C91" w:rsidP="006A0DF9">
      <w:pPr>
        <w:rPr>
          <w:noProof w:val="0"/>
        </w:rPr>
      </w:pPr>
      <w:r w:rsidRPr="00397A3E">
        <w:rPr>
          <w:noProof w:val="0"/>
        </w:rPr>
        <w:t>As noted above, the CASP study categories were used to guide a critical appraisal of study quality and selection for the review</w:t>
      </w:r>
    </w:p>
    <w:p w14:paraId="013A82F9" w14:textId="31EF7B65" w:rsidR="009062EA" w:rsidRPr="00397A3E" w:rsidRDefault="00171C91" w:rsidP="006A0DF9">
      <w:pPr>
        <w:rPr>
          <w:noProof w:val="0"/>
        </w:rPr>
      </w:pPr>
      <w:r w:rsidRPr="00397A3E">
        <w:rPr>
          <w:noProof w:val="0"/>
        </w:rPr>
        <w:t>The CASP protocol considers three broad issues in appraising a study:</w:t>
      </w:r>
    </w:p>
    <w:p w14:paraId="3CBF4ABF" w14:textId="7123477A" w:rsidR="009062EA" w:rsidRPr="00397A3E" w:rsidRDefault="00171C91" w:rsidP="00764500">
      <w:pPr>
        <w:pStyle w:val="ListParagraph"/>
        <w:numPr>
          <w:ilvl w:val="0"/>
          <w:numId w:val="7"/>
        </w:numPr>
        <w:contextualSpacing/>
        <w:rPr>
          <w:noProof w:val="0"/>
          <w:lang w:val="en-AU"/>
        </w:rPr>
      </w:pPr>
      <w:r w:rsidRPr="00397A3E">
        <w:rPr>
          <w:noProof w:val="0"/>
          <w:lang w:val="en-AU"/>
        </w:rPr>
        <w:t>Are the results of the study valid?</w:t>
      </w:r>
    </w:p>
    <w:p w14:paraId="11A35563" w14:textId="717A0FA0" w:rsidR="009062EA" w:rsidRPr="00397A3E" w:rsidRDefault="00171C91" w:rsidP="00764500">
      <w:pPr>
        <w:pStyle w:val="ListParagraph"/>
        <w:numPr>
          <w:ilvl w:val="0"/>
          <w:numId w:val="7"/>
        </w:numPr>
        <w:contextualSpacing/>
        <w:rPr>
          <w:noProof w:val="0"/>
          <w:lang w:val="en-AU"/>
        </w:rPr>
      </w:pPr>
      <w:r w:rsidRPr="00397A3E">
        <w:rPr>
          <w:noProof w:val="0"/>
          <w:lang w:val="en-AU"/>
        </w:rPr>
        <w:t>What are the results?</w:t>
      </w:r>
    </w:p>
    <w:p w14:paraId="420F674B" w14:textId="0F0B4C83" w:rsidR="009062EA" w:rsidRPr="00397A3E" w:rsidRDefault="00171C91" w:rsidP="00764500">
      <w:pPr>
        <w:pStyle w:val="ListParagraph"/>
        <w:numPr>
          <w:ilvl w:val="0"/>
          <w:numId w:val="7"/>
        </w:numPr>
        <w:contextualSpacing/>
        <w:rPr>
          <w:noProof w:val="0"/>
          <w:lang w:val="en-AU"/>
        </w:rPr>
      </w:pPr>
      <w:r w:rsidRPr="00397A3E">
        <w:rPr>
          <w:noProof w:val="0"/>
          <w:lang w:val="en-AU"/>
        </w:rPr>
        <w:t>Will the results help locally?</w:t>
      </w:r>
    </w:p>
    <w:p w14:paraId="156F2645" w14:textId="38E08F81" w:rsidR="00736954" w:rsidRPr="00397A3E" w:rsidRDefault="00171C91" w:rsidP="00DF2CC6">
      <w:pPr>
        <w:rPr>
          <w:noProof w:val="0"/>
        </w:rPr>
      </w:pPr>
      <w:r w:rsidRPr="00397A3E">
        <w:rPr>
          <w:noProof w:val="0"/>
        </w:rPr>
        <w:t>Depending on the type of study</w:t>
      </w:r>
      <w:r w:rsidR="003913E5">
        <w:rPr>
          <w:noProof w:val="0"/>
        </w:rPr>
        <w:t>,</w:t>
      </w:r>
      <w:r w:rsidRPr="00397A3E">
        <w:rPr>
          <w:noProof w:val="0"/>
        </w:rPr>
        <w:t xml:space="preserve"> 10 to 13 questions </w:t>
      </w:r>
      <w:r w:rsidR="00DF2CC6" w:rsidRPr="00397A3E">
        <w:rPr>
          <w:noProof w:val="0"/>
        </w:rPr>
        <w:t>were</w:t>
      </w:r>
      <w:r w:rsidRPr="00397A3E">
        <w:rPr>
          <w:noProof w:val="0"/>
        </w:rPr>
        <w:t xml:space="preserve"> posed within the three categories above that are designed to assist the reviewer to consider the issues systematically.</w:t>
      </w:r>
    </w:p>
    <w:p w14:paraId="6D9C83F7" w14:textId="5AE53993" w:rsidR="00DF2CC6" w:rsidRPr="00397A3E" w:rsidRDefault="00171C91" w:rsidP="00DF2CC6">
      <w:pPr>
        <w:rPr>
          <w:noProof w:val="0"/>
        </w:rPr>
      </w:pPr>
      <w:r w:rsidRPr="00397A3E">
        <w:rPr>
          <w:noProof w:val="0"/>
        </w:rPr>
        <w:t>Primary data studies selected for review were assessed for internal validity, which is also known as “</w:t>
      </w:r>
      <w:r w:rsidR="0011078F" w:rsidRPr="00397A3E">
        <w:rPr>
          <w:noProof w:val="0"/>
        </w:rPr>
        <w:t>r</w:t>
      </w:r>
      <w:r w:rsidRPr="00397A3E">
        <w:rPr>
          <w:noProof w:val="0"/>
        </w:rPr>
        <w:t>isk</w:t>
      </w:r>
      <w:r w:rsidR="0011078F" w:rsidRPr="00397A3E">
        <w:rPr>
          <w:noProof w:val="0"/>
        </w:rPr>
        <w:t xml:space="preserve"> </w:t>
      </w:r>
      <w:r w:rsidRPr="00397A3E">
        <w:rPr>
          <w:noProof w:val="0"/>
        </w:rPr>
        <w:t>of</w:t>
      </w:r>
      <w:r w:rsidR="0011078F" w:rsidRPr="00397A3E">
        <w:rPr>
          <w:noProof w:val="0"/>
        </w:rPr>
        <w:t xml:space="preserve"> </w:t>
      </w:r>
      <w:r w:rsidRPr="00397A3E">
        <w:rPr>
          <w:noProof w:val="0"/>
        </w:rPr>
        <w:t>bias”</w:t>
      </w:r>
      <w:r w:rsidR="00933F59" w:rsidRPr="00397A3E">
        <w:rPr>
          <w:noProof w:val="0"/>
        </w:rPr>
        <w:t>,</w:t>
      </w:r>
      <w:r w:rsidRPr="00397A3E">
        <w:rPr>
          <w:noProof w:val="0"/>
        </w:rPr>
        <w:t xml:space="preserve"> with bias classification according to the OHAT </w:t>
      </w:r>
      <w:r w:rsidR="0011078F" w:rsidRPr="00397A3E">
        <w:rPr>
          <w:noProof w:val="0"/>
        </w:rPr>
        <w:t>r</w:t>
      </w:r>
      <w:r w:rsidRPr="00397A3E">
        <w:rPr>
          <w:noProof w:val="0"/>
        </w:rPr>
        <w:t>isk</w:t>
      </w:r>
      <w:r w:rsidR="0011078F" w:rsidRPr="00397A3E">
        <w:rPr>
          <w:noProof w:val="0"/>
        </w:rPr>
        <w:t xml:space="preserve"> </w:t>
      </w:r>
      <w:r w:rsidRPr="00397A3E">
        <w:rPr>
          <w:noProof w:val="0"/>
        </w:rPr>
        <w:t>of</w:t>
      </w:r>
      <w:r w:rsidR="0011078F" w:rsidRPr="00397A3E">
        <w:rPr>
          <w:noProof w:val="0"/>
        </w:rPr>
        <w:t xml:space="preserve"> b</w:t>
      </w:r>
      <w:r w:rsidRPr="00397A3E">
        <w:rPr>
          <w:noProof w:val="0"/>
        </w:rPr>
        <w:t xml:space="preserve">ias </w:t>
      </w:r>
      <w:r w:rsidR="0011078F" w:rsidRPr="00397A3E">
        <w:rPr>
          <w:noProof w:val="0"/>
        </w:rPr>
        <w:t>assessment t</w:t>
      </w:r>
      <w:r w:rsidRPr="00397A3E">
        <w:rPr>
          <w:noProof w:val="0"/>
        </w:rPr>
        <w:t xml:space="preserve">ool </w:t>
      </w:r>
      <w:r w:rsidRPr="00397A3E">
        <w:rPr>
          <w:noProof w:val="0"/>
        </w:rPr>
        <w:fldChar w:fldCharType="begin"/>
      </w:r>
      <w:r w:rsidRPr="00397A3E">
        <w:rPr>
          <w:noProof w:val="0"/>
        </w:rPr>
        <w:instrText xml:space="preserve"> ADDIN ZOTERO_ITEM CSL_CITATION {"citationID":"hUp88Fyx","properties":{"formattedCitation":"(OHAT, 2015)","plainCitation":"(OHAT, 2015)","noteIndex":0},"citationItems":[{"id":11710,"uris":["http://zotero.org/users/148142/items/N6FQ6WBC"],"uri":["http://zotero.org/users/148142/items/N6FQ6WBC"],"itemData":{"id":11710,"type":"webpage","title":"Risk of Bias Tool. Office of Health Assessment and Translation (OHAT), U.S. Department of Health and Human Services","URL":"https://ntp.niehs.nih.gov/whatwestudy/assessments/noncancer/riskbias/index.html","author":[{"literal":"OHAT"}],"accessed":{"date-parts":[["2020",6,19]]},"issued":{"date-parts":[["2015",1]]}}}],"schema":"https://github.com/citation-style-language/schema/raw/master/csl-citation.json"} </w:instrText>
      </w:r>
      <w:r w:rsidRPr="00397A3E">
        <w:rPr>
          <w:noProof w:val="0"/>
        </w:rPr>
        <w:fldChar w:fldCharType="separate"/>
      </w:r>
      <w:r w:rsidRPr="00397A3E">
        <w:rPr>
          <w:rFonts w:cs="Arial"/>
          <w:noProof w:val="0"/>
        </w:rPr>
        <w:t>(OHAT, 2015)</w:t>
      </w:r>
      <w:r w:rsidRPr="00397A3E">
        <w:rPr>
          <w:noProof w:val="0"/>
        </w:rPr>
        <w:fldChar w:fldCharType="end"/>
      </w:r>
      <w:r w:rsidRPr="00397A3E">
        <w:rPr>
          <w:noProof w:val="0"/>
        </w:rPr>
        <w:t xml:space="preserve">.  The tool provides a colour-coded visual scheme to summarise </w:t>
      </w:r>
      <w:r w:rsidR="0011078F" w:rsidRPr="00397A3E">
        <w:rPr>
          <w:noProof w:val="0"/>
        </w:rPr>
        <w:t>r</w:t>
      </w:r>
      <w:r w:rsidRPr="00397A3E">
        <w:rPr>
          <w:noProof w:val="0"/>
        </w:rPr>
        <w:t>isk</w:t>
      </w:r>
      <w:r w:rsidR="0011078F" w:rsidRPr="00397A3E">
        <w:rPr>
          <w:noProof w:val="0"/>
        </w:rPr>
        <w:t xml:space="preserve"> </w:t>
      </w:r>
      <w:r w:rsidRPr="00397A3E">
        <w:rPr>
          <w:noProof w:val="0"/>
        </w:rPr>
        <w:t>of</w:t>
      </w:r>
      <w:r w:rsidR="0011078F" w:rsidRPr="00397A3E">
        <w:rPr>
          <w:noProof w:val="0"/>
        </w:rPr>
        <w:t xml:space="preserve"> b</w:t>
      </w:r>
      <w:r w:rsidRPr="00397A3E">
        <w:rPr>
          <w:noProof w:val="0"/>
        </w:rPr>
        <w:t>ias assessments and this scheme was applied based on the response to the CASP questions (</w:t>
      </w:r>
      <w:r w:rsidRPr="00397A3E">
        <w:rPr>
          <w:noProof w:val="0"/>
        </w:rPr>
        <w:fldChar w:fldCharType="begin"/>
      </w:r>
      <w:r w:rsidRPr="00397A3E">
        <w:rPr>
          <w:noProof w:val="0"/>
        </w:rPr>
        <w:instrText xml:space="preserve"> REF _Ref70955381 \h </w:instrText>
      </w:r>
      <w:r w:rsidRPr="00397A3E">
        <w:rPr>
          <w:noProof w:val="0"/>
        </w:rPr>
      </w:r>
      <w:r w:rsidRPr="00397A3E">
        <w:rPr>
          <w:noProof w:val="0"/>
        </w:rPr>
        <w:fldChar w:fldCharType="separate"/>
      </w:r>
      <w:r w:rsidR="001A0E9F" w:rsidRPr="00397A3E">
        <w:rPr>
          <w:noProof w:val="0"/>
        </w:rPr>
        <w:t xml:space="preserve">Table </w:t>
      </w:r>
      <w:r w:rsidR="001A0E9F">
        <w:t>2</w:t>
      </w:r>
      <w:r w:rsidR="001A0E9F">
        <w:rPr>
          <w:noProof w:val="0"/>
        </w:rPr>
        <w:noBreakHyphen/>
      </w:r>
      <w:r w:rsidR="001A0E9F">
        <w:t>3</w:t>
      </w:r>
      <w:r w:rsidRPr="00397A3E">
        <w:rPr>
          <w:noProof w:val="0"/>
        </w:rPr>
        <w:fldChar w:fldCharType="end"/>
      </w:r>
      <w:r w:rsidRPr="00397A3E">
        <w:rPr>
          <w:noProof w:val="0"/>
        </w:rPr>
        <w:t xml:space="preserve">).  </w:t>
      </w:r>
    </w:p>
    <w:p w14:paraId="287F79E4" w14:textId="4DFF61AA" w:rsidR="00DF2CC6" w:rsidRPr="00397A3E" w:rsidRDefault="00171C91" w:rsidP="00280954">
      <w:pPr>
        <w:pStyle w:val="Caption"/>
        <w:rPr>
          <w:noProof w:val="0"/>
        </w:rPr>
      </w:pPr>
      <w:bookmarkStart w:id="68" w:name="_Ref70955381"/>
      <w:bookmarkStart w:id="69" w:name="_Toc106964855"/>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2</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3</w:t>
      </w:r>
      <w:r w:rsidR="00F178D7">
        <w:rPr>
          <w:noProof w:val="0"/>
        </w:rPr>
        <w:fldChar w:fldCharType="end"/>
      </w:r>
      <w:bookmarkEnd w:id="68"/>
      <w:r w:rsidRPr="00397A3E">
        <w:rPr>
          <w:noProof w:val="0"/>
        </w:rPr>
        <w:t xml:space="preserve">. OHAT </w:t>
      </w:r>
      <w:r w:rsidR="0011078F" w:rsidRPr="00397A3E">
        <w:rPr>
          <w:noProof w:val="0"/>
        </w:rPr>
        <w:t>r</w:t>
      </w:r>
      <w:r w:rsidRPr="00397A3E">
        <w:rPr>
          <w:noProof w:val="0"/>
        </w:rPr>
        <w:t>isk</w:t>
      </w:r>
      <w:r w:rsidR="0011078F" w:rsidRPr="00397A3E">
        <w:rPr>
          <w:noProof w:val="0"/>
        </w:rPr>
        <w:t xml:space="preserve"> </w:t>
      </w:r>
      <w:r w:rsidRPr="00397A3E">
        <w:rPr>
          <w:noProof w:val="0"/>
        </w:rPr>
        <w:t>of</w:t>
      </w:r>
      <w:r w:rsidR="0011078F" w:rsidRPr="00397A3E">
        <w:rPr>
          <w:noProof w:val="0"/>
        </w:rPr>
        <w:t xml:space="preserve"> b</w:t>
      </w:r>
      <w:r w:rsidRPr="00397A3E">
        <w:rPr>
          <w:noProof w:val="0"/>
        </w:rPr>
        <w:t>ias scheme categories</w:t>
      </w:r>
      <w:r w:rsidR="00831DB0">
        <w:rPr>
          <w:noProof w:val="0"/>
        </w:rPr>
        <w:t xml:space="preserve"> (OHAT, 2015</w:t>
      </w:r>
      <w:r w:rsidR="009D14CD">
        <w:rPr>
          <w:noProof w:val="0"/>
        </w:rPr>
        <w:t>)</w:t>
      </w:r>
      <w:bookmarkEnd w:id="69"/>
    </w:p>
    <w:tbl>
      <w:tblPr>
        <w:tblStyle w:val="EcosleftTableStyle"/>
        <w:tblW w:w="0" w:type="auto"/>
        <w:tblLook w:val="04A0" w:firstRow="1" w:lastRow="0" w:firstColumn="1" w:lastColumn="0" w:noHBand="0" w:noVBand="1"/>
      </w:tblPr>
      <w:tblGrid>
        <w:gridCol w:w="771"/>
        <w:gridCol w:w="6802"/>
      </w:tblGrid>
      <w:tr w:rsidR="00785848" w14:paraId="66C9A4A1" w14:textId="77777777" w:rsidTr="007858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71" w:type="dxa"/>
          </w:tcPr>
          <w:p w14:paraId="3D73EDAE" w14:textId="77777777" w:rsidR="00DF2CC6" w:rsidRPr="00397A3E" w:rsidRDefault="00171C91" w:rsidP="003C0A46">
            <w:pPr>
              <w:spacing w:before="60" w:after="60" w:line="240" w:lineRule="auto"/>
              <w:rPr>
                <w:rFonts w:asciiTheme="minorHAnsi" w:hAnsiTheme="minorHAnsi" w:cstheme="minorHAnsi"/>
                <w:noProof w:val="0"/>
                <w:sz w:val="18"/>
                <w:szCs w:val="28"/>
              </w:rPr>
            </w:pPr>
            <w:r w:rsidRPr="00397A3E">
              <w:rPr>
                <w:rFonts w:asciiTheme="minorHAnsi" w:hAnsiTheme="minorHAnsi" w:cstheme="minorHAnsi"/>
                <w:noProof w:val="0"/>
                <w:sz w:val="18"/>
                <w:szCs w:val="28"/>
              </w:rPr>
              <w:t>Symbol</w:t>
            </w:r>
          </w:p>
        </w:tc>
        <w:tc>
          <w:tcPr>
            <w:tcW w:w="6802" w:type="dxa"/>
          </w:tcPr>
          <w:p w14:paraId="2371FB7D" w14:textId="77777777" w:rsidR="00DF2CC6" w:rsidRPr="00397A3E" w:rsidRDefault="00171C91" w:rsidP="003C0A46">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val="0"/>
                <w:sz w:val="18"/>
                <w:szCs w:val="28"/>
                <w:lang w:bidi="en-US"/>
              </w:rPr>
            </w:pPr>
            <w:r w:rsidRPr="00397A3E">
              <w:rPr>
                <w:rFonts w:asciiTheme="minorHAnsi" w:hAnsiTheme="minorHAnsi" w:cstheme="minorHAnsi"/>
                <w:noProof w:val="0"/>
                <w:sz w:val="18"/>
                <w:szCs w:val="28"/>
                <w:lang w:bidi="en-US"/>
              </w:rPr>
              <w:t>Description</w:t>
            </w:r>
          </w:p>
        </w:tc>
      </w:tr>
      <w:tr w:rsidR="00785848" w14:paraId="4A63DB48" w14:textId="77777777" w:rsidTr="00785848">
        <w:tc>
          <w:tcPr>
            <w:cnfStyle w:val="001000000000" w:firstRow="0" w:lastRow="0" w:firstColumn="1" w:lastColumn="0" w:oddVBand="0" w:evenVBand="0" w:oddHBand="0" w:evenHBand="0" w:firstRowFirstColumn="0" w:firstRowLastColumn="0" w:lastRowFirstColumn="0" w:lastRowLastColumn="0"/>
            <w:tcW w:w="771" w:type="dxa"/>
            <w:vMerge w:val="restart"/>
            <w:shd w:val="clear" w:color="auto" w:fill="008000"/>
          </w:tcPr>
          <w:p w14:paraId="60BD937F" w14:textId="77777777" w:rsidR="00DF2CC6" w:rsidRPr="00397A3E" w:rsidRDefault="00171C91" w:rsidP="003C0A46">
            <w:pPr>
              <w:spacing w:before="20" w:after="20" w:line="240" w:lineRule="auto"/>
              <w:jc w:val="center"/>
              <w:rPr>
                <w:rFonts w:asciiTheme="minorHAnsi" w:hAnsiTheme="minorHAnsi" w:cstheme="minorHAnsi"/>
                <w:b/>
                <w:bCs/>
                <w:noProof w:val="0"/>
                <w:sz w:val="28"/>
                <w:szCs w:val="28"/>
              </w:rPr>
            </w:pPr>
            <w:r w:rsidRPr="00397A3E">
              <w:rPr>
                <w:rFonts w:asciiTheme="minorHAnsi" w:hAnsiTheme="minorHAnsi" w:cstheme="minorHAnsi"/>
                <w:b/>
                <w:bCs/>
                <w:noProof w:val="0"/>
                <w:color w:val="FFFFFF" w:themeColor="background1"/>
                <w:sz w:val="28"/>
                <w:szCs w:val="28"/>
              </w:rPr>
              <w:t>++</w:t>
            </w:r>
          </w:p>
        </w:tc>
        <w:tc>
          <w:tcPr>
            <w:tcW w:w="6802" w:type="dxa"/>
          </w:tcPr>
          <w:p w14:paraId="63D05543" w14:textId="77777777" w:rsidR="00DF2CC6" w:rsidRPr="00397A3E" w:rsidRDefault="00171C91" w:rsidP="003C0A4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18"/>
                <w:szCs w:val="18"/>
                <w:lang w:bidi="en-US"/>
              </w:rPr>
            </w:pPr>
            <w:r w:rsidRPr="00397A3E">
              <w:rPr>
                <w:rFonts w:asciiTheme="minorHAnsi" w:hAnsiTheme="minorHAnsi" w:cstheme="minorHAnsi"/>
                <w:b/>
                <w:i/>
                <w:noProof w:val="0"/>
                <w:sz w:val="18"/>
                <w:szCs w:val="18"/>
                <w:lang w:bidi="en-US"/>
              </w:rPr>
              <w:t xml:space="preserve">Definitely Low </w:t>
            </w:r>
            <w:r w:rsidRPr="00397A3E">
              <w:rPr>
                <w:rFonts w:asciiTheme="minorHAnsi" w:hAnsiTheme="minorHAnsi" w:cstheme="minorHAnsi"/>
                <w:i/>
                <w:noProof w:val="0"/>
                <w:sz w:val="18"/>
                <w:szCs w:val="18"/>
                <w:lang w:bidi="en-US"/>
              </w:rPr>
              <w:t>risk of bias</w:t>
            </w:r>
            <w:r w:rsidRPr="00397A3E">
              <w:rPr>
                <w:rFonts w:asciiTheme="minorHAnsi" w:hAnsiTheme="minorHAnsi" w:cstheme="minorHAnsi"/>
                <w:noProof w:val="0"/>
                <w:sz w:val="18"/>
                <w:szCs w:val="18"/>
                <w:lang w:bidi="en-US"/>
              </w:rPr>
              <w:t>:</w:t>
            </w:r>
          </w:p>
        </w:tc>
      </w:tr>
      <w:tr w:rsidR="00785848" w14:paraId="36067151" w14:textId="77777777" w:rsidTr="00785848">
        <w:tc>
          <w:tcPr>
            <w:cnfStyle w:val="001000000000" w:firstRow="0" w:lastRow="0" w:firstColumn="1" w:lastColumn="0" w:oddVBand="0" w:evenVBand="0" w:oddHBand="0" w:evenHBand="0" w:firstRowFirstColumn="0" w:firstRowLastColumn="0" w:lastRowFirstColumn="0" w:lastRowLastColumn="0"/>
            <w:tcW w:w="771" w:type="dxa"/>
            <w:vMerge/>
            <w:shd w:val="clear" w:color="auto" w:fill="008000"/>
          </w:tcPr>
          <w:p w14:paraId="73E0413B" w14:textId="77777777" w:rsidR="00DF2CC6" w:rsidRPr="00397A3E" w:rsidRDefault="00DF2CC6" w:rsidP="003C0A46">
            <w:pPr>
              <w:spacing w:before="20" w:after="20" w:line="240" w:lineRule="auto"/>
              <w:jc w:val="center"/>
              <w:rPr>
                <w:rFonts w:asciiTheme="minorHAnsi" w:hAnsiTheme="minorHAnsi" w:cstheme="minorHAnsi"/>
                <w:noProof w:val="0"/>
                <w:sz w:val="28"/>
                <w:szCs w:val="28"/>
                <w:lang w:bidi="en-US"/>
              </w:rPr>
            </w:pPr>
          </w:p>
        </w:tc>
        <w:tc>
          <w:tcPr>
            <w:tcW w:w="6802" w:type="dxa"/>
          </w:tcPr>
          <w:p w14:paraId="7D3359BC" w14:textId="1852EAD3" w:rsidR="00DF2CC6" w:rsidRPr="00397A3E" w:rsidRDefault="00171C91" w:rsidP="003C0A4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18"/>
                <w:szCs w:val="18"/>
                <w:lang w:bidi="en-US"/>
              </w:rPr>
            </w:pPr>
            <w:r w:rsidRPr="00397A3E">
              <w:rPr>
                <w:rFonts w:asciiTheme="minorHAnsi" w:hAnsiTheme="minorHAnsi" w:cstheme="minorHAnsi"/>
                <w:noProof w:val="0"/>
                <w:sz w:val="18"/>
                <w:szCs w:val="18"/>
                <w:lang w:bidi="en-US"/>
              </w:rPr>
              <w:t>There is direct evidence of low risk</w:t>
            </w:r>
            <w:r w:rsidR="0011078F" w:rsidRPr="00397A3E">
              <w:rPr>
                <w:rFonts w:asciiTheme="minorHAnsi" w:hAnsiTheme="minorHAnsi" w:cstheme="minorHAnsi"/>
                <w:noProof w:val="0"/>
                <w:sz w:val="18"/>
                <w:szCs w:val="18"/>
                <w:lang w:bidi="en-US"/>
              </w:rPr>
              <w:t xml:space="preserve"> </w:t>
            </w:r>
            <w:r w:rsidRPr="00397A3E">
              <w:rPr>
                <w:rFonts w:asciiTheme="minorHAnsi" w:hAnsiTheme="minorHAnsi" w:cstheme="minorHAnsi"/>
                <w:noProof w:val="0"/>
                <w:sz w:val="18"/>
                <w:szCs w:val="18"/>
                <w:lang w:bidi="en-US"/>
              </w:rPr>
              <w:t>of</w:t>
            </w:r>
            <w:r w:rsidR="0011078F" w:rsidRPr="00397A3E">
              <w:rPr>
                <w:rFonts w:asciiTheme="minorHAnsi" w:hAnsiTheme="minorHAnsi" w:cstheme="minorHAnsi"/>
                <w:noProof w:val="0"/>
                <w:sz w:val="18"/>
                <w:szCs w:val="18"/>
                <w:lang w:bidi="en-US"/>
              </w:rPr>
              <w:t xml:space="preserve"> </w:t>
            </w:r>
            <w:r w:rsidRPr="00397A3E">
              <w:rPr>
                <w:rFonts w:asciiTheme="minorHAnsi" w:hAnsiTheme="minorHAnsi" w:cstheme="minorHAnsi"/>
                <w:noProof w:val="0"/>
                <w:sz w:val="18"/>
                <w:szCs w:val="18"/>
                <w:lang w:bidi="en-US"/>
              </w:rPr>
              <w:t xml:space="preserve">bias practices. </w:t>
            </w:r>
            <w:r w:rsidRPr="00397A3E">
              <w:rPr>
                <w:rFonts w:asciiTheme="minorHAnsi" w:hAnsiTheme="minorHAnsi" w:cstheme="minorHAnsi"/>
                <w:noProof w:val="0"/>
                <w:sz w:val="18"/>
                <w:szCs w:val="18"/>
                <w:lang w:bidi="en-US"/>
              </w:rPr>
              <w:br/>
              <w:t>May include specific examples of relevant low risk</w:t>
            </w:r>
            <w:r w:rsidR="0011078F" w:rsidRPr="00397A3E">
              <w:rPr>
                <w:rFonts w:asciiTheme="minorHAnsi" w:hAnsiTheme="minorHAnsi" w:cstheme="minorHAnsi"/>
                <w:noProof w:val="0"/>
                <w:sz w:val="18"/>
                <w:szCs w:val="18"/>
                <w:lang w:bidi="en-US"/>
              </w:rPr>
              <w:t xml:space="preserve"> </w:t>
            </w:r>
            <w:r w:rsidRPr="00397A3E">
              <w:rPr>
                <w:rFonts w:asciiTheme="minorHAnsi" w:hAnsiTheme="minorHAnsi" w:cstheme="minorHAnsi"/>
                <w:noProof w:val="0"/>
                <w:sz w:val="18"/>
                <w:szCs w:val="18"/>
                <w:lang w:bidi="en-US"/>
              </w:rPr>
              <w:t>of</w:t>
            </w:r>
            <w:r w:rsidR="0011078F" w:rsidRPr="00397A3E">
              <w:rPr>
                <w:rFonts w:asciiTheme="minorHAnsi" w:hAnsiTheme="minorHAnsi" w:cstheme="minorHAnsi"/>
                <w:noProof w:val="0"/>
                <w:sz w:val="18"/>
                <w:szCs w:val="18"/>
                <w:lang w:bidi="en-US"/>
              </w:rPr>
              <w:t xml:space="preserve"> </w:t>
            </w:r>
            <w:r w:rsidRPr="00397A3E">
              <w:rPr>
                <w:rFonts w:asciiTheme="minorHAnsi" w:hAnsiTheme="minorHAnsi" w:cstheme="minorHAnsi"/>
                <w:noProof w:val="0"/>
                <w:sz w:val="18"/>
                <w:szCs w:val="18"/>
                <w:lang w:bidi="en-US"/>
              </w:rPr>
              <w:t>bias practices.</w:t>
            </w:r>
          </w:p>
        </w:tc>
      </w:tr>
      <w:tr w:rsidR="00785848" w14:paraId="5BDC8131" w14:textId="77777777" w:rsidTr="00785848">
        <w:tc>
          <w:tcPr>
            <w:cnfStyle w:val="001000000000" w:firstRow="0" w:lastRow="0" w:firstColumn="1" w:lastColumn="0" w:oddVBand="0" w:evenVBand="0" w:oddHBand="0" w:evenHBand="0" w:firstRowFirstColumn="0" w:firstRowLastColumn="0" w:lastRowFirstColumn="0" w:lastRowLastColumn="0"/>
            <w:tcW w:w="771" w:type="dxa"/>
            <w:vMerge w:val="restart"/>
            <w:shd w:val="clear" w:color="auto" w:fill="9BBB59" w:themeFill="accent3"/>
          </w:tcPr>
          <w:p w14:paraId="3035F92F" w14:textId="77777777" w:rsidR="00DF2CC6" w:rsidRPr="00397A3E" w:rsidRDefault="00171C91" w:rsidP="003C0A46">
            <w:pPr>
              <w:spacing w:before="20" w:after="20" w:line="240" w:lineRule="auto"/>
              <w:jc w:val="center"/>
              <w:rPr>
                <w:rFonts w:asciiTheme="minorHAnsi" w:hAnsiTheme="minorHAnsi" w:cstheme="minorHAnsi"/>
                <w:b/>
                <w:noProof w:val="0"/>
                <w:sz w:val="28"/>
                <w:szCs w:val="28"/>
                <w:lang w:bidi="en-US"/>
              </w:rPr>
            </w:pPr>
            <w:r w:rsidRPr="00397A3E">
              <w:rPr>
                <w:rFonts w:asciiTheme="minorHAnsi" w:hAnsiTheme="minorHAnsi" w:cstheme="minorHAnsi"/>
                <w:b/>
                <w:noProof w:val="0"/>
                <w:sz w:val="28"/>
                <w:szCs w:val="28"/>
                <w:lang w:bidi="en-US"/>
              </w:rPr>
              <w:t>+</w:t>
            </w:r>
          </w:p>
        </w:tc>
        <w:tc>
          <w:tcPr>
            <w:tcW w:w="6802" w:type="dxa"/>
          </w:tcPr>
          <w:p w14:paraId="21A541DD" w14:textId="77777777" w:rsidR="00DF2CC6" w:rsidRPr="00397A3E" w:rsidRDefault="00171C91" w:rsidP="003C0A4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18"/>
                <w:szCs w:val="18"/>
                <w:lang w:bidi="en-US"/>
              </w:rPr>
            </w:pPr>
            <w:r w:rsidRPr="00397A3E">
              <w:rPr>
                <w:rFonts w:asciiTheme="minorHAnsi" w:hAnsiTheme="minorHAnsi" w:cstheme="minorHAnsi"/>
                <w:b/>
                <w:i/>
                <w:noProof w:val="0"/>
                <w:sz w:val="18"/>
                <w:szCs w:val="18"/>
                <w:lang w:bidi="en-US"/>
              </w:rPr>
              <w:t xml:space="preserve">Probably Low </w:t>
            </w:r>
            <w:r w:rsidRPr="00397A3E">
              <w:rPr>
                <w:rFonts w:asciiTheme="minorHAnsi" w:hAnsiTheme="minorHAnsi" w:cstheme="minorHAnsi"/>
                <w:i/>
                <w:noProof w:val="0"/>
                <w:sz w:val="18"/>
                <w:szCs w:val="18"/>
                <w:lang w:bidi="en-US"/>
              </w:rPr>
              <w:t>risk of bias</w:t>
            </w:r>
            <w:r w:rsidRPr="00397A3E">
              <w:rPr>
                <w:rFonts w:asciiTheme="minorHAnsi" w:hAnsiTheme="minorHAnsi" w:cstheme="minorHAnsi"/>
                <w:noProof w:val="0"/>
                <w:sz w:val="18"/>
                <w:szCs w:val="18"/>
                <w:lang w:bidi="en-US"/>
              </w:rPr>
              <w:t>:</w:t>
            </w:r>
          </w:p>
        </w:tc>
      </w:tr>
      <w:tr w:rsidR="00785848" w14:paraId="7211CF49" w14:textId="77777777" w:rsidTr="00785848">
        <w:tc>
          <w:tcPr>
            <w:cnfStyle w:val="001000000000" w:firstRow="0" w:lastRow="0" w:firstColumn="1" w:lastColumn="0" w:oddVBand="0" w:evenVBand="0" w:oddHBand="0" w:evenHBand="0" w:firstRowFirstColumn="0" w:firstRowLastColumn="0" w:lastRowFirstColumn="0" w:lastRowLastColumn="0"/>
            <w:tcW w:w="771" w:type="dxa"/>
            <w:vMerge/>
            <w:shd w:val="clear" w:color="auto" w:fill="9BBB59" w:themeFill="accent3"/>
          </w:tcPr>
          <w:p w14:paraId="355520B3" w14:textId="77777777" w:rsidR="00DF2CC6" w:rsidRPr="00397A3E" w:rsidRDefault="00DF2CC6" w:rsidP="003C0A46">
            <w:pPr>
              <w:spacing w:before="20" w:after="20" w:line="240" w:lineRule="auto"/>
              <w:jc w:val="center"/>
              <w:rPr>
                <w:rFonts w:asciiTheme="minorHAnsi" w:hAnsiTheme="minorHAnsi" w:cstheme="minorHAnsi"/>
                <w:noProof w:val="0"/>
                <w:sz w:val="28"/>
                <w:szCs w:val="28"/>
              </w:rPr>
            </w:pPr>
          </w:p>
        </w:tc>
        <w:tc>
          <w:tcPr>
            <w:tcW w:w="6802" w:type="dxa"/>
          </w:tcPr>
          <w:p w14:paraId="1DD43C16" w14:textId="3CCD2787" w:rsidR="00DF2CC6" w:rsidRPr="00397A3E" w:rsidRDefault="00171C91" w:rsidP="003C0A4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18"/>
                <w:szCs w:val="18"/>
                <w:lang w:bidi="en-US"/>
              </w:rPr>
            </w:pPr>
            <w:r w:rsidRPr="00397A3E">
              <w:rPr>
                <w:rFonts w:asciiTheme="minorHAnsi" w:hAnsiTheme="minorHAnsi" w:cstheme="minorHAnsi"/>
                <w:noProof w:val="0"/>
                <w:sz w:val="18"/>
                <w:szCs w:val="18"/>
                <w:lang w:bidi="en-US"/>
              </w:rPr>
              <w:t>There is indirect evidence of low risk</w:t>
            </w:r>
            <w:r w:rsidR="0011078F" w:rsidRPr="00397A3E">
              <w:rPr>
                <w:rFonts w:asciiTheme="minorHAnsi" w:hAnsiTheme="minorHAnsi" w:cstheme="minorHAnsi"/>
                <w:noProof w:val="0"/>
                <w:sz w:val="18"/>
                <w:szCs w:val="18"/>
                <w:lang w:bidi="en-US"/>
              </w:rPr>
              <w:t xml:space="preserve"> </w:t>
            </w:r>
            <w:r w:rsidRPr="00397A3E">
              <w:rPr>
                <w:rFonts w:asciiTheme="minorHAnsi" w:hAnsiTheme="minorHAnsi" w:cstheme="minorHAnsi"/>
                <w:noProof w:val="0"/>
                <w:sz w:val="18"/>
                <w:szCs w:val="18"/>
                <w:lang w:bidi="en-US"/>
              </w:rPr>
              <w:t>of</w:t>
            </w:r>
            <w:r w:rsidR="0011078F" w:rsidRPr="00397A3E">
              <w:rPr>
                <w:rFonts w:asciiTheme="minorHAnsi" w:hAnsiTheme="minorHAnsi" w:cstheme="minorHAnsi"/>
                <w:noProof w:val="0"/>
                <w:sz w:val="18"/>
                <w:szCs w:val="18"/>
                <w:lang w:bidi="en-US"/>
              </w:rPr>
              <w:t xml:space="preserve"> </w:t>
            </w:r>
            <w:r w:rsidRPr="00397A3E">
              <w:rPr>
                <w:rFonts w:asciiTheme="minorHAnsi" w:hAnsiTheme="minorHAnsi" w:cstheme="minorHAnsi"/>
                <w:noProof w:val="0"/>
                <w:sz w:val="18"/>
                <w:szCs w:val="18"/>
                <w:lang w:bidi="en-US"/>
              </w:rPr>
              <w:t xml:space="preserve">bias practices </w:t>
            </w:r>
            <w:r w:rsidRPr="00397A3E">
              <w:rPr>
                <w:rFonts w:asciiTheme="minorHAnsi" w:hAnsiTheme="minorHAnsi" w:cstheme="minorHAnsi"/>
                <w:b/>
                <w:noProof w:val="0"/>
                <w:sz w:val="18"/>
                <w:szCs w:val="18"/>
                <w:lang w:bidi="en-US"/>
              </w:rPr>
              <w:t xml:space="preserve">OR </w:t>
            </w:r>
            <w:r w:rsidRPr="00397A3E">
              <w:rPr>
                <w:rFonts w:asciiTheme="minorHAnsi" w:hAnsiTheme="minorHAnsi" w:cstheme="minorHAnsi"/>
                <w:noProof w:val="0"/>
                <w:sz w:val="18"/>
                <w:szCs w:val="18"/>
                <w:lang w:bidi="en-US"/>
              </w:rPr>
              <w:t>it is deemed that deviations from low risk</w:t>
            </w:r>
            <w:r w:rsidR="0011078F" w:rsidRPr="00397A3E">
              <w:rPr>
                <w:rFonts w:asciiTheme="minorHAnsi" w:hAnsiTheme="minorHAnsi" w:cstheme="minorHAnsi"/>
                <w:noProof w:val="0"/>
                <w:sz w:val="18"/>
                <w:szCs w:val="18"/>
                <w:lang w:bidi="en-US"/>
              </w:rPr>
              <w:t xml:space="preserve"> </w:t>
            </w:r>
            <w:r w:rsidRPr="00397A3E">
              <w:rPr>
                <w:rFonts w:asciiTheme="minorHAnsi" w:hAnsiTheme="minorHAnsi" w:cstheme="minorHAnsi"/>
                <w:noProof w:val="0"/>
                <w:sz w:val="18"/>
                <w:szCs w:val="18"/>
                <w:lang w:bidi="en-US"/>
              </w:rPr>
              <w:t>of</w:t>
            </w:r>
            <w:r w:rsidR="0011078F" w:rsidRPr="00397A3E">
              <w:rPr>
                <w:rFonts w:asciiTheme="minorHAnsi" w:hAnsiTheme="minorHAnsi" w:cstheme="minorHAnsi"/>
                <w:noProof w:val="0"/>
                <w:sz w:val="18"/>
                <w:szCs w:val="18"/>
                <w:lang w:bidi="en-US"/>
              </w:rPr>
              <w:t xml:space="preserve"> </w:t>
            </w:r>
            <w:r w:rsidRPr="00397A3E">
              <w:rPr>
                <w:rFonts w:asciiTheme="minorHAnsi" w:hAnsiTheme="minorHAnsi" w:cstheme="minorHAnsi"/>
                <w:noProof w:val="0"/>
                <w:sz w:val="18"/>
                <w:szCs w:val="18"/>
                <w:lang w:bidi="en-US"/>
              </w:rPr>
              <w:t xml:space="preserve">bias practices for these criteria during the study would not appreciably bias results, </w:t>
            </w:r>
            <w:r w:rsidRPr="00397A3E">
              <w:rPr>
                <w:rFonts w:asciiTheme="minorHAnsi" w:hAnsiTheme="minorHAnsi" w:cstheme="minorHAnsi"/>
                <w:noProof w:val="0"/>
                <w:sz w:val="18"/>
                <w:szCs w:val="18"/>
                <w:u w:val="single"/>
                <w:lang w:bidi="en-US"/>
              </w:rPr>
              <w:t>including consideration of direction and magnitude of bias</w:t>
            </w:r>
            <w:r w:rsidRPr="00397A3E">
              <w:rPr>
                <w:rFonts w:asciiTheme="minorHAnsi" w:hAnsiTheme="minorHAnsi" w:cstheme="minorHAnsi"/>
                <w:noProof w:val="0"/>
                <w:sz w:val="18"/>
                <w:szCs w:val="18"/>
                <w:lang w:bidi="en-US"/>
              </w:rPr>
              <w:t>.</w:t>
            </w:r>
          </w:p>
        </w:tc>
      </w:tr>
      <w:tr w:rsidR="00785848" w14:paraId="739ACF27" w14:textId="77777777" w:rsidTr="00785848">
        <w:tc>
          <w:tcPr>
            <w:cnfStyle w:val="001000000000" w:firstRow="0" w:lastRow="0" w:firstColumn="1" w:lastColumn="0" w:oddVBand="0" w:evenVBand="0" w:oddHBand="0" w:evenHBand="0" w:firstRowFirstColumn="0" w:firstRowLastColumn="0" w:lastRowFirstColumn="0" w:lastRowLastColumn="0"/>
            <w:tcW w:w="771" w:type="dxa"/>
            <w:vMerge w:val="restart"/>
            <w:shd w:val="clear" w:color="auto" w:fill="F2DBDB" w:themeFill="accent2" w:themeFillTint="33"/>
          </w:tcPr>
          <w:p w14:paraId="304A25AC" w14:textId="77777777" w:rsidR="00DF2CC6" w:rsidRPr="00397A3E" w:rsidRDefault="00171C91" w:rsidP="003C0A46">
            <w:pPr>
              <w:pStyle w:val="ListParagraph"/>
              <w:spacing w:before="20" w:after="20" w:line="240" w:lineRule="auto"/>
              <w:ind w:left="0"/>
              <w:jc w:val="center"/>
              <w:rPr>
                <w:rFonts w:asciiTheme="minorHAnsi" w:hAnsiTheme="minorHAnsi" w:cstheme="minorHAnsi"/>
                <w:b/>
                <w:noProof w:val="0"/>
                <w:sz w:val="28"/>
                <w:szCs w:val="28"/>
                <w:lang w:val="en-AU" w:bidi="en-US"/>
              </w:rPr>
            </w:pPr>
            <w:r w:rsidRPr="00397A3E">
              <w:rPr>
                <w:rFonts w:asciiTheme="minorHAnsi" w:hAnsiTheme="minorHAnsi" w:cstheme="minorHAnsi"/>
                <w:b/>
                <w:noProof w:val="0"/>
                <w:sz w:val="28"/>
                <w:szCs w:val="28"/>
                <w:lang w:val="en-AU" w:bidi="en-US"/>
              </w:rPr>
              <w:t>-</w:t>
            </w:r>
          </w:p>
        </w:tc>
        <w:tc>
          <w:tcPr>
            <w:tcW w:w="6802" w:type="dxa"/>
          </w:tcPr>
          <w:p w14:paraId="2793FE98" w14:textId="77777777" w:rsidR="00DF2CC6" w:rsidRPr="00397A3E" w:rsidRDefault="00171C91" w:rsidP="003C0A4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18"/>
                <w:szCs w:val="18"/>
                <w:lang w:bidi="en-US"/>
              </w:rPr>
            </w:pPr>
            <w:r w:rsidRPr="00397A3E">
              <w:rPr>
                <w:rFonts w:asciiTheme="minorHAnsi" w:hAnsiTheme="minorHAnsi" w:cstheme="minorHAnsi"/>
                <w:b/>
                <w:i/>
                <w:noProof w:val="0"/>
                <w:sz w:val="18"/>
                <w:szCs w:val="18"/>
                <w:lang w:bidi="en-US"/>
              </w:rPr>
              <w:t xml:space="preserve">Probably High </w:t>
            </w:r>
            <w:r w:rsidRPr="00397A3E">
              <w:rPr>
                <w:rFonts w:asciiTheme="minorHAnsi" w:hAnsiTheme="minorHAnsi" w:cstheme="minorHAnsi"/>
                <w:i/>
                <w:noProof w:val="0"/>
                <w:sz w:val="18"/>
                <w:szCs w:val="18"/>
                <w:lang w:bidi="en-US"/>
              </w:rPr>
              <w:t>risk of bias</w:t>
            </w:r>
            <w:r w:rsidRPr="00397A3E">
              <w:rPr>
                <w:rFonts w:asciiTheme="minorHAnsi" w:hAnsiTheme="minorHAnsi" w:cstheme="minorHAnsi"/>
                <w:noProof w:val="0"/>
                <w:sz w:val="18"/>
                <w:szCs w:val="18"/>
                <w:lang w:bidi="en-US"/>
              </w:rPr>
              <w:t>:</w:t>
            </w:r>
          </w:p>
        </w:tc>
      </w:tr>
      <w:tr w:rsidR="00785848" w14:paraId="51FC0620" w14:textId="77777777" w:rsidTr="00785848">
        <w:tc>
          <w:tcPr>
            <w:cnfStyle w:val="001000000000" w:firstRow="0" w:lastRow="0" w:firstColumn="1" w:lastColumn="0" w:oddVBand="0" w:evenVBand="0" w:oddHBand="0" w:evenHBand="0" w:firstRowFirstColumn="0" w:firstRowLastColumn="0" w:lastRowFirstColumn="0" w:lastRowLastColumn="0"/>
            <w:tcW w:w="771" w:type="dxa"/>
            <w:vMerge/>
            <w:shd w:val="clear" w:color="auto" w:fill="F2DBDB" w:themeFill="accent2" w:themeFillTint="33"/>
          </w:tcPr>
          <w:p w14:paraId="150A0561" w14:textId="77777777" w:rsidR="00DF2CC6" w:rsidRPr="00397A3E" w:rsidRDefault="00DF2CC6" w:rsidP="003C0A46">
            <w:pPr>
              <w:spacing w:before="20" w:after="20" w:line="240" w:lineRule="auto"/>
              <w:jc w:val="center"/>
              <w:rPr>
                <w:rFonts w:asciiTheme="minorHAnsi" w:hAnsiTheme="minorHAnsi" w:cstheme="minorHAnsi"/>
                <w:noProof w:val="0"/>
                <w:sz w:val="28"/>
                <w:szCs w:val="28"/>
                <w:lang w:bidi="en-US"/>
              </w:rPr>
            </w:pPr>
          </w:p>
        </w:tc>
        <w:tc>
          <w:tcPr>
            <w:tcW w:w="6802" w:type="dxa"/>
          </w:tcPr>
          <w:p w14:paraId="3C7D179B" w14:textId="298B43FA" w:rsidR="00DF2CC6" w:rsidRPr="00397A3E" w:rsidRDefault="00171C91" w:rsidP="003C0A4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18"/>
                <w:szCs w:val="18"/>
                <w:lang w:bidi="en-US"/>
              </w:rPr>
            </w:pPr>
            <w:r w:rsidRPr="00397A3E">
              <w:rPr>
                <w:rFonts w:asciiTheme="minorHAnsi" w:hAnsiTheme="minorHAnsi" w:cstheme="minorHAnsi"/>
                <w:noProof w:val="0"/>
                <w:sz w:val="18"/>
                <w:szCs w:val="18"/>
                <w:lang w:bidi="en-US"/>
              </w:rPr>
              <w:t>There is indirect evidence of high risk</w:t>
            </w:r>
            <w:r w:rsidR="0011078F" w:rsidRPr="00397A3E">
              <w:rPr>
                <w:rFonts w:asciiTheme="minorHAnsi" w:hAnsiTheme="minorHAnsi" w:cstheme="minorHAnsi"/>
                <w:noProof w:val="0"/>
                <w:sz w:val="18"/>
                <w:szCs w:val="18"/>
                <w:lang w:bidi="en-US"/>
              </w:rPr>
              <w:t xml:space="preserve"> </w:t>
            </w:r>
            <w:r w:rsidRPr="00397A3E">
              <w:rPr>
                <w:rFonts w:asciiTheme="minorHAnsi" w:hAnsiTheme="minorHAnsi" w:cstheme="minorHAnsi"/>
                <w:noProof w:val="0"/>
                <w:sz w:val="18"/>
                <w:szCs w:val="18"/>
                <w:lang w:bidi="en-US"/>
              </w:rPr>
              <w:t>of</w:t>
            </w:r>
            <w:r w:rsidR="0011078F" w:rsidRPr="00397A3E">
              <w:rPr>
                <w:rFonts w:asciiTheme="minorHAnsi" w:hAnsiTheme="minorHAnsi" w:cstheme="minorHAnsi"/>
                <w:noProof w:val="0"/>
                <w:sz w:val="18"/>
                <w:szCs w:val="18"/>
                <w:lang w:bidi="en-US"/>
              </w:rPr>
              <w:t xml:space="preserve"> </w:t>
            </w:r>
            <w:r w:rsidRPr="00397A3E">
              <w:rPr>
                <w:rFonts w:asciiTheme="minorHAnsi" w:hAnsiTheme="minorHAnsi" w:cstheme="minorHAnsi"/>
                <w:noProof w:val="0"/>
                <w:sz w:val="18"/>
                <w:szCs w:val="18"/>
                <w:lang w:bidi="en-US"/>
              </w:rPr>
              <w:t>bias practices</w:t>
            </w:r>
          </w:p>
          <w:p w14:paraId="25FF6615" w14:textId="5BF1600B" w:rsidR="00DF2CC6" w:rsidRPr="00397A3E" w:rsidRDefault="00171C91" w:rsidP="003C0A4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18"/>
                <w:szCs w:val="18"/>
                <w:lang w:bidi="en-US"/>
              </w:rPr>
            </w:pPr>
            <w:r w:rsidRPr="00397A3E">
              <w:rPr>
                <w:rFonts w:asciiTheme="minorHAnsi" w:hAnsiTheme="minorHAnsi" w:cstheme="minorHAnsi"/>
                <w:noProof w:val="0"/>
                <w:sz w:val="18"/>
                <w:szCs w:val="18"/>
                <w:lang w:bidi="en-US"/>
              </w:rPr>
              <w:t>If there is insufficient information provided about relevant risk</w:t>
            </w:r>
            <w:r w:rsidR="0011078F" w:rsidRPr="00397A3E">
              <w:rPr>
                <w:rFonts w:asciiTheme="minorHAnsi" w:hAnsiTheme="minorHAnsi" w:cstheme="minorHAnsi"/>
                <w:noProof w:val="0"/>
                <w:sz w:val="18"/>
                <w:szCs w:val="18"/>
                <w:lang w:bidi="en-US"/>
              </w:rPr>
              <w:t xml:space="preserve"> </w:t>
            </w:r>
            <w:r w:rsidRPr="00397A3E">
              <w:rPr>
                <w:rFonts w:asciiTheme="minorHAnsi" w:hAnsiTheme="minorHAnsi" w:cstheme="minorHAnsi"/>
                <w:noProof w:val="0"/>
                <w:sz w:val="18"/>
                <w:szCs w:val="18"/>
                <w:lang w:bidi="en-US"/>
              </w:rPr>
              <w:t>of</w:t>
            </w:r>
            <w:r w:rsidR="0011078F" w:rsidRPr="00397A3E">
              <w:rPr>
                <w:rFonts w:asciiTheme="minorHAnsi" w:hAnsiTheme="minorHAnsi" w:cstheme="minorHAnsi"/>
                <w:noProof w:val="0"/>
                <w:sz w:val="18"/>
                <w:szCs w:val="18"/>
                <w:lang w:bidi="en-US"/>
              </w:rPr>
              <w:t xml:space="preserve"> </w:t>
            </w:r>
            <w:r w:rsidRPr="00397A3E">
              <w:rPr>
                <w:rFonts w:asciiTheme="minorHAnsi" w:hAnsiTheme="minorHAnsi" w:cstheme="minorHAnsi"/>
                <w:noProof w:val="0"/>
                <w:sz w:val="18"/>
                <w:szCs w:val="18"/>
                <w:lang w:bidi="en-US"/>
              </w:rPr>
              <w:t>bias practices, “not reported” or “NR” may be used instead of the minus symbol “-“.</w:t>
            </w:r>
          </w:p>
        </w:tc>
      </w:tr>
      <w:tr w:rsidR="00785848" w14:paraId="51508B12" w14:textId="77777777" w:rsidTr="00785848">
        <w:tc>
          <w:tcPr>
            <w:cnfStyle w:val="001000000000" w:firstRow="0" w:lastRow="0" w:firstColumn="1" w:lastColumn="0" w:oddVBand="0" w:evenVBand="0" w:oddHBand="0" w:evenHBand="0" w:firstRowFirstColumn="0" w:firstRowLastColumn="0" w:lastRowFirstColumn="0" w:lastRowLastColumn="0"/>
            <w:tcW w:w="771" w:type="dxa"/>
            <w:vMerge w:val="restart"/>
            <w:shd w:val="clear" w:color="auto" w:fill="CC3300"/>
          </w:tcPr>
          <w:p w14:paraId="4C83D2F0" w14:textId="77777777" w:rsidR="00DF2CC6" w:rsidRPr="00397A3E" w:rsidRDefault="00171C91" w:rsidP="003C0A46">
            <w:pPr>
              <w:spacing w:before="20" w:after="20" w:line="240" w:lineRule="auto"/>
              <w:jc w:val="center"/>
              <w:rPr>
                <w:rFonts w:asciiTheme="minorHAnsi" w:hAnsiTheme="minorHAnsi" w:cstheme="minorHAnsi"/>
                <w:noProof w:val="0"/>
                <w:sz w:val="28"/>
                <w:szCs w:val="28"/>
              </w:rPr>
            </w:pPr>
            <w:r w:rsidRPr="00397A3E">
              <w:rPr>
                <w:rFonts w:asciiTheme="minorHAnsi" w:hAnsiTheme="minorHAnsi" w:cstheme="minorHAnsi"/>
                <w:noProof w:val="0"/>
                <w:color w:val="FFFFFF" w:themeColor="background1"/>
                <w:sz w:val="28"/>
                <w:szCs w:val="28"/>
              </w:rPr>
              <w:t>--</w:t>
            </w:r>
          </w:p>
        </w:tc>
        <w:tc>
          <w:tcPr>
            <w:tcW w:w="6802" w:type="dxa"/>
          </w:tcPr>
          <w:p w14:paraId="78402ECE" w14:textId="77777777" w:rsidR="00DF2CC6" w:rsidRPr="00397A3E" w:rsidRDefault="00171C91" w:rsidP="003C0A46">
            <w:pPr>
              <w:keepNext/>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18"/>
                <w:szCs w:val="18"/>
                <w:lang w:bidi="en-US"/>
              </w:rPr>
            </w:pPr>
            <w:r w:rsidRPr="00397A3E">
              <w:rPr>
                <w:rFonts w:asciiTheme="minorHAnsi" w:hAnsiTheme="minorHAnsi" w:cstheme="minorHAnsi"/>
                <w:b/>
                <w:i/>
                <w:noProof w:val="0"/>
                <w:sz w:val="18"/>
                <w:szCs w:val="18"/>
                <w:lang w:bidi="en-US"/>
              </w:rPr>
              <w:t xml:space="preserve">Definitely High </w:t>
            </w:r>
            <w:r w:rsidRPr="00397A3E">
              <w:rPr>
                <w:rFonts w:asciiTheme="minorHAnsi" w:hAnsiTheme="minorHAnsi" w:cstheme="minorHAnsi"/>
                <w:i/>
                <w:noProof w:val="0"/>
                <w:sz w:val="18"/>
                <w:szCs w:val="18"/>
                <w:lang w:bidi="en-US"/>
              </w:rPr>
              <w:t>risk of bias</w:t>
            </w:r>
            <w:r w:rsidRPr="00397A3E">
              <w:rPr>
                <w:rFonts w:asciiTheme="minorHAnsi" w:hAnsiTheme="minorHAnsi" w:cstheme="minorHAnsi"/>
                <w:noProof w:val="0"/>
                <w:sz w:val="18"/>
                <w:szCs w:val="18"/>
                <w:lang w:bidi="en-US"/>
              </w:rPr>
              <w:t>:</w:t>
            </w:r>
          </w:p>
        </w:tc>
      </w:tr>
      <w:tr w:rsidR="00785848" w14:paraId="1A5DBE32" w14:textId="77777777" w:rsidTr="00785848">
        <w:tc>
          <w:tcPr>
            <w:cnfStyle w:val="001000000000" w:firstRow="0" w:lastRow="0" w:firstColumn="1" w:lastColumn="0" w:oddVBand="0" w:evenVBand="0" w:oddHBand="0" w:evenHBand="0" w:firstRowFirstColumn="0" w:firstRowLastColumn="0" w:lastRowFirstColumn="0" w:lastRowLastColumn="0"/>
            <w:tcW w:w="771" w:type="dxa"/>
            <w:vMerge/>
            <w:shd w:val="clear" w:color="auto" w:fill="CC3300"/>
          </w:tcPr>
          <w:p w14:paraId="19F423A8" w14:textId="77777777" w:rsidR="00DF2CC6" w:rsidRPr="00397A3E" w:rsidRDefault="00DF2CC6" w:rsidP="003C0A46">
            <w:pPr>
              <w:spacing w:before="20" w:after="20" w:line="240" w:lineRule="auto"/>
              <w:rPr>
                <w:rFonts w:asciiTheme="minorHAnsi" w:hAnsiTheme="minorHAnsi" w:cstheme="minorHAnsi"/>
                <w:noProof w:val="0"/>
                <w:lang w:bidi="en-US"/>
              </w:rPr>
            </w:pPr>
          </w:p>
        </w:tc>
        <w:tc>
          <w:tcPr>
            <w:tcW w:w="6802" w:type="dxa"/>
          </w:tcPr>
          <w:p w14:paraId="4608B002" w14:textId="1F864EAD" w:rsidR="00DF2CC6" w:rsidRPr="00397A3E" w:rsidRDefault="00171C91" w:rsidP="003C0A4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18"/>
                <w:szCs w:val="18"/>
                <w:lang w:bidi="en-US"/>
              </w:rPr>
            </w:pPr>
            <w:r w:rsidRPr="00397A3E">
              <w:rPr>
                <w:rFonts w:asciiTheme="minorHAnsi" w:hAnsiTheme="minorHAnsi" w:cstheme="minorHAnsi"/>
                <w:noProof w:val="0"/>
                <w:sz w:val="18"/>
                <w:szCs w:val="18"/>
                <w:lang w:bidi="en-US"/>
              </w:rPr>
              <w:t>There is direct evidence of high risk</w:t>
            </w:r>
            <w:r w:rsidR="0011078F" w:rsidRPr="00397A3E">
              <w:rPr>
                <w:rFonts w:asciiTheme="minorHAnsi" w:hAnsiTheme="minorHAnsi" w:cstheme="minorHAnsi"/>
                <w:noProof w:val="0"/>
                <w:sz w:val="18"/>
                <w:szCs w:val="18"/>
                <w:lang w:bidi="en-US"/>
              </w:rPr>
              <w:t xml:space="preserve"> </w:t>
            </w:r>
            <w:r w:rsidRPr="00397A3E">
              <w:rPr>
                <w:rFonts w:asciiTheme="minorHAnsi" w:hAnsiTheme="minorHAnsi" w:cstheme="minorHAnsi"/>
                <w:noProof w:val="0"/>
                <w:sz w:val="18"/>
                <w:szCs w:val="18"/>
                <w:lang w:bidi="en-US"/>
              </w:rPr>
              <w:t>of</w:t>
            </w:r>
            <w:r w:rsidR="0011078F" w:rsidRPr="00397A3E">
              <w:rPr>
                <w:rFonts w:asciiTheme="minorHAnsi" w:hAnsiTheme="minorHAnsi" w:cstheme="minorHAnsi"/>
                <w:noProof w:val="0"/>
                <w:sz w:val="18"/>
                <w:szCs w:val="18"/>
                <w:lang w:bidi="en-US"/>
              </w:rPr>
              <w:t xml:space="preserve"> </w:t>
            </w:r>
            <w:r w:rsidRPr="00397A3E">
              <w:rPr>
                <w:rFonts w:asciiTheme="minorHAnsi" w:hAnsiTheme="minorHAnsi" w:cstheme="minorHAnsi"/>
                <w:noProof w:val="0"/>
                <w:sz w:val="18"/>
                <w:szCs w:val="18"/>
                <w:lang w:bidi="en-US"/>
              </w:rPr>
              <w:t>bias practices.</w:t>
            </w:r>
          </w:p>
          <w:p w14:paraId="56551D9C" w14:textId="51E1522C" w:rsidR="00DF2CC6" w:rsidRPr="00397A3E" w:rsidRDefault="00171C91" w:rsidP="003C0A4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18"/>
                <w:szCs w:val="18"/>
                <w:lang w:bidi="en-US"/>
              </w:rPr>
            </w:pPr>
            <w:r w:rsidRPr="00397A3E">
              <w:rPr>
                <w:rFonts w:asciiTheme="minorHAnsi" w:hAnsiTheme="minorHAnsi" w:cstheme="minorHAnsi"/>
                <w:noProof w:val="0"/>
                <w:sz w:val="18"/>
                <w:szCs w:val="18"/>
                <w:lang w:bidi="en-US"/>
              </w:rPr>
              <w:t>May include specific examples of relevant high risk</w:t>
            </w:r>
            <w:r w:rsidR="0011078F" w:rsidRPr="00397A3E">
              <w:rPr>
                <w:rFonts w:asciiTheme="minorHAnsi" w:hAnsiTheme="minorHAnsi" w:cstheme="minorHAnsi"/>
                <w:noProof w:val="0"/>
                <w:sz w:val="18"/>
                <w:szCs w:val="18"/>
                <w:lang w:bidi="en-US"/>
              </w:rPr>
              <w:t xml:space="preserve"> </w:t>
            </w:r>
            <w:r w:rsidRPr="00397A3E">
              <w:rPr>
                <w:rFonts w:asciiTheme="minorHAnsi" w:hAnsiTheme="minorHAnsi" w:cstheme="minorHAnsi"/>
                <w:noProof w:val="0"/>
                <w:sz w:val="18"/>
                <w:szCs w:val="18"/>
                <w:lang w:bidi="en-US"/>
              </w:rPr>
              <w:t>of</w:t>
            </w:r>
            <w:r w:rsidR="0011078F" w:rsidRPr="00397A3E">
              <w:rPr>
                <w:rFonts w:asciiTheme="minorHAnsi" w:hAnsiTheme="minorHAnsi" w:cstheme="minorHAnsi"/>
                <w:noProof w:val="0"/>
                <w:sz w:val="18"/>
                <w:szCs w:val="18"/>
                <w:lang w:bidi="en-US"/>
              </w:rPr>
              <w:t xml:space="preserve"> </w:t>
            </w:r>
            <w:r w:rsidRPr="00397A3E">
              <w:rPr>
                <w:rFonts w:asciiTheme="minorHAnsi" w:hAnsiTheme="minorHAnsi" w:cstheme="minorHAnsi"/>
                <w:noProof w:val="0"/>
                <w:sz w:val="18"/>
                <w:szCs w:val="18"/>
                <w:lang w:bidi="en-US"/>
              </w:rPr>
              <w:t>bias practices.</w:t>
            </w:r>
          </w:p>
        </w:tc>
      </w:tr>
    </w:tbl>
    <w:p w14:paraId="47A80BA5" w14:textId="2ACB8332" w:rsidR="0018113C" w:rsidRDefault="00171C91" w:rsidP="00DF2CC6">
      <w:pPr>
        <w:rPr>
          <w:noProof w:val="0"/>
        </w:rPr>
      </w:pPr>
      <w:r w:rsidRPr="00397A3E">
        <w:rPr>
          <w:noProof w:val="0"/>
        </w:rPr>
        <w:fldChar w:fldCharType="begin"/>
      </w:r>
      <w:r w:rsidRPr="00397A3E">
        <w:rPr>
          <w:noProof w:val="0"/>
        </w:rPr>
        <w:instrText xml:space="preserve"> ADDIN ZOTERO_ITEM CSL_CITATION {"citationID":"9gVbIeNA","properties":{"custom":"OHAT (2015)","formattedCitation":"OHAT (2015)","plainCitation":"OHAT (2015)","noteIndex":0},"citationItems":[{"id":11710,"uris":["http://zotero.org/users/148142/items/N6FQ6WBC"],"uri":["http://zotero.org/users/148142/items/N6FQ6WBC"],"itemData":{"id":11710,"type":"webpage","title":"Risk of Bias Tool. Office of Health Assessment and Translation (OHAT), U.S. Department of Health and Human Services","URL":"https://ntp.niehs.nih.gov/whatwestudy/assessments/noncancer/riskbias/index.html","author":[{"literal":"OHAT"}],"accessed":{"date-parts":[["2020",6,19]]},"issued":{"date-parts":[["2015",1]]}}}],"schema":"https://github.com/citation-style-language/schema/raw/master/csl-citation.json"} </w:instrText>
      </w:r>
      <w:r w:rsidRPr="00397A3E">
        <w:rPr>
          <w:noProof w:val="0"/>
        </w:rPr>
        <w:fldChar w:fldCharType="separate"/>
      </w:r>
      <w:r w:rsidRPr="00397A3E">
        <w:rPr>
          <w:noProof w:val="0"/>
        </w:rPr>
        <w:t>OHAT (2015)</w:t>
      </w:r>
      <w:r w:rsidRPr="00397A3E">
        <w:rPr>
          <w:noProof w:val="0"/>
        </w:rPr>
        <w:fldChar w:fldCharType="end"/>
      </w:r>
      <w:r w:rsidRPr="00397A3E">
        <w:rPr>
          <w:noProof w:val="0"/>
        </w:rPr>
        <w:t xml:space="preserve"> provides rigorous protocols that can be applied to case control studies, cohort studies, diagnostic test studies, randomised controlled trials, and cross-sectional studies. For these study types it was originally planned to apply the OHAT Risk-of-Bias Tool </w:t>
      </w:r>
      <w:r w:rsidRPr="00397A3E">
        <w:rPr>
          <w:noProof w:val="0"/>
        </w:rPr>
        <w:fldChar w:fldCharType="begin"/>
      </w:r>
      <w:r w:rsidRPr="00397A3E">
        <w:rPr>
          <w:noProof w:val="0"/>
        </w:rPr>
        <w:instrText xml:space="preserve"> ADDIN ZOTERO_ITEM CSL_CITATION {"citationID":"wsqSL7oz","properties":{"formattedCitation":"(OHAT, 2015)","plainCitation":"(OHAT, 2015)","noteIndex":0},"citationItems":[{"id":11710,"uris":["http://zotero.org/users/148142/items/N6FQ6WBC"],"uri":["http://zotero.org/users/148142/items/N6FQ6WBC"],"itemData":{"id":11710,"type":"webpage","title":"Risk of Bias Tool. Office of Health Assessment and Translation (OHAT), U.S. Department of Health and Human Services","URL":"https://ntp.niehs.nih.gov/whatwestudy/assessments/noncancer/riskbias/index.html","author":[{"literal":"OHAT"}],"accessed":{"date-parts":[["2020",6,19]]},"issued":{"date-parts":[["2015",1]]}}}],"schema":"https://github.com/citation-style-language/schema/raw/master/csl-citation.json"} </w:instrText>
      </w:r>
      <w:r w:rsidRPr="00397A3E">
        <w:rPr>
          <w:noProof w:val="0"/>
        </w:rPr>
        <w:fldChar w:fldCharType="separate"/>
      </w:r>
      <w:r w:rsidRPr="00397A3E">
        <w:rPr>
          <w:noProof w:val="0"/>
        </w:rPr>
        <w:t>(OHAT, 2015)</w:t>
      </w:r>
      <w:r w:rsidRPr="00397A3E">
        <w:rPr>
          <w:noProof w:val="0"/>
        </w:rPr>
        <w:fldChar w:fldCharType="end"/>
      </w:r>
      <w:r w:rsidRPr="00397A3E">
        <w:rPr>
          <w:noProof w:val="0"/>
        </w:rPr>
        <w:t xml:space="preserve"> and to develop similar risk of bias assessment criteria for the remaining categories of systematic reviews, qualitative and quantitative studies.  However, </w:t>
      </w:r>
      <w:r w:rsidR="00A8363D">
        <w:rPr>
          <w:noProof w:val="0"/>
        </w:rPr>
        <w:t xml:space="preserve">it was determined that the OHAT tool was not suitable for </w:t>
      </w:r>
      <w:r w:rsidRPr="00397A3E">
        <w:rPr>
          <w:noProof w:val="0"/>
        </w:rPr>
        <w:t xml:space="preserve">many </w:t>
      </w:r>
      <w:r w:rsidR="00A8363D">
        <w:rPr>
          <w:noProof w:val="0"/>
        </w:rPr>
        <w:t xml:space="preserve">of the </w:t>
      </w:r>
      <w:r w:rsidRPr="00397A3E">
        <w:rPr>
          <w:noProof w:val="0"/>
        </w:rPr>
        <w:t xml:space="preserve">shortlisted studies remaining after the screening process.  Consequently, the CASP critical appraisal </w:t>
      </w:r>
      <w:r w:rsidR="00A8363D">
        <w:rPr>
          <w:noProof w:val="0"/>
        </w:rPr>
        <w:t>tools were</w:t>
      </w:r>
      <w:r w:rsidRPr="00397A3E">
        <w:rPr>
          <w:noProof w:val="0"/>
        </w:rPr>
        <w:t xml:space="preserve"> used to conduct </w:t>
      </w:r>
      <w:r w:rsidR="00A8363D">
        <w:rPr>
          <w:noProof w:val="0"/>
        </w:rPr>
        <w:t xml:space="preserve">quality </w:t>
      </w:r>
      <w:r w:rsidRPr="00397A3E">
        <w:rPr>
          <w:noProof w:val="0"/>
        </w:rPr>
        <w:t>assessment</w:t>
      </w:r>
      <w:r w:rsidR="00A8363D">
        <w:rPr>
          <w:noProof w:val="0"/>
        </w:rPr>
        <w:t>s</w:t>
      </w:r>
      <w:r w:rsidRPr="00397A3E">
        <w:rPr>
          <w:noProof w:val="0"/>
        </w:rPr>
        <w:t xml:space="preserve"> for all study types because </w:t>
      </w:r>
      <w:r w:rsidR="009244E0">
        <w:rPr>
          <w:noProof w:val="0"/>
        </w:rPr>
        <w:t>they were simpler and more efficient to use</w:t>
      </w:r>
      <w:r w:rsidR="00831DB0">
        <w:rPr>
          <w:noProof w:val="0"/>
        </w:rPr>
        <w:t xml:space="preserve"> systematically across different study types</w:t>
      </w:r>
      <w:r>
        <w:rPr>
          <w:noProof w:val="0"/>
        </w:rPr>
        <w:t>.</w:t>
      </w:r>
      <w:r w:rsidR="00831DB0">
        <w:rPr>
          <w:noProof w:val="0"/>
        </w:rPr>
        <w:t xml:space="preserve"> While not completely overlapping, the CASP tools </w:t>
      </w:r>
      <w:r w:rsidRPr="00397A3E">
        <w:rPr>
          <w:noProof w:val="0"/>
        </w:rPr>
        <w:t>appl</w:t>
      </w:r>
      <w:r w:rsidR="00395233">
        <w:rPr>
          <w:noProof w:val="0"/>
        </w:rPr>
        <w:t>y</w:t>
      </w:r>
      <w:r w:rsidRPr="00397A3E">
        <w:rPr>
          <w:noProof w:val="0"/>
        </w:rPr>
        <w:t xml:space="preserve"> similar questions </w:t>
      </w:r>
      <w:r w:rsidR="00395233">
        <w:rPr>
          <w:noProof w:val="0"/>
        </w:rPr>
        <w:t xml:space="preserve">relating </w:t>
      </w:r>
      <w:r w:rsidR="009244E0">
        <w:rPr>
          <w:noProof w:val="0"/>
        </w:rPr>
        <w:t xml:space="preserve">to </w:t>
      </w:r>
      <w:r w:rsidR="00831DB0">
        <w:rPr>
          <w:noProof w:val="0"/>
        </w:rPr>
        <w:t xml:space="preserve">some of </w:t>
      </w:r>
      <w:r w:rsidR="009244E0">
        <w:rPr>
          <w:noProof w:val="0"/>
        </w:rPr>
        <w:t>the</w:t>
      </w:r>
      <w:r w:rsidR="00831DB0">
        <w:rPr>
          <w:noProof w:val="0"/>
        </w:rPr>
        <w:t xml:space="preserve"> key</w:t>
      </w:r>
      <w:r w:rsidR="009244E0">
        <w:rPr>
          <w:noProof w:val="0"/>
        </w:rPr>
        <w:t xml:space="preserve"> OHAT </w:t>
      </w:r>
      <w:r w:rsidR="00395233">
        <w:rPr>
          <w:noProof w:val="0"/>
        </w:rPr>
        <w:t>risk of bias domains for</w:t>
      </w:r>
      <w:r w:rsidRPr="00397A3E">
        <w:rPr>
          <w:noProof w:val="0"/>
        </w:rPr>
        <w:t xml:space="preserve"> </w:t>
      </w:r>
      <w:r w:rsidR="009244E0">
        <w:rPr>
          <w:noProof w:val="0"/>
        </w:rPr>
        <w:t>evaluating</w:t>
      </w:r>
      <w:r w:rsidRPr="00397A3E">
        <w:rPr>
          <w:noProof w:val="0"/>
        </w:rPr>
        <w:t xml:space="preserve"> the </w:t>
      </w:r>
      <w:r w:rsidR="00A8363D">
        <w:rPr>
          <w:noProof w:val="0"/>
        </w:rPr>
        <w:t xml:space="preserve">internal </w:t>
      </w:r>
      <w:r w:rsidRPr="00397A3E">
        <w:rPr>
          <w:noProof w:val="0"/>
        </w:rPr>
        <w:t xml:space="preserve">validity of </w:t>
      </w:r>
      <w:r w:rsidR="009244E0">
        <w:rPr>
          <w:noProof w:val="0"/>
        </w:rPr>
        <w:t>a primary</w:t>
      </w:r>
      <w:r w:rsidR="009244E0" w:rsidRPr="00397A3E">
        <w:rPr>
          <w:noProof w:val="0"/>
        </w:rPr>
        <w:t xml:space="preserve"> </w:t>
      </w:r>
      <w:r w:rsidRPr="00397A3E">
        <w:rPr>
          <w:noProof w:val="0"/>
        </w:rPr>
        <w:t>study and the quality of its</w:t>
      </w:r>
      <w:r w:rsidR="00A8363D">
        <w:rPr>
          <w:noProof w:val="0"/>
        </w:rPr>
        <w:t xml:space="preserve"> research</w:t>
      </w:r>
      <w:r w:rsidR="00A8363D" w:rsidRPr="00397A3E">
        <w:rPr>
          <w:noProof w:val="0"/>
        </w:rPr>
        <w:t xml:space="preserve"> </w:t>
      </w:r>
      <w:r w:rsidRPr="00397A3E">
        <w:rPr>
          <w:noProof w:val="0"/>
        </w:rPr>
        <w:t>findings.</w:t>
      </w:r>
    </w:p>
    <w:p w14:paraId="6B2EEFE3" w14:textId="062C77A2" w:rsidR="00297F53" w:rsidRPr="00397A3E" w:rsidRDefault="00171C91" w:rsidP="00DF2CC6">
      <w:pPr>
        <w:rPr>
          <w:noProof w:val="0"/>
        </w:rPr>
      </w:pPr>
      <w:r>
        <w:rPr>
          <w:noProof w:val="0"/>
        </w:rPr>
        <w:t xml:space="preserve">The OHAT tool provided a colour-coded visual scheme to summarise the risk of bias assessments and was applied based on the response to the CASP question. </w:t>
      </w:r>
      <w:r w:rsidRPr="0018113C">
        <w:rPr>
          <w:noProof w:val="0"/>
        </w:rPr>
        <w:t>The combination of the two critical appraisal tools allowed for a reasonable assessment of study quality within the resources available for the review.</w:t>
      </w:r>
    </w:p>
    <w:p w14:paraId="3EEAACE1" w14:textId="0886D1F2" w:rsidR="00AF35D0" w:rsidRPr="00397A3E" w:rsidRDefault="00171C91" w:rsidP="00AF35D0">
      <w:pPr>
        <w:rPr>
          <w:noProof w:val="0"/>
        </w:rPr>
      </w:pPr>
      <w:r w:rsidRPr="00397A3E">
        <w:rPr>
          <w:noProof w:val="0"/>
        </w:rPr>
        <w:t xml:space="preserve">Once a determination of risk of bias for each domain was made, a visual summary of the risk of bias ratings for the included studies </w:t>
      </w:r>
      <w:r w:rsidR="00DF2CC6" w:rsidRPr="00397A3E">
        <w:rPr>
          <w:noProof w:val="0"/>
        </w:rPr>
        <w:t>w</w:t>
      </w:r>
      <w:r w:rsidRPr="00397A3E">
        <w:rPr>
          <w:noProof w:val="0"/>
        </w:rPr>
        <w:t>as prepared and used to determine overall risk of bias across the body of evidence.</w:t>
      </w:r>
    </w:p>
    <w:p w14:paraId="53594BA9" w14:textId="77777777" w:rsidR="00BA6F16" w:rsidRPr="00397A3E" w:rsidRDefault="00BA6F16" w:rsidP="00AF35D0">
      <w:pPr>
        <w:rPr>
          <w:noProof w:val="0"/>
        </w:rPr>
      </w:pPr>
    </w:p>
    <w:p w14:paraId="3DA4E5EA" w14:textId="5BF01A34" w:rsidR="00486DEC" w:rsidRPr="00397A3E" w:rsidRDefault="00171C91" w:rsidP="00D95B6A">
      <w:pPr>
        <w:pStyle w:val="Heading2"/>
        <w:rPr>
          <w:noProof w:val="0"/>
        </w:rPr>
      </w:pPr>
      <w:bookmarkStart w:id="70" w:name="_Toc106964814"/>
      <w:bookmarkStart w:id="71" w:name="_Ref48299132"/>
      <w:bookmarkStart w:id="72" w:name="_Toc48299169"/>
      <w:r w:rsidRPr="00397A3E">
        <w:rPr>
          <w:noProof w:val="0"/>
        </w:rPr>
        <w:t xml:space="preserve">Data </w:t>
      </w:r>
      <w:r w:rsidR="00F97FB8" w:rsidRPr="00397A3E">
        <w:rPr>
          <w:noProof w:val="0"/>
        </w:rPr>
        <w:t>E</w:t>
      </w:r>
      <w:r w:rsidRPr="00397A3E">
        <w:rPr>
          <w:noProof w:val="0"/>
        </w:rPr>
        <w:t>xtraction</w:t>
      </w:r>
      <w:bookmarkEnd w:id="70"/>
    </w:p>
    <w:p w14:paraId="3CC63D13" w14:textId="6D486F72" w:rsidR="007477BA" w:rsidRPr="00397A3E" w:rsidRDefault="00171C91" w:rsidP="007477BA">
      <w:pPr>
        <w:rPr>
          <w:noProof w:val="0"/>
        </w:rPr>
      </w:pPr>
      <w:r w:rsidRPr="00397A3E">
        <w:rPr>
          <w:noProof w:val="0"/>
        </w:rPr>
        <w:t>Data were extracted from individual studies using standardised data extraction forms designed for each class of literature. Samples of the data extraction forms are presented in the Technical Report</w:t>
      </w:r>
      <w:r w:rsidR="002F4F2E">
        <w:rPr>
          <w:noProof w:val="0"/>
        </w:rPr>
        <w:t xml:space="preserve"> </w:t>
      </w:r>
      <w:r w:rsidR="002F4F2E">
        <w:rPr>
          <w:bCs/>
          <w:noProof w:val="0"/>
        </w:rPr>
        <w:fldChar w:fldCharType="begin"/>
      </w:r>
      <w:r w:rsidR="00F65EDC">
        <w:rPr>
          <w:bCs/>
          <w:noProof w:val="0"/>
        </w:rPr>
        <w:instrText xml:space="preserve"> ADDIN ZOTERO_ITEM CSL_CITATION {"citationID":"ofASmWAP","properties":{"formattedCitation":"(O\\uc0\\u8217{}Connor, 2022)","plainCitation":"(O’Connor, 2022)","noteIndex":0},"citationItems":[{"id":17799,"uris":["http://zotero.org/users/148142/items/2LMPM2CQ"],"uri":["http://zotero.org/users/148142/items/2LMPM2CQ"],"itemData":{"id":17799,"type":"report","title":"Technical Report for Narrative Reviews in support of NHMRC Recreational Water Quality Guidelines: Microbial Risks. DRAFT. Ecos Environmental Consulting, February 2022","author":[{"family":"O'Connor","given":"N.A."}],"issued":{"date-parts":[["2022",2]]}}}],"schema":"https://github.com/citation-style-language/schema/raw/master/csl-citation.json"} </w:instrText>
      </w:r>
      <w:r w:rsidR="002F4F2E">
        <w:rPr>
          <w:bCs/>
          <w:noProof w:val="0"/>
        </w:rPr>
        <w:fldChar w:fldCharType="separate"/>
      </w:r>
      <w:r w:rsidR="00F65EDC" w:rsidRPr="00F65EDC">
        <w:rPr>
          <w:rFonts w:cs="Arial"/>
        </w:rPr>
        <w:t>(O’Connor, 2022)</w:t>
      </w:r>
      <w:r w:rsidR="002F4F2E">
        <w:rPr>
          <w:bCs/>
          <w:noProof w:val="0"/>
        </w:rPr>
        <w:fldChar w:fldCharType="end"/>
      </w:r>
      <w:r w:rsidRPr="00397A3E">
        <w:rPr>
          <w:noProof w:val="0"/>
        </w:rPr>
        <w:t>.</w:t>
      </w:r>
    </w:p>
    <w:p w14:paraId="5623939C" w14:textId="77777777" w:rsidR="00BA6F16" w:rsidRPr="00397A3E" w:rsidRDefault="00BA6F16" w:rsidP="007477BA">
      <w:pPr>
        <w:rPr>
          <w:noProof w:val="0"/>
        </w:rPr>
      </w:pPr>
    </w:p>
    <w:p w14:paraId="6226E3FB" w14:textId="5AC71815" w:rsidR="00C81042" w:rsidRPr="00397A3E" w:rsidRDefault="00171C91" w:rsidP="00802F14">
      <w:pPr>
        <w:pStyle w:val="Heading2"/>
        <w:rPr>
          <w:noProof w:val="0"/>
        </w:rPr>
      </w:pPr>
      <w:bookmarkStart w:id="73" w:name="_Toc106964815"/>
      <w:bookmarkStart w:id="74" w:name="_Hlk71714886"/>
      <w:bookmarkStart w:id="75" w:name="_Hlk71902846"/>
      <w:r w:rsidRPr="00397A3E">
        <w:rPr>
          <w:noProof w:val="0"/>
        </w:rPr>
        <w:t>Process for Assessing the Body of Evidence</w:t>
      </w:r>
      <w:bookmarkEnd w:id="71"/>
      <w:bookmarkEnd w:id="72"/>
      <w:bookmarkEnd w:id="73"/>
    </w:p>
    <w:p w14:paraId="39095326" w14:textId="2150FFF2" w:rsidR="004B5665" w:rsidRPr="00397A3E" w:rsidRDefault="00171C91" w:rsidP="00297F53">
      <w:pPr>
        <w:pStyle w:val="Heading3"/>
        <w:rPr>
          <w:noProof w:val="0"/>
        </w:rPr>
      </w:pPr>
      <w:bookmarkStart w:id="76" w:name="_Toc106964816"/>
      <w:r w:rsidRPr="00397A3E">
        <w:rPr>
          <w:noProof w:val="0"/>
        </w:rPr>
        <w:t>Overview</w:t>
      </w:r>
      <w:bookmarkEnd w:id="76"/>
    </w:p>
    <w:p w14:paraId="782966E7" w14:textId="510C1C46" w:rsidR="00F535B1" w:rsidRPr="00397A3E" w:rsidRDefault="00171C91" w:rsidP="005D07BC">
      <w:pPr>
        <w:rPr>
          <w:noProof w:val="0"/>
        </w:rPr>
      </w:pPr>
      <w:bookmarkStart w:id="77" w:name="_Hlk71714978"/>
      <w:r w:rsidRPr="00397A3E">
        <w:rPr>
          <w:noProof w:val="0"/>
        </w:rPr>
        <w:t>The evidence collected and appraised for each research question was grouped by study type and outcome where possible and summarised in an Evidence Summary table that assigned the level of certainty (or confidence) in that body of evidence.</w:t>
      </w:r>
      <w:r w:rsidR="00C22D0C" w:rsidRPr="00397A3E">
        <w:rPr>
          <w:noProof w:val="0"/>
        </w:rPr>
        <w:t xml:space="preserve">  </w:t>
      </w:r>
      <w:bookmarkEnd w:id="74"/>
      <w:r w:rsidRPr="00397A3E">
        <w:rPr>
          <w:noProof w:val="0"/>
        </w:rPr>
        <w:t xml:space="preserve">Due to the different nature and quality of evidence between </w:t>
      </w:r>
      <w:r w:rsidR="00297F53" w:rsidRPr="00397A3E">
        <w:rPr>
          <w:noProof w:val="0"/>
        </w:rPr>
        <w:t>grey literature</w:t>
      </w:r>
      <w:r w:rsidR="00D85C0C" w:rsidRPr="00397A3E">
        <w:rPr>
          <w:noProof w:val="0"/>
        </w:rPr>
        <w:t xml:space="preserve"> and </w:t>
      </w:r>
      <w:r w:rsidR="00D76DFB" w:rsidRPr="00397A3E">
        <w:rPr>
          <w:noProof w:val="0"/>
        </w:rPr>
        <w:t>p</w:t>
      </w:r>
      <w:r w:rsidR="00D85C0C" w:rsidRPr="00397A3E">
        <w:rPr>
          <w:noProof w:val="0"/>
        </w:rPr>
        <w:t xml:space="preserve">rimary </w:t>
      </w:r>
      <w:r w:rsidR="00C04EAC" w:rsidRPr="00397A3E">
        <w:rPr>
          <w:noProof w:val="0"/>
        </w:rPr>
        <w:t>s</w:t>
      </w:r>
      <w:r w:rsidR="00D85C0C" w:rsidRPr="00397A3E">
        <w:rPr>
          <w:noProof w:val="0"/>
        </w:rPr>
        <w:t>tudies</w:t>
      </w:r>
      <w:r w:rsidR="00297F53" w:rsidRPr="00397A3E">
        <w:rPr>
          <w:noProof w:val="0"/>
        </w:rPr>
        <w:t>,</w:t>
      </w:r>
      <w:r w:rsidR="00D85C0C" w:rsidRPr="00397A3E">
        <w:rPr>
          <w:noProof w:val="0"/>
        </w:rPr>
        <w:t xml:space="preserve"> </w:t>
      </w:r>
      <w:r w:rsidRPr="00397A3E">
        <w:rPr>
          <w:noProof w:val="0"/>
        </w:rPr>
        <w:t xml:space="preserve">different approaches were required to review and evaluate the body of evidence for each </w:t>
      </w:r>
      <w:r w:rsidR="00614A0B" w:rsidRPr="00397A3E">
        <w:rPr>
          <w:noProof w:val="0"/>
        </w:rPr>
        <w:t>class</w:t>
      </w:r>
      <w:r w:rsidRPr="00397A3E">
        <w:rPr>
          <w:noProof w:val="0"/>
        </w:rPr>
        <w:t xml:space="preserve"> of literature.  </w:t>
      </w:r>
      <w:bookmarkEnd w:id="77"/>
      <w:r w:rsidR="00614A0B" w:rsidRPr="00397A3E">
        <w:rPr>
          <w:noProof w:val="0"/>
        </w:rPr>
        <w:t>The assessment methodology for each literature class is described in the following sections.</w:t>
      </w:r>
    </w:p>
    <w:p w14:paraId="57FDD678" w14:textId="0A04C86D" w:rsidR="00232391" w:rsidRPr="00397A3E" w:rsidRDefault="00171C91" w:rsidP="00232391">
      <w:pPr>
        <w:pStyle w:val="Heading3"/>
        <w:rPr>
          <w:noProof w:val="0"/>
          <w:color w:val="auto"/>
        </w:rPr>
      </w:pPr>
      <w:bookmarkStart w:id="78" w:name="_Toc71638747"/>
      <w:bookmarkStart w:id="79" w:name="_Toc106964817"/>
      <w:r w:rsidRPr="00397A3E">
        <w:rPr>
          <w:noProof w:val="0"/>
          <w:color w:val="auto"/>
        </w:rPr>
        <w:t xml:space="preserve">Assessment of the body of evidence – </w:t>
      </w:r>
      <w:r w:rsidR="00E02706" w:rsidRPr="00397A3E">
        <w:rPr>
          <w:noProof w:val="0"/>
          <w:color w:val="auto"/>
        </w:rPr>
        <w:t>p</w:t>
      </w:r>
      <w:r w:rsidR="00F03193" w:rsidRPr="00397A3E">
        <w:rPr>
          <w:noProof w:val="0"/>
          <w:color w:val="auto"/>
        </w:rPr>
        <w:t xml:space="preserve">rimary </w:t>
      </w:r>
      <w:r w:rsidR="00E02706" w:rsidRPr="00397A3E">
        <w:rPr>
          <w:noProof w:val="0"/>
          <w:color w:val="auto"/>
        </w:rPr>
        <w:t>s</w:t>
      </w:r>
      <w:r w:rsidR="00F03193" w:rsidRPr="00397A3E">
        <w:rPr>
          <w:noProof w:val="0"/>
          <w:color w:val="auto"/>
        </w:rPr>
        <w:t>tudies</w:t>
      </w:r>
      <w:bookmarkEnd w:id="78"/>
      <w:bookmarkEnd w:id="79"/>
    </w:p>
    <w:p w14:paraId="4019AF62" w14:textId="5CD37D34" w:rsidR="00232391" w:rsidRPr="00397A3E" w:rsidRDefault="00171C91" w:rsidP="00232391">
      <w:pPr>
        <w:rPr>
          <w:noProof w:val="0"/>
        </w:rPr>
      </w:pPr>
      <w:r w:rsidRPr="00397A3E">
        <w:rPr>
          <w:noProof w:val="0"/>
        </w:rPr>
        <w:t xml:space="preserve">A process described by </w:t>
      </w:r>
      <w:r w:rsidRPr="00397A3E">
        <w:rPr>
          <w:noProof w:val="0"/>
        </w:rPr>
        <w:fldChar w:fldCharType="begin"/>
      </w:r>
      <w:r w:rsidRPr="00397A3E">
        <w:rPr>
          <w:noProof w:val="0"/>
        </w:rPr>
        <w:instrText xml:space="preserve"> ADDIN ZOTERO_ITEM CSL_CITATION {"citationID":"TOVGTOqA","properties":{"custom":"Ryan and Hill (2016)","formattedCitation":"Ryan and Hill (2016)","plainCitation":"Ryan and Hill (2016)","noteIndex":0},"citationItems":[{"id":17461,"uris":["http://zotero.org/users/148142/items/KM6SMR4D"],"uri":["http://zotero.org/users/148142/items/KM6SMR4D"],"itemData":{"id":17461,"type":"report","title":"How to GRADE the quality of the evidence. Cochrane Consumers and Communication Group. Version 3.0 December 2016","URL":"http://cccrg.cochrane.org/author-resources","author":[{"family":"Ryan","given":"R"},{"family":"Hill","given":"S"}],"issued":{"date-parts":[["2016"]]}}}],"schema":"https://github.com/citation-style-language/schema/raw/master/csl-citation.json"} </w:instrText>
      </w:r>
      <w:r w:rsidRPr="00397A3E">
        <w:rPr>
          <w:noProof w:val="0"/>
        </w:rPr>
        <w:fldChar w:fldCharType="separate"/>
      </w:r>
      <w:r w:rsidRPr="00397A3E">
        <w:rPr>
          <w:rFonts w:cs="Arial"/>
          <w:noProof w:val="0"/>
        </w:rPr>
        <w:t>Ryan and Hill (2016)</w:t>
      </w:r>
      <w:r w:rsidRPr="00397A3E">
        <w:rPr>
          <w:noProof w:val="0"/>
        </w:rPr>
        <w:fldChar w:fldCharType="end"/>
      </w:r>
      <w:r w:rsidRPr="00397A3E">
        <w:rPr>
          <w:noProof w:val="0"/>
        </w:rPr>
        <w:t xml:space="preserve"> based on the OHAT approach to using the GRADE system (developed by </w:t>
      </w:r>
      <w:r w:rsidRPr="00397A3E">
        <w:rPr>
          <w:noProof w:val="0"/>
        </w:rPr>
        <w:fldChar w:fldCharType="begin"/>
      </w:r>
      <w:r w:rsidR="003A70F6" w:rsidRPr="00397A3E">
        <w:rPr>
          <w:noProof w:val="0"/>
        </w:rPr>
        <w:instrText xml:space="preserve"> ADDIN ZOTERO_ITEM CSL_CITATION {"citationID":"yyx0all7","properties":{"custom":"Guyatt, Oxman, et al., 2011)","formattedCitation":"Guyatt, Oxman, et al., 2011)","plainCitation":"Guyatt, Oxman, et al., 2011)","noteIndex":0},"citationItems":[{"id":17467,"uris":["http://zotero.org/users/148142/items/6IX5XNJP"],"uri":["http://zotero.org/users/148142/items/6IX5XNJP"],"itemData":{"id":17467,"type":"article-journal","container-title":"Journal of Clinical Epidemiology","DOI":"10.1016/j.jclinepi.2010.04.026","ISSN":"08954356","issue":"4","journalAbbreviation":"Journal of Clinical Epidemiology","language":"en","page":"383-394","source":"DOI.org (Crossref)","title":"GRADE guidelines: 1. Introduction—GRADE evidence profiles and summary of findings tables","title-short":"GRADE guidelines","URL":"https://linkinghub.elsevier.com/retrieve/pii/S0895435610003306","volume":"64","author":[{"family":"Guyatt","given":"Gordon"},{"family":"Oxman","given":"Andrew D."},{"family":"Akl","given":"Elie A."},{"family":"Kunz","given":"Regina"},{"family":"Vist","given":"Gunn"},{"family":"Brozek","given":"Jan"},{"family":"Norris","given":"Susan"},{"family":"Falck-Ytter","given":"Yngve"},{"family":"Glasziou","given":"Paul"},{"family":"deBeer","given":"Hans"}],"accessed":{"date-parts":[["2021",4,27]]},"issued":{"date-parts":[["2011",4]]}}}],"schema":"https://github.com/citation-style-language/schema/raw/master/csl-citation.json"} </w:instrText>
      </w:r>
      <w:r w:rsidRPr="00397A3E">
        <w:rPr>
          <w:noProof w:val="0"/>
        </w:rPr>
        <w:fldChar w:fldCharType="separate"/>
      </w:r>
      <w:r w:rsidRPr="00397A3E">
        <w:rPr>
          <w:rFonts w:cs="Arial"/>
          <w:noProof w:val="0"/>
        </w:rPr>
        <w:t>Guyatt, Oxman, et al., 2011)</w:t>
      </w:r>
      <w:r w:rsidRPr="00397A3E">
        <w:rPr>
          <w:noProof w:val="0"/>
        </w:rPr>
        <w:fldChar w:fldCharType="end"/>
      </w:r>
      <w:r w:rsidRPr="00397A3E">
        <w:rPr>
          <w:noProof w:val="0"/>
        </w:rPr>
        <w:t xml:space="preserve"> was used to assess the certainty of the body of evidence from </w:t>
      </w:r>
      <w:r w:rsidR="00E02706" w:rsidRPr="00397A3E">
        <w:rPr>
          <w:noProof w:val="0"/>
        </w:rPr>
        <w:t>p</w:t>
      </w:r>
      <w:r w:rsidR="00F03193" w:rsidRPr="00397A3E">
        <w:rPr>
          <w:noProof w:val="0"/>
        </w:rPr>
        <w:t xml:space="preserve">rimary </w:t>
      </w:r>
      <w:r w:rsidR="00E02706" w:rsidRPr="00397A3E">
        <w:rPr>
          <w:noProof w:val="0"/>
        </w:rPr>
        <w:t>s</w:t>
      </w:r>
      <w:r w:rsidR="00F03193" w:rsidRPr="00397A3E">
        <w:rPr>
          <w:noProof w:val="0"/>
        </w:rPr>
        <w:t>tudies</w:t>
      </w:r>
      <w:r w:rsidRPr="00397A3E">
        <w:rPr>
          <w:noProof w:val="0"/>
        </w:rPr>
        <w:t>. Evidence streams for each research question were tabulated together by outcome</w:t>
      </w:r>
      <w:r w:rsidR="00983E21" w:rsidRPr="00397A3E">
        <w:rPr>
          <w:noProof w:val="0"/>
        </w:rPr>
        <w:t>,</w:t>
      </w:r>
      <w:r w:rsidRPr="00397A3E">
        <w:rPr>
          <w:noProof w:val="0"/>
        </w:rPr>
        <w:t xml:space="preserve"> where possible. The domains used to assess certainty in the GRADE framework were applied to the body of evidence, after which an overall certainty rating was then assigned to each evidence stream.  The domains are:</w:t>
      </w:r>
    </w:p>
    <w:p w14:paraId="346A0AC2" w14:textId="77777777" w:rsidR="00232391" w:rsidRPr="00397A3E" w:rsidRDefault="00171C91" w:rsidP="00764500">
      <w:pPr>
        <w:pStyle w:val="ListParagraph"/>
        <w:numPr>
          <w:ilvl w:val="0"/>
          <w:numId w:val="9"/>
        </w:numPr>
        <w:ind w:left="714" w:hanging="357"/>
        <w:contextualSpacing/>
        <w:rPr>
          <w:noProof w:val="0"/>
          <w:lang w:val="en-AU"/>
        </w:rPr>
      </w:pPr>
      <w:r w:rsidRPr="00397A3E">
        <w:rPr>
          <w:noProof w:val="0"/>
          <w:lang w:val="en-AU"/>
        </w:rPr>
        <w:t>Overall risk of bias across studies;</w:t>
      </w:r>
    </w:p>
    <w:p w14:paraId="632B8B3E" w14:textId="77777777" w:rsidR="00232391" w:rsidRPr="00397A3E" w:rsidRDefault="00171C91" w:rsidP="00764500">
      <w:pPr>
        <w:pStyle w:val="ListParagraph"/>
        <w:numPr>
          <w:ilvl w:val="0"/>
          <w:numId w:val="9"/>
        </w:numPr>
        <w:ind w:left="714" w:hanging="357"/>
        <w:contextualSpacing/>
        <w:rPr>
          <w:noProof w:val="0"/>
          <w:lang w:val="en-AU"/>
        </w:rPr>
      </w:pPr>
      <w:r w:rsidRPr="00397A3E">
        <w:rPr>
          <w:noProof w:val="0"/>
          <w:lang w:val="en-AU"/>
        </w:rPr>
        <w:t>Unexplained inconsistency;</w:t>
      </w:r>
    </w:p>
    <w:p w14:paraId="1889B067" w14:textId="77777777" w:rsidR="00232391" w:rsidRPr="00397A3E" w:rsidRDefault="00171C91" w:rsidP="00764500">
      <w:pPr>
        <w:pStyle w:val="ListParagraph"/>
        <w:numPr>
          <w:ilvl w:val="0"/>
          <w:numId w:val="9"/>
        </w:numPr>
        <w:ind w:left="714" w:hanging="357"/>
        <w:contextualSpacing/>
        <w:rPr>
          <w:noProof w:val="0"/>
          <w:lang w:val="en-AU"/>
        </w:rPr>
      </w:pPr>
      <w:r w:rsidRPr="00397A3E">
        <w:rPr>
          <w:noProof w:val="0"/>
          <w:lang w:val="en-AU"/>
        </w:rPr>
        <w:t>Imprecision;</w:t>
      </w:r>
    </w:p>
    <w:p w14:paraId="754121F4" w14:textId="77777777" w:rsidR="00232391" w:rsidRPr="00397A3E" w:rsidRDefault="00171C91" w:rsidP="00764500">
      <w:pPr>
        <w:pStyle w:val="ListParagraph"/>
        <w:numPr>
          <w:ilvl w:val="0"/>
          <w:numId w:val="9"/>
        </w:numPr>
        <w:ind w:left="714" w:hanging="357"/>
        <w:contextualSpacing/>
        <w:rPr>
          <w:noProof w:val="0"/>
          <w:lang w:val="en-AU"/>
        </w:rPr>
      </w:pPr>
      <w:r w:rsidRPr="00397A3E">
        <w:rPr>
          <w:noProof w:val="0"/>
          <w:lang w:val="en-AU"/>
        </w:rPr>
        <w:t>Indirectness; and</w:t>
      </w:r>
    </w:p>
    <w:p w14:paraId="5EC072DE" w14:textId="77777777" w:rsidR="00232391" w:rsidRPr="00397A3E" w:rsidRDefault="00171C91" w:rsidP="00764500">
      <w:pPr>
        <w:pStyle w:val="ListParagraph"/>
        <w:numPr>
          <w:ilvl w:val="0"/>
          <w:numId w:val="9"/>
        </w:numPr>
        <w:ind w:left="714" w:hanging="357"/>
        <w:contextualSpacing/>
        <w:rPr>
          <w:noProof w:val="0"/>
          <w:lang w:val="en-AU"/>
        </w:rPr>
      </w:pPr>
      <w:r w:rsidRPr="00397A3E">
        <w:rPr>
          <w:noProof w:val="0"/>
          <w:lang w:val="en-AU"/>
        </w:rPr>
        <w:t xml:space="preserve">Publication bias. </w:t>
      </w:r>
    </w:p>
    <w:p w14:paraId="180397C7" w14:textId="22F36109" w:rsidR="00232391" w:rsidRPr="00397A3E" w:rsidRDefault="00171C91" w:rsidP="00232391">
      <w:pPr>
        <w:rPr>
          <w:noProof w:val="0"/>
        </w:rPr>
      </w:pPr>
      <w:r w:rsidRPr="00397A3E">
        <w:rPr>
          <w:noProof w:val="0"/>
        </w:rPr>
        <w:t xml:space="preserve">Each evidence stream was assigned an initial certainty rating based on the form shown in </w:t>
      </w:r>
      <w:r w:rsidRPr="00397A3E">
        <w:rPr>
          <w:noProof w:val="0"/>
        </w:rPr>
        <w:fldChar w:fldCharType="begin"/>
      </w:r>
      <w:r w:rsidRPr="00397A3E">
        <w:rPr>
          <w:noProof w:val="0"/>
        </w:rPr>
        <w:instrText xml:space="preserve"> REF _Ref70435464 \h </w:instrText>
      </w:r>
      <w:r w:rsidRPr="00397A3E">
        <w:rPr>
          <w:noProof w:val="0"/>
        </w:rPr>
      </w:r>
      <w:r w:rsidRPr="00397A3E">
        <w:rPr>
          <w:noProof w:val="0"/>
        </w:rPr>
        <w:fldChar w:fldCharType="separate"/>
      </w:r>
      <w:r w:rsidR="001A0E9F" w:rsidRPr="00397A3E">
        <w:rPr>
          <w:noProof w:val="0"/>
        </w:rPr>
        <w:t xml:space="preserve">Table </w:t>
      </w:r>
      <w:r w:rsidR="001A0E9F">
        <w:t>2</w:t>
      </w:r>
      <w:r w:rsidR="001A0E9F">
        <w:rPr>
          <w:noProof w:val="0"/>
        </w:rPr>
        <w:noBreakHyphen/>
      </w:r>
      <w:r w:rsidR="001A0E9F">
        <w:t>4</w:t>
      </w:r>
      <w:r w:rsidRPr="00397A3E">
        <w:rPr>
          <w:noProof w:val="0"/>
        </w:rPr>
        <w:fldChar w:fldCharType="end"/>
      </w:r>
      <w:r w:rsidR="00983E21" w:rsidRPr="00397A3E">
        <w:rPr>
          <w:noProof w:val="0"/>
        </w:rPr>
        <w:t>,</w:t>
      </w:r>
      <w:r w:rsidRPr="00397A3E">
        <w:rPr>
          <w:noProof w:val="0"/>
        </w:rPr>
        <w:t xml:space="preserve"> which is based on guidance from the OHAT </w:t>
      </w:r>
      <w:r w:rsidR="00040A41" w:rsidRPr="00397A3E">
        <w:rPr>
          <w:noProof w:val="0"/>
        </w:rPr>
        <w:t>H</w:t>
      </w:r>
      <w:r w:rsidRPr="00397A3E">
        <w:rPr>
          <w:noProof w:val="0"/>
        </w:rPr>
        <w:t xml:space="preserve">andbook </w:t>
      </w:r>
      <w:r w:rsidRPr="00397A3E">
        <w:rPr>
          <w:noProof w:val="0"/>
        </w:rPr>
        <w:fldChar w:fldCharType="begin"/>
      </w:r>
      <w:r w:rsidRPr="00397A3E">
        <w:rPr>
          <w:noProof w:val="0"/>
        </w:rPr>
        <w:instrText xml:space="preserve"> ADDIN ZOTERO_ITEM CSL_CITATION {"citationID":"2btffxPX","properties":{"formattedCitation":"(OHAT, 2019)","plainCitation":"(OHAT, 2019)","noteIndex":0},"citationItems":[{"id":11791,"uris":["http://zotero.org/users/148142/items/QNVMZ3M2"],"uri":["http://zotero.org/users/148142/items/QNVMZ3M2"],"itemData":{"id":11791,"type":"report","page":"101","publisher":"Office of Health Assessment and Translation (OHAT), US Department of Health and Human Services","title":"Handbook for Conducting a Literature-Based Health Assessment Using OHAT Approach for Systematic Review and Evidence Integration","URL":"https://ntp.niehs.nih.gov/go/ohathandbook","author":[{"literal":"OHAT"}],"issued":{"date-parts":[["2019",3,4]]}}}],"schema":"https://github.com/citation-style-language/schema/raw/master/csl-citation.json"} </w:instrText>
      </w:r>
      <w:r w:rsidRPr="00397A3E">
        <w:rPr>
          <w:noProof w:val="0"/>
        </w:rPr>
        <w:fldChar w:fldCharType="separate"/>
      </w:r>
      <w:r w:rsidRPr="00397A3E">
        <w:rPr>
          <w:rFonts w:cs="Arial"/>
          <w:noProof w:val="0"/>
        </w:rPr>
        <w:t>(OHAT, 2019)</w:t>
      </w:r>
      <w:r w:rsidRPr="00397A3E">
        <w:rPr>
          <w:noProof w:val="0"/>
        </w:rPr>
        <w:fldChar w:fldCharType="end"/>
      </w:r>
      <w:r w:rsidRPr="00397A3E">
        <w:rPr>
          <w:noProof w:val="0"/>
        </w:rPr>
        <w:t>. For example, evidence from randomised controlled trials could initially be graded as high certainty and evidence from qualitative studies could be initially graded as low certainty.</w:t>
      </w:r>
    </w:p>
    <w:p w14:paraId="5CE25AB3" w14:textId="63C813D1" w:rsidR="00232391" w:rsidRPr="00397A3E" w:rsidRDefault="00171C91" w:rsidP="00F85F33">
      <w:pPr>
        <w:pStyle w:val="Caption"/>
        <w:pageBreakBefore/>
        <w:rPr>
          <w:noProof w:val="0"/>
        </w:rPr>
      </w:pPr>
      <w:bookmarkStart w:id="80" w:name="_Ref70435464"/>
      <w:bookmarkStart w:id="81" w:name="_Toc71638843"/>
      <w:bookmarkStart w:id="82" w:name="_Toc106964856"/>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2</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4</w:t>
      </w:r>
      <w:r w:rsidR="00F178D7">
        <w:rPr>
          <w:noProof w:val="0"/>
        </w:rPr>
        <w:fldChar w:fldCharType="end"/>
      </w:r>
      <w:bookmarkEnd w:id="80"/>
      <w:r w:rsidRPr="00397A3E">
        <w:rPr>
          <w:noProof w:val="0"/>
        </w:rPr>
        <w:t xml:space="preserve">. Summary of findings – body of evidence form (adapted from OHAT </w:t>
      </w:r>
      <w:r w:rsidR="003829EB" w:rsidRPr="00397A3E">
        <w:rPr>
          <w:noProof w:val="0"/>
        </w:rPr>
        <w:t>H</w:t>
      </w:r>
      <w:r w:rsidRPr="00397A3E">
        <w:rPr>
          <w:noProof w:val="0"/>
        </w:rPr>
        <w:t xml:space="preserve">andbook </w:t>
      </w:r>
      <w:r w:rsidRPr="00397A3E">
        <w:rPr>
          <w:noProof w:val="0"/>
        </w:rPr>
        <w:fldChar w:fldCharType="begin"/>
      </w:r>
      <w:r w:rsidRPr="00397A3E">
        <w:rPr>
          <w:noProof w:val="0"/>
        </w:rPr>
        <w:instrText xml:space="preserve"> ADDIN ZOTERO_ITEM CSL_CITATION {"citationID":"ORFUn8Is","properties":{"custom":"(OHAT 2019)","formattedCitation":"(OHAT 2019)","plainCitation":"(OHAT 2019)","noteIndex":0},"citationItems":[{"id":11791,"uris":["http://zotero.org/users/148142/items/QNVMZ3M2"],"uri":["http://zotero.org/users/148142/items/QNVMZ3M2"],"itemData":{"id":11791,"type":"report","page":"101","publisher":"Office of Health Assessment and Translation (OHAT), US Department of Health and Human Services","title":"Handbook for Conducting a Literature-Based Health Assessment Using OHAT Approach for Systematic Review and Evidence Integration","URL":"https://ntp.niehs.nih.gov/go/ohathandbook","author":[{"literal":"OHAT"}],"issued":{"date-parts":[["2019",3,4]]}}}],"schema":"https://github.com/citation-style-language/schema/raw/master/csl-citation.json"} </w:instrText>
      </w:r>
      <w:r w:rsidRPr="00397A3E">
        <w:rPr>
          <w:noProof w:val="0"/>
        </w:rPr>
        <w:fldChar w:fldCharType="separate"/>
      </w:r>
      <w:r w:rsidRPr="00397A3E">
        <w:rPr>
          <w:rFonts w:cs="Arial"/>
          <w:noProof w:val="0"/>
        </w:rPr>
        <w:t>(OHAT 2019)</w:t>
      </w:r>
      <w:r w:rsidRPr="00397A3E">
        <w:rPr>
          <w:noProof w:val="0"/>
        </w:rPr>
        <w:fldChar w:fldCharType="end"/>
      </w:r>
      <w:r w:rsidRPr="00397A3E">
        <w:rPr>
          <w:noProof w:val="0"/>
        </w:rPr>
        <w:t xml:space="preserve"> and transposed to fit page).</w:t>
      </w:r>
      <w:bookmarkEnd w:id="81"/>
      <w:bookmarkEnd w:id="82"/>
    </w:p>
    <w:tbl>
      <w:tblPr>
        <w:tblW w:w="5750" w:type="pct"/>
        <w:tblInd w:w="-567" w:type="dxa"/>
        <w:tblLook w:val="04A0" w:firstRow="1" w:lastRow="0" w:firstColumn="1" w:lastColumn="0" w:noHBand="0" w:noVBand="1"/>
      </w:tblPr>
      <w:tblGrid>
        <w:gridCol w:w="1267"/>
        <w:gridCol w:w="1280"/>
        <w:gridCol w:w="2412"/>
        <w:gridCol w:w="1274"/>
        <w:gridCol w:w="640"/>
        <w:gridCol w:w="640"/>
        <w:gridCol w:w="640"/>
        <w:gridCol w:w="636"/>
      </w:tblGrid>
      <w:tr w:rsidR="00785848" w14:paraId="607605B9" w14:textId="77777777" w:rsidTr="003C0A46">
        <w:trPr>
          <w:tblHeader/>
        </w:trPr>
        <w:tc>
          <w:tcPr>
            <w:tcW w:w="721" w:type="pct"/>
            <w:vMerge w:val="restart"/>
            <w:tcBorders>
              <w:top w:val="single" w:sz="4" w:space="0" w:color="B5DDDC"/>
              <w:left w:val="single" w:sz="4" w:space="0" w:color="B5DDDC"/>
              <w:right w:val="single" w:sz="4" w:space="0" w:color="B5DDDC"/>
            </w:tcBorders>
            <w:shd w:val="clear" w:color="000000" w:fill="B5DDDC"/>
            <w:vAlign w:val="center"/>
            <w:hideMark/>
          </w:tcPr>
          <w:p w14:paraId="72BE61B6" w14:textId="77777777" w:rsidR="00232391" w:rsidRPr="00397A3E" w:rsidRDefault="00171C91" w:rsidP="003C0A46">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 Item</w:t>
            </w:r>
          </w:p>
        </w:tc>
        <w:tc>
          <w:tcPr>
            <w:tcW w:w="728" w:type="pct"/>
            <w:vMerge w:val="restart"/>
            <w:tcBorders>
              <w:top w:val="single" w:sz="4" w:space="0" w:color="B5DDDC"/>
              <w:left w:val="nil"/>
              <w:right w:val="single" w:sz="4" w:space="0" w:color="B5DDDC"/>
            </w:tcBorders>
            <w:shd w:val="clear" w:color="000000" w:fill="B5DDDC"/>
            <w:vAlign w:val="center"/>
            <w:hideMark/>
          </w:tcPr>
          <w:p w14:paraId="0CB77769" w14:textId="77777777" w:rsidR="00232391" w:rsidRPr="00397A3E" w:rsidRDefault="00171C91" w:rsidP="003C0A46">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Classification</w:t>
            </w:r>
          </w:p>
        </w:tc>
        <w:tc>
          <w:tcPr>
            <w:tcW w:w="1372" w:type="pct"/>
            <w:vMerge w:val="restart"/>
            <w:tcBorders>
              <w:top w:val="single" w:sz="4" w:space="0" w:color="B5DDDC"/>
              <w:left w:val="nil"/>
              <w:right w:val="single" w:sz="4" w:space="0" w:color="B5DDDC"/>
            </w:tcBorders>
            <w:shd w:val="clear" w:color="000000" w:fill="B5DDDC"/>
            <w:vAlign w:val="center"/>
            <w:hideMark/>
          </w:tcPr>
          <w:p w14:paraId="756CA705" w14:textId="77777777" w:rsidR="00232391" w:rsidRPr="00397A3E" w:rsidRDefault="00171C91" w:rsidP="003C0A46">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Description</w:t>
            </w:r>
          </w:p>
        </w:tc>
        <w:tc>
          <w:tcPr>
            <w:tcW w:w="725" w:type="pct"/>
            <w:vMerge w:val="restart"/>
            <w:tcBorders>
              <w:top w:val="single" w:sz="4" w:space="0" w:color="B5DDDC"/>
              <w:left w:val="nil"/>
              <w:right w:val="single" w:sz="4" w:space="0" w:color="B5DDDC"/>
            </w:tcBorders>
            <w:shd w:val="clear" w:color="000000" w:fill="B5DDDC"/>
            <w:vAlign w:val="center"/>
            <w:hideMark/>
          </w:tcPr>
          <w:p w14:paraId="64506DA4" w14:textId="77777777" w:rsidR="00232391" w:rsidRPr="00397A3E" w:rsidRDefault="00171C91" w:rsidP="003C0A46">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Research question</w:t>
            </w:r>
          </w:p>
        </w:tc>
        <w:tc>
          <w:tcPr>
            <w:tcW w:w="728" w:type="pct"/>
            <w:gridSpan w:val="2"/>
            <w:tcBorders>
              <w:top w:val="single" w:sz="4" w:space="0" w:color="B5DDDC"/>
              <w:left w:val="nil"/>
              <w:bottom w:val="single" w:sz="4" w:space="0" w:color="B5DDDC"/>
              <w:right w:val="single" w:sz="4" w:space="0" w:color="B5DDDC"/>
            </w:tcBorders>
            <w:shd w:val="clear" w:color="000000" w:fill="B5DDDC"/>
            <w:vAlign w:val="center"/>
            <w:hideMark/>
          </w:tcPr>
          <w:p w14:paraId="7C8B0C1C" w14:textId="77777777" w:rsidR="00232391" w:rsidRPr="00397A3E" w:rsidRDefault="00171C91" w:rsidP="003C0A46">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Outcome 1.*</w:t>
            </w:r>
          </w:p>
        </w:tc>
        <w:tc>
          <w:tcPr>
            <w:tcW w:w="726" w:type="pct"/>
            <w:gridSpan w:val="2"/>
            <w:tcBorders>
              <w:top w:val="single" w:sz="4" w:space="0" w:color="B5DDDC"/>
              <w:left w:val="nil"/>
              <w:bottom w:val="single" w:sz="4" w:space="0" w:color="B5DDDC"/>
              <w:right w:val="single" w:sz="4" w:space="0" w:color="B5DDDC"/>
            </w:tcBorders>
            <w:shd w:val="clear" w:color="000000" w:fill="B5DDDC"/>
            <w:vAlign w:val="center"/>
            <w:hideMark/>
          </w:tcPr>
          <w:p w14:paraId="7D5C7EB6" w14:textId="77777777" w:rsidR="00232391" w:rsidRPr="00397A3E" w:rsidRDefault="00171C91" w:rsidP="003C0A46">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Outcome 2. etc.</w:t>
            </w:r>
          </w:p>
        </w:tc>
      </w:tr>
      <w:tr w:rsidR="00785848" w14:paraId="2A20ACED" w14:textId="77777777" w:rsidTr="003C0A46">
        <w:trPr>
          <w:tblHeader/>
        </w:trPr>
        <w:tc>
          <w:tcPr>
            <w:tcW w:w="721" w:type="pct"/>
            <w:vMerge/>
            <w:tcBorders>
              <w:left w:val="single" w:sz="4" w:space="0" w:color="B5DDDC"/>
              <w:right w:val="single" w:sz="4" w:space="0" w:color="B5DDDC"/>
            </w:tcBorders>
            <w:shd w:val="clear" w:color="000000" w:fill="B5DDDC"/>
            <w:vAlign w:val="center"/>
            <w:hideMark/>
          </w:tcPr>
          <w:p w14:paraId="2AC682EB" w14:textId="77777777" w:rsidR="00232391" w:rsidRPr="00397A3E" w:rsidRDefault="00232391" w:rsidP="003C0A46">
            <w:pPr>
              <w:spacing w:before="0" w:after="0" w:line="240" w:lineRule="auto"/>
              <w:rPr>
                <w:rFonts w:ascii="Calibri" w:hAnsi="Calibri" w:cs="Calibri"/>
                <w:b/>
                <w:bCs/>
                <w:noProof w:val="0"/>
                <w:color w:val="008000"/>
                <w:sz w:val="16"/>
                <w:szCs w:val="16"/>
              </w:rPr>
            </w:pPr>
          </w:p>
        </w:tc>
        <w:tc>
          <w:tcPr>
            <w:tcW w:w="728" w:type="pct"/>
            <w:vMerge/>
            <w:tcBorders>
              <w:left w:val="nil"/>
              <w:right w:val="single" w:sz="4" w:space="0" w:color="B5DDDC"/>
            </w:tcBorders>
            <w:shd w:val="clear" w:color="000000" w:fill="B5DDDC"/>
            <w:vAlign w:val="center"/>
            <w:hideMark/>
          </w:tcPr>
          <w:p w14:paraId="1C993CC0" w14:textId="77777777" w:rsidR="00232391" w:rsidRPr="00397A3E" w:rsidRDefault="00232391" w:rsidP="003C0A46">
            <w:pPr>
              <w:spacing w:before="0" w:after="0" w:line="240" w:lineRule="auto"/>
              <w:rPr>
                <w:rFonts w:ascii="Calibri" w:hAnsi="Calibri" w:cs="Calibri"/>
                <w:b/>
                <w:bCs/>
                <w:noProof w:val="0"/>
                <w:color w:val="008000"/>
                <w:sz w:val="16"/>
                <w:szCs w:val="16"/>
              </w:rPr>
            </w:pPr>
          </w:p>
        </w:tc>
        <w:tc>
          <w:tcPr>
            <w:tcW w:w="1372" w:type="pct"/>
            <w:vMerge/>
            <w:tcBorders>
              <w:left w:val="nil"/>
              <w:right w:val="single" w:sz="4" w:space="0" w:color="B5DDDC"/>
            </w:tcBorders>
            <w:shd w:val="clear" w:color="000000" w:fill="B5DDDC"/>
            <w:vAlign w:val="center"/>
            <w:hideMark/>
          </w:tcPr>
          <w:p w14:paraId="3DBC6140" w14:textId="77777777" w:rsidR="00232391" w:rsidRPr="00397A3E" w:rsidRDefault="00232391" w:rsidP="003C0A46">
            <w:pPr>
              <w:spacing w:before="0" w:after="0" w:line="240" w:lineRule="auto"/>
              <w:rPr>
                <w:rFonts w:ascii="Calibri" w:hAnsi="Calibri" w:cs="Calibri"/>
                <w:b/>
                <w:bCs/>
                <w:noProof w:val="0"/>
                <w:color w:val="008000"/>
                <w:sz w:val="16"/>
                <w:szCs w:val="16"/>
              </w:rPr>
            </w:pPr>
          </w:p>
        </w:tc>
        <w:tc>
          <w:tcPr>
            <w:tcW w:w="725" w:type="pct"/>
            <w:vMerge/>
            <w:tcBorders>
              <w:left w:val="nil"/>
              <w:right w:val="single" w:sz="4" w:space="0" w:color="B5DDDC"/>
            </w:tcBorders>
            <w:shd w:val="clear" w:color="000000" w:fill="B5DDDC"/>
            <w:vAlign w:val="center"/>
            <w:hideMark/>
          </w:tcPr>
          <w:p w14:paraId="7EEBA35F" w14:textId="77777777" w:rsidR="00232391" w:rsidRPr="00397A3E" w:rsidRDefault="00232391" w:rsidP="003C0A46">
            <w:pPr>
              <w:spacing w:before="0" w:after="0" w:line="240" w:lineRule="auto"/>
              <w:rPr>
                <w:rFonts w:ascii="Calibri" w:hAnsi="Calibri" w:cs="Calibri"/>
                <w:b/>
                <w:bCs/>
                <w:noProof w:val="0"/>
                <w:color w:val="008000"/>
                <w:sz w:val="16"/>
                <w:szCs w:val="16"/>
              </w:rPr>
            </w:pPr>
          </w:p>
        </w:tc>
        <w:tc>
          <w:tcPr>
            <w:tcW w:w="728" w:type="pct"/>
            <w:gridSpan w:val="2"/>
            <w:tcBorders>
              <w:top w:val="nil"/>
              <w:left w:val="nil"/>
              <w:bottom w:val="single" w:sz="4" w:space="0" w:color="B5DDDC"/>
              <w:right w:val="single" w:sz="4" w:space="0" w:color="B5DDDC"/>
            </w:tcBorders>
            <w:shd w:val="clear" w:color="000000" w:fill="B5DDDC"/>
            <w:vAlign w:val="center"/>
            <w:hideMark/>
          </w:tcPr>
          <w:p w14:paraId="30E76C86" w14:textId="77777777" w:rsidR="00232391" w:rsidRPr="00397A3E" w:rsidRDefault="00171C91" w:rsidP="003C0A46">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Study Type **</w:t>
            </w:r>
          </w:p>
        </w:tc>
        <w:tc>
          <w:tcPr>
            <w:tcW w:w="726" w:type="pct"/>
            <w:gridSpan w:val="2"/>
            <w:tcBorders>
              <w:top w:val="nil"/>
              <w:left w:val="nil"/>
              <w:bottom w:val="single" w:sz="4" w:space="0" w:color="B5DDDC"/>
              <w:right w:val="single" w:sz="4" w:space="0" w:color="B5DDDC"/>
            </w:tcBorders>
            <w:shd w:val="clear" w:color="000000" w:fill="B5DDDC"/>
            <w:vAlign w:val="center"/>
            <w:hideMark/>
          </w:tcPr>
          <w:p w14:paraId="393B11A5" w14:textId="77777777" w:rsidR="00232391" w:rsidRPr="00397A3E" w:rsidRDefault="00171C91" w:rsidP="003C0A46">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Study Type</w:t>
            </w:r>
          </w:p>
        </w:tc>
      </w:tr>
      <w:tr w:rsidR="00785848" w14:paraId="7AA48C58" w14:textId="77777777" w:rsidTr="003C0A46">
        <w:trPr>
          <w:tblHeader/>
        </w:trPr>
        <w:tc>
          <w:tcPr>
            <w:tcW w:w="721" w:type="pct"/>
            <w:vMerge/>
            <w:tcBorders>
              <w:left w:val="single" w:sz="4" w:space="0" w:color="B5DDDC"/>
              <w:bottom w:val="single" w:sz="4" w:space="0" w:color="B5DDDC"/>
              <w:right w:val="single" w:sz="4" w:space="0" w:color="B5DDDC"/>
            </w:tcBorders>
            <w:shd w:val="clear" w:color="000000" w:fill="B5DDDC"/>
            <w:vAlign w:val="center"/>
          </w:tcPr>
          <w:p w14:paraId="4296CC9A" w14:textId="77777777" w:rsidR="00232391" w:rsidRPr="00397A3E" w:rsidRDefault="00232391" w:rsidP="003C0A46">
            <w:pPr>
              <w:spacing w:before="0" w:after="0" w:line="240" w:lineRule="auto"/>
              <w:rPr>
                <w:rFonts w:ascii="Calibri" w:hAnsi="Calibri" w:cs="Calibri"/>
                <w:b/>
                <w:bCs/>
                <w:noProof w:val="0"/>
                <w:color w:val="008000"/>
                <w:sz w:val="16"/>
                <w:szCs w:val="16"/>
              </w:rPr>
            </w:pPr>
          </w:p>
        </w:tc>
        <w:tc>
          <w:tcPr>
            <w:tcW w:w="728" w:type="pct"/>
            <w:vMerge/>
            <w:tcBorders>
              <w:left w:val="nil"/>
              <w:bottom w:val="single" w:sz="4" w:space="0" w:color="B5DDDC"/>
              <w:right w:val="single" w:sz="4" w:space="0" w:color="B5DDDC"/>
            </w:tcBorders>
            <w:shd w:val="clear" w:color="000000" w:fill="B5DDDC"/>
            <w:vAlign w:val="center"/>
          </w:tcPr>
          <w:p w14:paraId="2E33F4E1" w14:textId="77777777" w:rsidR="00232391" w:rsidRPr="00397A3E" w:rsidRDefault="00232391" w:rsidP="003C0A46">
            <w:pPr>
              <w:spacing w:before="0" w:after="0" w:line="240" w:lineRule="auto"/>
              <w:rPr>
                <w:rFonts w:ascii="Calibri" w:hAnsi="Calibri" w:cs="Calibri"/>
                <w:b/>
                <w:bCs/>
                <w:noProof w:val="0"/>
                <w:color w:val="008000"/>
                <w:sz w:val="16"/>
                <w:szCs w:val="16"/>
              </w:rPr>
            </w:pPr>
          </w:p>
        </w:tc>
        <w:tc>
          <w:tcPr>
            <w:tcW w:w="1372" w:type="pct"/>
            <w:vMerge/>
            <w:tcBorders>
              <w:left w:val="nil"/>
              <w:bottom w:val="single" w:sz="4" w:space="0" w:color="B5DDDC"/>
              <w:right w:val="single" w:sz="4" w:space="0" w:color="B5DDDC"/>
            </w:tcBorders>
            <w:shd w:val="clear" w:color="000000" w:fill="B5DDDC"/>
            <w:vAlign w:val="center"/>
          </w:tcPr>
          <w:p w14:paraId="1A4639C7" w14:textId="77777777" w:rsidR="00232391" w:rsidRPr="00397A3E" w:rsidRDefault="00232391" w:rsidP="003C0A46">
            <w:pPr>
              <w:spacing w:before="0" w:after="0" w:line="240" w:lineRule="auto"/>
              <w:rPr>
                <w:rFonts w:ascii="Calibri" w:hAnsi="Calibri" w:cs="Calibri"/>
                <w:b/>
                <w:bCs/>
                <w:noProof w:val="0"/>
                <w:color w:val="008000"/>
                <w:sz w:val="16"/>
                <w:szCs w:val="16"/>
              </w:rPr>
            </w:pPr>
          </w:p>
        </w:tc>
        <w:tc>
          <w:tcPr>
            <w:tcW w:w="725" w:type="pct"/>
            <w:vMerge/>
            <w:tcBorders>
              <w:left w:val="nil"/>
              <w:bottom w:val="single" w:sz="4" w:space="0" w:color="B5DDDC"/>
              <w:right w:val="single" w:sz="4" w:space="0" w:color="B5DDDC"/>
            </w:tcBorders>
            <w:shd w:val="clear" w:color="000000" w:fill="B5DDDC"/>
            <w:vAlign w:val="center"/>
          </w:tcPr>
          <w:p w14:paraId="13233933" w14:textId="77777777" w:rsidR="00232391" w:rsidRPr="00397A3E" w:rsidRDefault="00232391" w:rsidP="003C0A46">
            <w:pPr>
              <w:spacing w:before="0" w:after="0" w:line="240" w:lineRule="auto"/>
              <w:rPr>
                <w:rFonts w:ascii="Calibri" w:hAnsi="Calibri" w:cs="Calibri"/>
                <w:b/>
                <w:bCs/>
                <w:noProof w:val="0"/>
                <w:color w:val="008000"/>
                <w:sz w:val="16"/>
                <w:szCs w:val="16"/>
              </w:rPr>
            </w:pPr>
          </w:p>
        </w:tc>
        <w:tc>
          <w:tcPr>
            <w:tcW w:w="364" w:type="pct"/>
            <w:tcBorders>
              <w:top w:val="nil"/>
              <w:left w:val="nil"/>
              <w:bottom w:val="single" w:sz="4" w:space="0" w:color="B5DDDC"/>
              <w:right w:val="single" w:sz="4" w:space="0" w:color="B5DDDC"/>
            </w:tcBorders>
            <w:shd w:val="clear" w:color="000000" w:fill="B5DDDC"/>
            <w:vAlign w:val="center"/>
          </w:tcPr>
          <w:p w14:paraId="49560BF4" w14:textId="77777777" w:rsidR="00232391" w:rsidRPr="00397A3E" w:rsidRDefault="00171C91" w:rsidP="003C0A46">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1</w:t>
            </w:r>
          </w:p>
        </w:tc>
        <w:tc>
          <w:tcPr>
            <w:tcW w:w="364" w:type="pct"/>
            <w:tcBorders>
              <w:top w:val="nil"/>
              <w:left w:val="nil"/>
              <w:bottom w:val="single" w:sz="4" w:space="0" w:color="B5DDDC"/>
              <w:right w:val="single" w:sz="4" w:space="0" w:color="B5DDDC"/>
            </w:tcBorders>
            <w:shd w:val="clear" w:color="000000" w:fill="B5DDDC"/>
            <w:vAlign w:val="center"/>
          </w:tcPr>
          <w:p w14:paraId="051572D9" w14:textId="77777777" w:rsidR="00232391" w:rsidRPr="00397A3E" w:rsidRDefault="00171C91" w:rsidP="003C0A46">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2</w:t>
            </w:r>
          </w:p>
        </w:tc>
        <w:tc>
          <w:tcPr>
            <w:tcW w:w="364" w:type="pct"/>
            <w:tcBorders>
              <w:top w:val="nil"/>
              <w:left w:val="nil"/>
              <w:bottom w:val="single" w:sz="4" w:space="0" w:color="B5DDDC"/>
              <w:right w:val="single" w:sz="4" w:space="0" w:color="B5DDDC"/>
            </w:tcBorders>
            <w:shd w:val="clear" w:color="000000" w:fill="B5DDDC"/>
            <w:vAlign w:val="center"/>
          </w:tcPr>
          <w:p w14:paraId="22E3B531" w14:textId="77777777" w:rsidR="00232391" w:rsidRPr="00397A3E" w:rsidRDefault="00171C91" w:rsidP="003C0A46">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1</w:t>
            </w:r>
          </w:p>
        </w:tc>
        <w:tc>
          <w:tcPr>
            <w:tcW w:w="362" w:type="pct"/>
            <w:tcBorders>
              <w:top w:val="nil"/>
              <w:left w:val="nil"/>
              <w:bottom w:val="single" w:sz="4" w:space="0" w:color="B5DDDC"/>
              <w:right w:val="single" w:sz="4" w:space="0" w:color="B5DDDC"/>
            </w:tcBorders>
            <w:shd w:val="clear" w:color="000000" w:fill="B5DDDC"/>
            <w:vAlign w:val="center"/>
          </w:tcPr>
          <w:p w14:paraId="14AAE1C9" w14:textId="77777777" w:rsidR="00232391" w:rsidRPr="00397A3E" w:rsidRDefault="00171C91" w:rsidP="003C0A46">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2</w:t>
            </w:r>
          </w:p>
        </w:tc>
      </w:tr>
      <w:tr w:rsidR="00785848" w14:paraId="7E3E694A"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15A9123E"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Body of evidence</w:t>
            </w:r>
          </w:p>
        </w:tc>
        <w:tc>
          <w:tcPr>
            <w:tcW w:w="728" w:type="pct"/>
            <w:tcBorders>
              <w:top w:val="nil"/>
              <w:left w:val="nil"/>
              <w:bottom w:val="single" w:sz="4" w:space="0" w:color="B5DDDC"/>
              <w:right w:val="single" w:sz="4" w:space="0" w:color="B5DDDC"/>
            </w:tcBorders>
            <w:vAlign w:val="center"/>
            <w:hideMark/>
          </w:tcPr>
          <w:p w14:paraId="122D9B2F" w14:textId="77777777" w:rsidR="00232391" w:rsidRPr="00397A3E" w:rsidRDefault="00171C91" w:rsidP="003C0A46">
            <w:pPr>
              <w:spacing w:before="0" w:after="0" w:line="240" w:lineRule="auto"/>
              <w:rPr>
                <w:rFonts w:ascii="Calibri" w:hAnsi="Calibri" w:cs="Calibri"/>
                <w:i/>
                <w:iCs/>
                <w:noProof w:val="0"/>
                <w:color w:val="000000"/>
                <w:sz w:val="16"/>
                <w:szCs w:val="16"/>
              </w:rPr>
            </w:pPr>
            <w:r w:rsidRPr="00397A3E">
              <w:rPr>
                <w:rFonts w:ascii="Calibri" w:hAnsi="Calibri" w:cs="Calibri"/>
                <w:i/>
                <w:iCs/>
                <w:noProof w:val="0"/>
                <w:color w:val="000000"/>
                <w:sz w:val="16"/>
                <w:szCs w:val="16"/>
              </w:rPr>
              <w:t>Evidence stream or study type</w:t>
            </w:r>
          </w:p>
        </w:tc>
        <w:tc>
          <w:tcPr>
            <w:tcW w:w="1372" w:type="pct"/>
            <w:tcBorders>
              <w:top w:val="nil"/>
              <w:left w:val="nil"/>
              <w:bottom w:val="single" w:sz="4" w:space="0" w:color="B5DDDC"/>
              <w:right w:val="single" w:sz="4" w:space="0" w:color="B5DDDC"/>
            </w:tcBorders>
            <w:vAlign w:val="center"/>
            <w:hideMark/>
          </w:tcPr>
          <w:p w14:paraId="7AA71890" w14:textId="77777777" w:rsidR="00232391" w:rsidRPr="00397A3E" w:rsidRDefault="00171C91" w:rsidP="003C0A46">
            <w:pPr>
              <w:spacing w:before="0" w:after="0" w:line="240" w:lineRule="auto"/>
              <w:rPr>
                <w:rFonts w:ascii="Calibri" w:hAnsi="Calibri" w:cs="Calibri"/>
                <w:i/>
                <w:iCs/>
                <w:noProof w:val="0"/>
                <w:color w:val="000000"/>
                <w:sz w:val="16"/>
                <w:szCs w:val="16"/>
              </w:rPr>
            </w:pPr>
            <w:r w:rsidRPr="00397A3E">
              <w:rPr>
                <w:rFonts w:ascii="Calibri" w:hAnsi="Calibri" w:cs="Calibri"/>
                <w:i/>
                <w:iCs/>
                <w:noProof w:val="0"/>
                <w:color w:val="000000"/>
                <w:sz w:val="16"/>
                <w:szCs w:val="16"/>
              </w:rPr>
              <w:t>(# studies) initial certainty rating</w:t>
            </w:r>
          </w:p>
        </w:tc>
        <w:tc>
          <w:tcPr>
            <w:tcW w:w="725" w:type="pct"/>
            <w:vMerge w:val="restart"/>
            <w:tcBorders>
              <w:top w:val="nil"/>
              <w:left w:val="single" w:sz="4" w:space="0" w:color="B5DDDC"/>
              <w:right w:val="single" w:sz="4" w:space="0" w:color="B5DDDC"/>
            </w:tcBorders>
            <w:shd w:val="clear" w:color="000000" w:fill="D6EAEB"/>
            <w:vAlign w:val="center"/>
            <w:hideMark/>
          </w:tcPr>
          <w:p w14:paraId="776638E1" w14:textId="0401AA2A"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 xml:space="preserve">Research question: e.g. </w:t>
            </w:r>
            <w:r w:rsidR="00297F53" w:rsidRPr="00397A3E">
              <w:rPr>
                <w:rFonts w:ascii="Calibri" w:hAnsi="Calibri" w:cs="Calibri"/>
                <w:i/>
                <w:noProof w:val="0"/>
                <w:color w:val="000000"/>
                <w:sz w:val="16"/>
                <w:szCs w:val="16"/>
              </w:rPr>
              <w:t>How can we monitor, assess and predict risks from diffuse and point source microbial contamination in recreational waters?</w:t>
            </w:r>
          </w:p>
        </w:tc>
        <w:tc>
          <w:tcPr>
            <w:tcW w:w="364" w:type="pct"/>
            <w:tcBorders>
              <w:top w:val="nil"/>
              <w:left w:val="nil"/>
              <w:bottom w:val="single" w:sz="4" w:space="0" w:color="B5DDDC"/>
              <w:right w:val="single" w:sz="4" w:space="0" w:color="B5DDDC"/>
            </w:tcBorders>
            <w:noWrap/>
            <w:vAlign w:val="center"/>
            <w:hideMark/>
          </w:tcPr>
          <w:p w14:paraId="27A11796"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6A12951B"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65EF0ED0"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2" w:type="pct"/>
            <w:tcBorders>
              <w:top w:val="nil"/>
              <w:left w:val="nil"/>
              <w:bottom w:val="single" w:sz="4" w:space="0" w:color="B5DDDC"/>
              <w:right w:val="single" w:sz="4" w:space="0" w:color="B5DDDC"/>
            </w:tcBorders>
            <w:vAlign w:val="center"/>
            <w:hideMark/>
          </w:tcPr>
          <w:p w14:paraId="1F1831E2"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r>
      <w:tr w:rsidR="00785848" w14:paraId="20ED47DA"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3B5A32F2"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Risk of bias</w:t>
            </w:r>
          </w:p>
        </w:tc>
        <w:tc>
          <w:tcPr>
            <w:tcW w:w="728" w:type="pct"/>
            <w:tcBorders>
              <w:top w:val="nil"/>
              <w:left w:val="nil"/>
              <w:bottom w:val="single" w:sz="4" w:space="0" w:color="B5DDDC"/>
              <w:right w:val="single" w:sz="4" w:space="0" w:color="B5DDDC"/>
            </w:tcBorders>
            <w:vAlign w:val="center"/>
            <w:hideMark/>
          </w:tcPr>
          <w:p w14:paraId="0E613985" w14:textId="77777777" w:rsidR="00232391" w:rsidRPr="00397A3E" w:rsidRDefault="00171C91" w:rsidP="003C0A46">
            <w:pPr>
              <w:spacing w:before="0" w:after="0" w:line="240" w:lineRule="auto"/>
              <w:rPr>
                <w:rFonts w:ascii="Calibri" w:hAnsi="Calibri" w:cs="Calibri"/>
                <w:i/>
                <w:iCs/>
                <w:noProof w:val="0"/>
                <w:color w:val="000000"/>
                <w:sz w:val="16"/>
                <w:szCs w:val="16"/>
              </w:rPr>
            </w:pPr>
            <w:r w:rsidRPr="00397A3E">
              <w:rPr>
                <w:rFonts w:ascii="Calibri" w:hAnsi="Calibri" w:cs="Calibri"/>
                <w:i/>
                <w:iCs/>
                <w:noProof w:val="0"/>
                <w:color w:val="000000"/>
                <w:sz w:val="16"/>
                <w:szCs w:val="16"/>
              </w:rPr>
              <w:t>Serious, not serious, unknown</w:t>
            </w:r>
          </w:p>
        </w:tc>
        <w:tc>
          <w:tcPr>
            <w:tcW w:w="1372" w:type="pct"/>
            <w:tcBorders>
              <w:top w:val="nil"/>
              <w:left w:val="nil"/>
              <w:bottom w:val="single" w:sz="4" w:space="0" w:color="B5DDDC"/>
              <w:right w:val="single" w:sz="4" w:space="0" w:color="B5DDDC"/>
            </w:tcBorders>
            <w:vAlign w:val="center"/>
            <w:hideMark/>
          </w:tcPr>
          <w:p w14:paraId="42E8615B"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Describe trends, key questions, issues</w:t>
            </w:r>
          </w:p>
        </w:tc>
        <w:tc>
          <w:tcPr>
            <w:tcW w:w="725" w:type="pct"/>
            <w:vMerge/>
            <w:tcBorders>
              <w:left w:val="single" w:sz="4" w:space="0" w:color="B5DDDC"/>
              <w:right w:val="single" w:sz="4" w:space="0" w:color="B5DDDC"/>
            </w:tcBorders>
            <w:vAlign w:val="center"/>
            <w:hideMark/>
          </w:tcPr>
          <w:p w14:paraId="67EBC92E" w14:textId="77777777" w:rsidR="00232391" w:rsidRPr="00397A3E" w:rsidRDefault="00232391" w:rsidP="003C0A46">
            <w:pPr>
              <w:spacing w:before="0" w:after="0" w:line="240" w:lineRule="auto"/>
              <w:rPr>
                <w:rFonts w:ascii="Calibri" w:hAnsi="Calibri" w:cs="Calibri"/>
                <w:b/>
                <w:bCs/>
                <w:noProof w:val="0"/>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5B91E3D8"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06DEB229"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28657675"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2" w:type="pct"/>
            <w:tcBorders>
              <w:top w:val="nil"/>
              <w:left w:val="nil"/>
              <w:bottom w:val="single" w:sz="4" w:space="0" w:color="B5DDDC"/>
              <w:right w:val="single" w:sz="4" w:space="0" w:color="B5DDDC"/>
            </w:tcBorders>
            <w:vAlign w:val="center"/>
            <w:hideMark/>
          </w:tcPr>
          <w:p w14:paraId="577E3CBF"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r>
      <w:tr w:rsidR="00785848" w14:paraId="591E86C9"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49EA2F37"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Unexplained inconsistency</w:t>
            </w:r>
          </w:p>
        </w:tc>
        <w:tc>
          <w:tcPr>
            <w:tcW w:w="728" w:type="pct"/>
            <w:tcBorders>
              <w:top w:val="nil"/>
              <w:left w:val="nil"/>
              <w:bottom w:val="single" w:sz="4" w:space="0" w:color="B5DDDC"/>
              <w:right w:val="single" w:sz="4" w:space="0" w:color="B5DDDC"/>
            </w:tcBorders>
            <w:vAlign w:val="center"/>
            <w:hideMark/>
          </w:tcPr>
          <w:p w14:paraId="38223396" w14:textId="77777777" w:rsidR="00232391" w:rsidRPr="00397A3E" w:rsidRDefault="00171C91" w:rsidP="003C0A46">
            <w:pPr>
              <w:spacing w:before="0" w:after="0" w:line="240" w:lineRule="auto"/>
              <w:rPr>
                <w:rFonts w:ascii="Calibri" w:hAnsi="Calibri" w:cs="Calibri"/>
                <w:i/>
                <w:iCs/>
                <w:noProof w:val="0"/>
                <w:color w:val="000000"/>
                <w:sz w:val="16"/>
                <w:szCs w:val="16"/>
              </w:rPr>
            </w:pPr>
            <w:r w:rsidRPr="00397A3E">
              <w:rPr>
                <w:rFonts w:ascii="Calibri" w:hAnsi="Calibri" w:cs="Calibri"/>
                <w:i/>
                <w:iCs/>
                <w:noProof w:val="0"/>
                <w:color w:val="000000"/>
                <w:sz w:val="16"/>
                <w:szCs w:val="16"/>
              </w:rPr>
              <w:t>Serious, not serious, not applicable</w:t>
            </w:r>
          </w:p>
        </w:tc>
        <w:tc>
          <w:tcPr>
            <w:tcW w:w="1372" w:type="pct"/>
            <w:tcBorders>
              <w:top w:val="nil"/>
              <w:left w:val="nil"/>
              <w:bottom w:val="single" w:sz="4" w:space="0" w:color="B5DDDC"/>
              <w:right w:val="single" w:sz="4" w:space="0" w:color="B5DDDC"/>
            </w:tcBorders>
            <w:vAlign w:val="center"/>
            <w:hideMark/>
          </w:tcPr>
          <w:p w14:paraId="1321DCD5"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Describe results in terms of consistency, explain apparent inconsistency (if it can be explained)</w:t>
            </w:r>
          </w:p>
        </w:tc>
        <w:tc>
          <w:tcPr>
            <w:tcW w:w="725" w:type="pct"/>
            <w:vMerge/>
            <w:tcBorders>
              <w:left w:val="single" w:sz="4" w:space="0" w:color="B5DDDC"/>
              <w:right w:val="single" w:sz="4" w:space="0" w:color="B5DDDC"/>
            </w:tcBorders>
            <w:vAlign w:val="center"/>
            <w:hideMark/>
          </w:tcPr>
          <w:p w14:paraId="15219AF8" w14:textId="77777777" w:rsidR="00232391" w:rsidRPr="00397A3E" w:rsidRDefault="00232391" w:rsidP="003C0A46">
            <w:pPr>
              <w:spacing w:before="0" w:after="0" w:line="240" w:lineRule="auto"/>
              <w:rPr>
                <w:rFonts w:ascii="Calibri" w:hAnsi="Calibri" w:cs="Calibri"/>
                <w:b/>
                <w:bCs/>
                <w:noProof w:val="0"/>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4542C96D"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2E363051"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6FE86578"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2" w:type="pct"/>
            <w:tcBorders>
              <w:top w:val="nil"/>
              <w:left w:val="nil"/>
              <w:bottom w:val="single" w:sz="4" w:space="0" w:color="B5DDDC"/>
              <w:right w:val="single" w:sz="4" w:space="0" w:color="B5DDDC"/>
            </w:tcBorders>
            <w:vAlign w:val="center"/>
            <w:hideMark/>
          </w:tcPr>
          <w:p w14:paraId="4189A8D3"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r>
      <w:tr w:rsidR="00785848" w14:paraId="5A45869D"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0325A896"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Indirectness</w:t>
            </w:r>
          </w:p>
        </w:tc>
        <w:tc>
          <w:tcPr>
            <w:tcW w:w="728" w:type="pct"/>
            <w:tcBorders>
              <w:top w:val="nil"/>
              <w:left w:val="nil"/>
              <w:bottom w:val="single" w:sz="4" w:space="0" w:color="B5DDDC"/>
              <w:right w:val="single" w:sz="4" w:space="0" w:color="B5DDDC"/>
            </w:tcBorders>
            <w:vAlign w:val="center"/>
            <w:hideMark/>
          </w:tcPr>
          <w:p w14:paraId="56C1349E" w14:textId="77777777" w:rsidR="00232391" w:rsidRPr="00397A3E" w:rsidRDefault="00171C91" w:rsidP="003C0A46">
            <w:pPr>
              <w:spacing w:before="0" w:after="0" w:line="240" w:lineRule="auto"/>
              <w:rPr>
                <w:rFonts w:ascii="Calibri" w:hAnsi="Calibri" w:cs="Calibri"/>
                <w:i/>
                <w:iCs/>
                <w:noProof w:val="0"/>
                <w:color w:val="000000"/>
                <w:sz w:val="16"/>
                <w:szCs w:val="16"/>
              </w:rPr>
            </w:pPr>
            <w:r w:rsidRPr="00397A3E">
              <w:rPr>
                <w:rFonts w:ascii="Calibri" w:hAnsi="Calibri" w:cs="Calibri"/>
                <w:i/>
                <w:iCs/>
                <w:noProof w:val="0"/>
                <w:color w:val="000000"/>
                <w:sz w:val="16"/>
                <w:szCs w:val="16"/>
              </w:rPr>
              <w:t>Serious or not serious</w:t>
            </w:r>
          </w:p>
        </w:tc>
        <w:tc>
          <w:tcPr>
            <w:tcW w:w="1372" w:type="pct"/>
            <w:tcBorders>
              <w:top w:val="nil"/>
              <w:left w:val="nil"/>
              <w:bottom w:val="single" w:sz="4" w:space="0" w:color="B5DDDC"/>
              <w:right w:val="single" w:sz="4" w:space="0" w:color="B5DDDC"/>
            </w:tcBorders>
            <w:vAlign w:val="center"/>
            <w:hideMark/>
          </w:tcPr>
          <w:p w14:paraId="4D0C7F18" w14:textId="72F64775"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Discuss use of upstream indicators or populations with less relevance, any time-related exposure considerations (see OHAT R</w:t>
            </w:r>
            <w:r w:rsidR="00EB360F">
              <w:rPr>
                <w:rFonts w:ascii="Calibri" w:hAnsi="Calibri" w:cs="Calibri"/>
                <w:noProof w:val="0"/>
                <w:color w:val="000000"/>
                <w:sz w:val="16"/>
                <w:szCs w:val="16"/>
              </w:rPr>
              <w:t>isk-of-Bias</w:t>
            </w:r>
            <w:r w:rsidRPr="00397A3E">
              <w:rPr>
                <w:rFonts w:ascii="Calibri" w:hAnsi="Calibri" w:cs="Calibri"/>
                <w:noProof w:val="0"/>
                <w:color w:val="000000"/>
                <w:sz w:val="16"/>
                <w:szCs w:val="16"/>
              </w:rPr>
              <w:t xml:space="preserve"> tool)</w:t>
            </w:r>
          </w:p>
        </w:tc>
        <w:tc>
          <w:tcPr>
            <w:tcW w:w="725" w:type="pct"/>
            <w:vMerge/>
            <w:tcBorders>
              <w:left w:val="single" w:sz="4" w:space="0" w:color="B5DDDC"/>
              <w:right w:val="single" w:sz="4" w:space="0" w:color="B5DDDC"/>
            </w:tcBorders>
            <w:vAlign w:val="center"/>
            <w:hideMark/>
          </w:tcPr>
          <w:p w14:paraId="7374A990" w14:textId="77777777" w:rsidR="00232391" w:rsidRPr="00397A3E" w:rsidRDefault="00232391" w:rsidP="003C0A46">
            <w:pPr>
              <w:spacing w:before="0" w:after="0" w:line="240" w:lineRule="auto"/>
              <w:rPr>
                <w:rFonts w:ascii="Calibri" w:hAnsi="Calibri" w:cs="Calibri"/>
                <w:b/>
                <w:bCs/>
                <w:noProof w:val="0"/>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5D99DE17"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72E9FE08"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15C36568"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2" w:type="pct"/>
            <w:tcBorders>
              <w:top w:val="nil"/>
              <w:left w:val="nil"/>
              <w:bottom w:val="single" w:sz="4" w:space="0" w:color="B5DDDC"/>
              <w:right w:val="single" w:sz="4" w:space="0" w:color="B5DDDC"/>
            </w:tcBorders>
            <w:vAlign w:val="center"/>
            <w:hideMark/>
          </w:tcPr>
          <w:p w14:paraId="0415FADC"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r>
      <w:tr w:rsidR="00785848" w14:paraId="64FE5DF4"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384A13D2"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Imprecision</w:t>
            </w:r>
          </w:p>
        </w:tc>
        <w:tc>
          <w:tcPr>
            <w:tcW w:w="728" w:type="pct"/>
            <w:tcBorders>
              <w:top w:val="nil"/>
              <w:left w:val="nil"/>
              <w:bottom w:val="single" w:sz="4" w:space="0" w:color="B5DDDC"/>
              <w:right w:val="single" w:sz="4" w:space="0" w:color="B5DDDC"/>
            </w:tcBorders>
            <w:vAlign w:val="center"/>
            <w:hideMark/>
          </w:tcPr>
          <w:p w14:paraId="0CE73084" w14:textId="77777777" w:rsidR="00232391" w:rsidRPr="00397A3E" w:rsidRDefault="00171C91" w:rsidP="003C0A46">
            <w:pPr>
              <w:spacing w:before="0" w:after="0" w:line="240" w:lineRule="auto"/>
              <w:rPr>
                <w:rFonts w:ascii="Calibri" w:hAnsi="Calibri" w:cs="Calibri"/>
                <w:i/>
                <w:iCs/>
                <w:noProof w:val="0"/>
                <w:color w:val="000000"/>
                <w:sz w:val="16"/>
                <w:szCs w:val="16"/>
              </w:rPr>
            </w:pPr>
            <w:r w:rsidRPr="00397A3E">
              <w:rPr>
                <w:rFonts w:ascii="Calibri" w:hAnsi="Calibri" w:cs="Calibri"/>
                <w:i/>
                <w:iCs/>
                <w:noProof w:val="0"/>
                <w:color w:val="000000"/>
                <w:sz w:val="16"/>
                <w:szCs w:val="16"/>
              </w:rPr>
              <w:t>Serious, not serious, unknown</w:t>
            </w:r>
          </w:p>
        </w:tc>
        <w:tc>
          <w:tcPr>
            <w:tcW w:w="1372" w:type="pct"/>
            <w:tcBorders>
              <w:top w:val="nil"/>
              <w:left w:val="nil"/>
              <w:bottom w:val="single" w:sz="4" w:space="0" w:color="B5DDDC"/>
              <w:right w:val="single" w:sz="4" w:space="0" w:color="B5DDDC"/>
            </w:tcBorders>
            <w:vAlign w:val="center"/>
            <w:hideMark/>
          </w:tcPr>
          <w:p w14:paraId="1C3CE789"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Discuss ability to distinguish treatment from control, describe confidence intervals (if available)</w:t>
            </w:r>
          </w:p>
        </w:tc>
        <w:tc>
          <w:tcPr>
            <w:tcW w:w="725" w:type="pct"/>
            <w:vMerge/>
            <w:tcBorders>
              <w:left w:val="single" w:sz="4" w:space="0" w:color="B5DDDC"/>
              <w:right w:val="single" w:sz="4" w:space="0" w:color="B5DDDC"/>
            </w:tcBorders>
            <w:vAlign w:val="center"/>
            <w:hideMark/>
          </w:tcPr>
          <w:p w14:paraId="678B335B" w14:textId="77777777" w:rsidR="00232391" w:rsidRPr="00397A3E" w:rsidRDefault="00232391" w:rsidP="003C0A46">
            <w:pPr>
              <w:spacing w:before="0" w:after="0" w:line="240" w:lineRule="auto"/>
              <w:rPr>
                <w:rFonts w:ascii="Calibri" w:hAnsi="Calibri" w:cs="Calibri"/>
                <w:b/>
                <w:bCs/>
                <w:noProof w:val="0"/>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623E19ED"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03757A35"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4CDE0650"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2" w:type="pct"/>
            <w:tcBorders>
              <w:top w:val="nil"/>
              <w:left w:val="nil"/>
              <w:bottom w:val="single" w:sz="4" w:space="0" w:color="B5DDDC"/>
              <w:right w:val="single" w:sz="4" w:space="0" w:color="B5DDDC"/>
            </w:tcBorders>
            <w:vAlign w:val="center"/>
            <w:hideMark/>
          </w:tcPr>
          <w:p w14:paraId="7CA51AB4"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r>
      <w:tr w:rsidR="00785848" w14:paraId="3BAB27B0"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0D674F82"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Publication bias</w:t>
            </w:r>
          </w:p>
        </w:tc>
        <w:tc>
          <w:tcPr>
            <w:tcW w:w="728" w:type="pct"/>
            <w:tcBorders>
              <w:top w:val="nil"/>
              <w:left w:val="nil"/>
              <w:bottom w:val="single" w:sz="4" w:space="0" w:color="B5DDDC"/>
              <w:right w:val="single" w:sz="4" w:space="0" w:color="B5DDDC"/>
            </w:tcBorders>
            <w:vAlign w:val="center"/>
            <w:hideMark/>
          </w:tcPr>
          <w:p w14:paraId="4F61D6FD" w14:textId="77777777" w:rsidR="00232391" w:rsidRPr="00397A3E" w:rsidRDefault="00171C91" w:rsidP="003C0A46">
            <w:pPr>
              <w:spacing w:before="0" w:after="0" w:line="240" w:lineRule="auto"/>
              <w:rPr>
                <w:rFonts w:ascii="Calibri" w:hAnsi="Calibri" w:cs="Calibri"/>
                <w:i/>
                <w:iCs/>
                <w:noProof w:val="0"/>
                <w:color w:val="000000"/>
                <w:sz w:val="16"/>
                <w:szCs w:val="16"/>
              </w:rPr>
            </w:pPr>
            <w:r w:rsidRPr="00397A3E">
              <w:rPr>
                <w:rFonts w:ascii="Calibri" w:hAnsi="Calibri" w:cs="Calibri"/>
                <w:i/>
                <w:iCs/>
                <w:noProof w:val="0"/>
                <w:color w:val="000000"/>
                <w:sz w:val="16"/>
                <w:szCs w:val="16"/>
              </w:rPr>
              <w:t>Detected, undetected, unknown</w:t>
            </w:r>
          </w:p>
        </w:tc>
        <w:tc>
          <w:tcPr>
            <w:tcW w:w="1372" w:type="pct"/>
            <w:tcBorders>
              <w:top w:val="nil"/>
              <w:left w:val="nil"/>
              <w:bottom w:val="single" w:sz="4" w:space="0" w:color="B5DDDC"/>
              <w:right w:val="single" w:sz="4" w:space="0" w:color="B5DDDC"/>
            </w:tcBorders>
            <w:vAlign w:val="center"/>
            <w:hideMark/>
          </w:tcPr>
          <w:p w14:paraId="77817A8E"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Discuss factors that might indicate publication bias (e.g., funding, lag)</w:t>
            </w:r>
          </w:p>
        </w:tc>
        <w:tc>
          <w:tcPr>
            <w:tcW w:w="725" w:type="pct"/>
            <w:vMerge/>
            <w:tcBorders>
              <w:left w:val="single" w:sz="4" w:space="0" w:color="B5DDDC"/>
              <w:right w:val="single" w:sz="4" w:space="0" w:color="B5DDDC"/>
            </w:tcBorders>
            <w:vAlign w:val="center"/>
            <w:hideMark/>
          </w:tcPr>
          <w:p w14:paraId="3D4780D6" w14:textId="77777777" w:rsidR="00232391" w:rsidRPr="00397A3E" w:rsidRDefault="00232391" w:rsidP="003C0A46">
            <w:pPr>
              <w:spacing w:before="0" w:after="0" w:line="240" w:lineRule="auto"/>
              <w:rPr>
                <w:rFonts w:ascii="Calibri" w:hAnsi="Calibri" w:cs="Calibri"/>
                <w:b/>
                <w:bCs/>
                <w:noProof w:val="0"/>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7B267744"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0DBA70A1"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447F8CF5"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2" w:type="pct"/>
            <w:tcBorders>
              <w:top w:val="nil"/>
              <w:left w:val="nil"/>
              <w:bottom w:val="single" w:sz="4" w:space="0" w:color="B5DDDC"/>
              <w:right w:val="single" w:sz="4" w:space="0" w:color="B5DDDC"/>
            </w:tcBorders>
            <w:vAlign w:val="center"/>
            <w:hideMark/>
          </w:tcPr>
          <w:p w14:paraId="6C4F5CE1"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r>
      <w:tr w:rsidR="00785848" w14:paraId="306BCEEC"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301E5FD5"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Magnitude of effect</w:t>
            </w:r>
          </w:p>
        </w:tc>
        <w:tc>
          <w:tcPr>
            <w:tcW w:w="728" w:type="pct"/>
            <w:tcBorders>
              <w:top w:val="nil"/>
              <w:left w:val="nil"/>
              <w:bottom w:val="single" w:sz="4" w:space="0" w:color="B5DDDC"/>
              <w:right w:val="single" w:sz="4" w:space="0" w:color="B5DDDC"/>
            </w:tcBorders>
            <w:vAlign w:val="center"/>
            <w:hideMark/>
          </w:tcPr>
          <w:p w14:paraId="184F4081" w14:textId="77777777" w:rsidR="00232391" w:rsidRPr="00397A3E" w:rsidRDefault="00171C91" w:rsidP="003C0A46">
            <w:pPr>
              <w:spacing w:before="0" w:after="0" w:line="240" w:lineRule="auto"/>
              <w:rPr>
                <w:rFonts w:ascii="Calibri" w:hAnsi="Calibri" w:cs="Calibri"/>
                <w:i/>
                <w:iCs/>
                <w:noProof w:val="0"/>
                <w:color w:val="000000"/>
                <w:sz w:val="16"/>
                <w:szCs w:val="16"/>
              </w:rPr>
            </w:pPr>
            <w:r w:rsidRPr="00397A3E">
              <w:rPr>
                <w:rFonts w:ascii="Calibri" w:hAnsi="Calibri" w:cs="Calibri"/>
                <w:i/>
                <w:iCs/>
                <w:noProof w:val="0"/>
                <w:color w:val="000000"/>
                <w:sz w:val="16"/>
                <w:szCs w:val="16"/>
              </w:rPr>
              <w:t>Large, not large, unknown</w:t>
            </w:r>
          </w:p>
        </w:tc>
        <w:tc>
          <w:tcPr>
            <w:tcW w:w="1372" w:type="pct"/>
            <w:tcBorders>
              <w:top w:val="nil"/>
              <w:left w:val="nil"/>
              <w:bottom w:val="single" w:sz="4" w:space="0" w:color="B5DDDC"/>
              <w:right w:val="single" w:sz="4" w:space="0" w:color="B5DDDC"/>
            </w:tcBorders>
            <w:vAlign w:val="center"/>
            <w:hideMark/>
          </w:tcPr>
          <w:p w14:paraId="336A4B56"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Describe magnitude of response</w:t>
            </w:r>
          </w:p>
        </w:tc>
        <w:tc>
          <w:tcPr>
            <w:tcW w:w="725" w:type="pct"/>
            <w:vMerge/>
            <w:tcBorders>
              <w:left w:val="single" w:sz="4" w:space="0" w:color="B5DDDC"/>
              <w:right w:val="single" w:sz="4" w:space="0" w:color="B5DDDC"/>
            </w:tcBorders>
            <w:vAlign w:val="center"/>
            <w:hideMark/>
          </w:tcPr>
          <w:p w14:paraId="0FD8FE1C" w14:textId="77777777" w:rsidR="00232391" w:rsidRPr="00397A3E" w:rsidRDefault="00232391" w:rsidP="003C0A46">
            <w:pPr>
              <w:spacing w:before="0" w:after="0" w:line="240" w:lineRule="auto"/>
              <w:rPr>
                <w:rFonts w:ascii="Calibri" w:hAnsi="Calibri" w:cs="Calibri"/>
                <w:b/>
                <w:bCs/>
                <w:noProof w:val="0"/>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12991FD0"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1766256A"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44B6057C"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2" w:type="pct"/>
            <w:tcBorders>
              <w:top w:val="nil"/>
              <w:left w:val="nil"/>
              <w:bottom w:val="single" w:sz="4" w:space="0" w:color="B5DDDC"/>
              <w:right w:val="single" w:sz="4" w:space="0" w:color="B5DDDC"/>
            </w:tcBorders>
            <w:vAlign w:val="center"/>
            <w:hideMark/>
          </w:tcPr>
          <w:p w14:paraId="15FD45CF"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r>
      <w:tr w:rsidR="00785848" w14:paraId="2293F53E"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32EDFA78"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Dose Response</w:t>
            </w:r>
          </w:p>
        </w:tc>
        <w:tc>
          <w:tcPr>
            <w:tcW w:w="728" w:type="pct"/>
            <w:tcBorders>
              <w:top w:val="nil"/>
              <w:left w:val="nil"/>
              <w:bottom w:val="single" w:sz="4" w:space="0" w:color="B5DDDC"/>
              <w:right w:val="single" w:sz="4" w:space="0" w:color="B5DDDC"/>
            </w:tcBorders>
            <w:vAlign w:val="center"/>
            <w:hideMark/>
          </w:tcPr>
          <w:p w14:paraId="6EAE930D" w14:textId="77777777" w:rsidR="00232391" w:rsidRPr="00397A3E" w:rsidRDefault="00171C91" w:rsidP="003C0A46">
            <w:pPr>
              <w:spacing w:before="0" w:after="0" w:line="240" w:lineRule="auto"/>
              <w:rPr>
                <w:rFonts w:ascii="Calibri" w:hAnsi="Calibri" w:cs="Calibri"/>
                <w:i/>
                <w:iCs/>
                <w:noProof w:val="0"/>
                <w:color w:val="000000"/>
                <w:sz w:val="16"/>
                <w:szCs w:val="16"/>
              </w:rPr>
            </w:pPr>
            <w:r w:rsidRPr="00397A3E">
              <w:rPr>
                <w:rFonts w:ascii="Calibri" w:hAnsi="Calibri" w:cs="Calibri"/>
                <w:i/>
                <w:iCs/>
                <w:noProof w:val="0"/>
                <w:color w:val="000000"/>
                <w:sz w:val="16"/>
                <w:szCs w:val="16"/>
              </w:rPr>
              <w:t>Yes, no, unknown</w:t>
            </w:r>
          </w:p>
        </w:tc>
        <w:tc>
          <w:tcPr>
            <w:tcW w:w="1372" w:type="pct"/>
            <w:tcBorders>
              <w:top w:val="nil"/>
              <w:left w:val="nil"/>
              <w:bottom w:val="single" w:sz="4" w:space="0" w:color="B5DDDC"/>
              <w:right w:val="single" w:sz="4" w:space="0" w:color="B5DDDC"/>
            </w:tcBorders>
            <w:vAlign w:val="center"/>
            <w:hideMark/>
          </w:tcPr>
          <w:p w14:paraId="3A4C422C"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Outline evidence for or against dose response</w:t>
            </w:r>
          </w:p>
        </w:tc>
        <w:tc>
          <w:tcPr>
            <w:tcW w:w="725" w:type="pct"/>
            <w:vMerge/>
            <w:tcBorders>
              <w:left w:val="single" w:sz="4" w:space="0" w:color="B5DDDC"/>
              <w:right w:val="single" w:sz="4" w:space="0" w:color="B5DDDC"/>
            </w:tcBorders>
            <w:vAlign w:val="center"/>
            <w:hideMark/>
          </w:tcPr>
          <w:p w14:paraId="1A9373EB" w14:textId="77777777" w:rsidR="00232391" w:rsidRPr="00397A3E" w:rsidRDefault="00232391" w:rsidP="003C0A46">
            <w:pPr>
              <w:spacing w:before="0" w:after="0" w:line="240" w:lineRule="auto"/>
              <w:rPr>
                <w:rFonts w:ascii="Calibri" w:hAnsi="Calibri" w:cs="Calibri"/>
                <w:b/>
                <w:bCs/>
                <w:noProof w:val="0"/>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25D2C15C"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2150A8BC"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2E66049F"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2" w:type="pct"/>
            <w:tcBorders>
              <w:top w:val="nil"/>
              <w:left w:val="nil"/>
              <w:bottom w:val="single" w:sz="4" w:space="0" w:color="B5DDDC"/>
              <w:right w:val="single" w:sz="4" w:space="0" w:color="B5DDDC"/>
            </w:tcBorders>
            <w:vAlign w:val="center"/>
            <w:hideMark/>
          </w:tcPr>
          <w:p w14:paraId="1ACC16D0"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r>
      <w:tr w:rsidR="00785848" w14:paraId="1AD0301E"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21341089"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Residual confounding</w:t>
            </w:r>
          </w:p>
        </w:tc>
        <w:tc>
          <w:tcPr>
            <w:tcW w:w="728" w:type="pct"/>
            <w:tcBorders>
              <w:top w:val="nil"/>
              <w:left w:val="nil"/>
              <w:bottom w:val="single" w:sz="4" w:space="0" w:color="B5DDDC"/>
              <w:right w:val="single" w:sz="4" w:space="0" w:color="B5DDDC"/>
            </w:tcBorders>
            <w:vAlign w:val="center"/>
            <w:hideMark/>
          </w:tcPr>
          <w:p w14:paraId="656B1668" w14:textId="77777777" w:rsidR="00232391" w:rsidRPr="00397A3E" w:rsidRDefault="00171C91" w:rsidP="003C0A46">
            <w:pPr>
              <w:spacing w:before="0" w:after="0" w:line="240" w:lineRule="auto"/>
              <w:rPr>
                <w:rFonts w:ascii="Calibri" w:hAnsi="Calibri" w:cs="Calibri"/>
                <w:i/>
                <w:iCs/>
                <w:noProof w:val="0"/>
                <w:color w:val="000000"/>
                <w:sz w:val="16"/>
                <w:szCs w:val="16"/>
              </w:rPr>
            </w:pPr>
            <w:r w:rsidRPr="00397A3E">
              <w:rPr>
                <w:rFonts w:ascii="Calibri" w:hAnsi="Calibri" w:cs="Calibri"/>
                <w:i/>
                <w:iCs/>
                <w:noProof w:val="0"/>
                <w:color w:val="000000"/>
                <w:sz w:val="16"/>
                <w:szCs w:val="16"/>
              </w:rPr>
              <w:t>Yes, no, unknown</w:t>
            </w:r>
          </w:p>
        </w:tc>
        <w:tc>
          <w:tcPr>
            <w:tcW w:w="1372" w:type="pct"/>
            <w:tcBorders>
              <w:top w:val="nil"/>
              <w:left w:val="nil"/>
              <w:bottom w:val="single" w:sz="4" w:space="0" w:color="B5DDDC"/>
              <w:right w:val="single" w:sz="4" w:space="0" w:color="B5DDDC"/>
            </w:tcBorders>
            <w:vAlign w:val="center"/>
            <w:hideMark/>
          </w:tcPr>
          <w:p w14:paraId="58478E4A"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Address whether there is evidence that confounding would bias toward null</w:t>
            </w:r>
          </w:p>
        </w:tc>
        <w:tc>
          <w:tcPr>
            <w:tcW w:w="725" w:type="pct"/>
            <w:vMerge/>
            <w:tcBorders>
              <w:left w:val="single" w:sz="4" w:space="0" w:color="B5DDDC"/>
              <w:right w:val="single" w:sz="4" w:space="0" w:color="B5DDDC"/>
            </w:tcBorders>
            <w:vAlign w:val="center"/>
            <w:hideMark/>
          </w:tcPr>
          <w:p w14:paraId="4C2A860C" w14:textId="77777777" w:rsidR="00232391" w:rsidRPr="00397A3E" w:rsidRDefault="00232391" w:rsidP="003C0A46">
            <w:pPr>
              <w:spacing w:before="0" w:after="0" w:line="240" w:lineRule="auto"/>
              <w:rPr>
                <w:rFonts w:ascii="Calibri" w:hAnsi="Calibri" w:cs="Calibri"/>
                <w:b/>
                <w:bCs/>
                <w:noProof w:val="0"/>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16655A0C"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493C301D"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250E9364"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2" w:type="pct"/>
            <w:tcBorders>
              <w:top w:val="nil"/>
              <w:left w:val="nil"/>
              <w:bottom w:val="single" w:sz="4" w:space="0" w:color="B5DDDC"/>
              <w:right w:val="single" w:sz="4" w:space="0" w:color="B5DDDC"/>
            </w:tcBorders>
            <w:vAlign w:val="center"/>
            <w:hideMark/>
          </w:tcPr>
          <w:p w14:paraId="3B39286A"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r>
      <w:tr w:rsidR="00785848" w14:paraId="2025E3C6"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3FD2BEEC"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Consistency across species/model</w:t>
            </w:r>
          </w:p>
        </w:tc>
        <w:tc>
          <w:tcPr>
            <w:tcW w:w="728" w:type="pct"/>
            <w:tcBorders>
              <w:top w:val="nil"/>
              <w:left w:val="nil"/>
              <w:bottom w:val="single" w:sz="4" w:space="0" w:color="B5DDDC"/>
              <w:right w:val="single" w:sz="4" w:space="0" w:color="B5DDDC"/>
            </w:tcBorders>
            <w:vAlign w:val="center"/>
            <w:hideMark/>
          </w:tcPr>
          <w:p w14:paraId="12F33D47" w14:textId="77777777" w:rsidR="00232391" w:rsidRPr="00397A3E" w:rsidRDefault="00171C91" w:rsidP="003C0A46">
            <w:pPr>
              <w:spacing w:before="0" w:after="0" w:line="240" w:lineRule="auto"/>
              <w:rPr>
                <w:rFonts w:ascii="Calibri" w:hAnsi="Calibri" w:cs="Calibri"/>
                <w:i/>
                <w:iCs/>
                <w:noProof w:val="0"/>
                <w:color w:val="000000"/>
                <w:sz w:val="16"/>
                <w:szCs w:val="16"/>
              </w:rPr>
            </w:pPr>
            <w:r w:rsidRPr="00397A3E">
              <w:rPr>
                <w:rFonts w:ascii="Calibri" w:hAnsi="Calibri" w:cs="Calibri"/>
                <w:i/>
                <w:iCs/>
                <w:noProof w:val="0"/>
                <w:color w:val="000000"/>
                <w:sz w:val="16"/>
                <w:szCs w:val="16"/>
              </w:rPr>
              <w:t>Yes, no, not applicable (NA)</w:t>
            </w:r>
          </w:p>
        </w:tc>
        <w:tc>
          <w:tcPr>
            <w:tcW w:w="1372" w:type="pct"/>
            <w:tcBorders>
              <w:top w:val="nil"/>
              <w:left w:val="nil"/>
              <w:bottom w:val="single" w:sz="4" w:space="0" w:color="B5DDDC"/>
              <w:right w:val="single" w:sz="4" w:space="0" w:color="B5DDDC"/>
            </w:tcBorders>
            <w:vAlign w:val="center"/>
            <w:hideMark/>
          </w:tcPr>
          <w:p w14:paraId="18828298"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Describe cross-species, model, or population consistency</w:t>
            </w:r>
          </w:p>
        </w:tc>
        <w:tc>
          <w:tcPr>
            <w:tcW w:w="725" w:type="pct"/>
            <w:vMerge/>
            <w:tcBorders>
              <w:left w:val="single" w:sz="4" w:space="0" w:color="B5DDDC"/>
              <w:right w:val="single" w:sz="4" w:space="0" w:color="B5DDDC"/>
            </w:tcBorders>
            <w:shd w:val="clear" w:color="000000" w:fill="D6EAEB"/>
            <w:vAlign w:val="center"/>
            <w:hideMark/>
          </w:tcPr>
          <w:p w14:paraId="61D8C4BA" w14:textId="77777777" w:rsidR="00232391" w:rsidRPr="00397A3E" w:rsidRDefault="00232391" w:rsidP="003C0A46">
            <w:pPr>
              <w:spacing w:before="0" w:after="0" w:line="240" w:lineRule="auto"/>
              <w:rPr>
                <w:rFonts w:ascii="Calibri" w:hAnsi="Calibri" w:cs="Calibri"/>
                <w:b/>
                <w:bCs/>
                <w:noProof w:val="0"/>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540006A9"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200C5B3C"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1514DE79"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2" w:type="pct"/>
            <w:tcBorders>
              <w:top w:val="nil"/>
              <w:left w:val="nil"/>
              <w:bottom w:val="single" w:sz="4" w:space="0" w:color="B5DDDC"/>
              <w:right w:val="single" w:sz="4" w:space="0" w:color="B5DDDC"/>
            </w:tcBorders>
            <w:vAlign w:val="center"/>
            <w:hideMark/>
          </w:tcPr>
          <w:p w14:paraId="5CA77AFB"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r>
      <w:tr w:rsidR="00785848" w14:paraId="6BC0061B"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689FEEAE"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Other reason to increase confidence?</w:t>
            </w:r>
          </w:p>
        </w:tc>
        <w:tc>
          <w:tcPr>
            <w:tcW w:w="728" w:type="pct"/>
            <w:tcBorders>
              <w:top w:val="nil"/>
              <w:left w:val="nil"/>
              <w:bottom w:val="single" w:sz="4" w:space="0" w:color="B5DDDC"/>
              <w:right w:val="single" w:sz="4" w:space="0" w:color="B5DDDC"/>
            </w:tcBorders>
            <w:vAlign w:val="center"/>
            <w:hideMark/>
          </w:tcPr>
          <w:p w14:paraId="5A947B8D" w14:textId="77777777" w:rsidR="00232391" w:rsidRPr="00397A3E" w:rsidRDefault="00171C91" w:rsidP="003C0A46">
            <w:pPr>
              <w:spacing w:before="0" w:after="0" w:line="240" w:lineRule="auto"/>
              <w:rPr>
                <w:rFonts w:ascii="Calibri" w:hAnsi="Calibri" w:cs="Calibri"/>
                <w:i/>
                <w:iCs/>
                <w:noProof w:val="0"/>
                <w:color w:val="000000"/>
                <w:sz w:val="16"/>
                <w:szCs w:val="16"/>
              </w:rPr>
            </w:pPr>
            <w:r w:rsidRPr="00397A3E">
              <w:rPr>
                <w:rFonts w:ascii="Calibri" w:hAnsi="Calibri" w:cs="Calibri"/>
                <w:i/>
                <w:iCs/>
                <w:noProof w:val="0"/>
                <w:color w:val="000000"/>
                <w:sz w:val="16"/>
                <w:szCs w:val="16"/>
              </w:rPr>
              <w:t>Yes or no</w:t>
            </w:r>
          </w:p>
        </w:tc>
        <w:tc>
          <w:tcPr>
            <w:tcW w:w="1372" w:type="pct"/>
            <w:tcBorders>
              <w:top w:val="nil"/>
              <w:left w:val="nil"/>
              <w:bottom w:val="single" w:sz="4" w:space="0" w:color="B5DDDC"/>
              <w:right w:val="single" w:sz="4" w:space="0" w:color="B5DDDC"/>
            </w:tcBorders>
            <w:vAlign w:val="center"/>
            <w:hideMark/>
          </w:tcPr>
          <w:p w14:paraId="0D54B11C"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Describe any other factors that increase confidence in the results</w:t>
            </w:r>
          </w:p>
        </w:tc>
        <w:tc>
          <w:tcPr>
            <w:tcW w:w="725" w:type="pct"/>
            <w:vMerge/>
            <w:tcBorders>
              <w:left w:val="single" w:sz="4" w:space="0" w:color="B5DDDC"/>
              <w:right w:val="single" w:sz="4" w:space="0" w:color="B5DDDC"/>
            </w:tcBorders>
            <w:shd w:val="clear" w:color="000000" w:fill="D6EAEB"/>
            <w:vAlign w:val="center"/>
            <w:hideMark/>
          </w:tcPr>
          <w:p w14:paraId="051B2D55" w14:textId="77777777" w:rsidR="00232391" w:rsidRPr="00397A3E" w:rsidRDefault="00232391" w:rsidP="003C0A46">
            <w:pPr>
              <w:spacing w:before="0" w:after="0" w:line="240" w:lineRule="auto"/>
              <w:rPr>
                <w:rFonts w:ascii="Calibri" w:hAnsi="Calibri" w:cs="Calibri"/>
                <w:b/>
                <w:bCs/>
                <w:noProof w:val="0"/>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7EA6C528"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5EE680F9"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4BEEAA98"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2" w:type="pct"/>
            <w:tcBorders>
              <w:top w:val="nil"/>
              <w:left w:val="nil"/>
              <w:bottom w:val="single" w:sz="4" w:space="0" w:color="B5DDDC"/>
              <w:right w:val="single" w:sz="4" w:space="0" w:color="B5DDDC"/>
            </w:tcBorders>
            <w:vAlign w:val="center"/>
            <w:hideMark/>
          </w:tcPr>
          <w:p w14:paraId="1E1376C4"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r>
      <w:tr w:rsidR="00785848" w14:paraId="694699AD"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40B72FE5"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Final certainty rating (GRADE assessment)</w:t>
            </w:r>
          </w:p>
        </w:tc>
        <w:tc>
          <w:tcPr>
            <w:tcW w:w="728" w:type="pct"/>
            <w:tcBorders>
              <w:top w:val="nil"/>
              <w:left w:val="nil"/>
              <w:bottom w:val="single" w:sz="4" w:space="0" w:color="B5DDDC"/>
              <w:right w:val="single" w:sz="4" w:space="0" w:color="B5DDDC"/>
            </w:tcBorders>
            <w:vAlign w:val="center"/>
            <w:hideMark/>
          </w:tcPr>
          <w:p w14:paraId="4EB54838" w14:textId="77777777" w:rsidR="00232391" w:rsidRPr="00397A3E" w:rsidRDefault="00171C91" w:rsidP="003C0A46">
            <w:pPr>
              <w:spacing w:before="0" w:after="0" w:line="240" w:lineRule="auto"/>
              <w:rPr>
                <w:rFonts w:ascii="Calibri" w:hAnsi="Calibri" w:cs="Calibri"/>
                <w:b/>
                <w:bCs/>
                <w:i/>
                <w:iCs/>
                <w:noProof w:val="0"/>
                <w:color w:val="000000"/>
                <w:sz w:val="16"/>
                <w:szCs w:val="16"/>
              </w:rPr>
            </w:pPr>
            <w:r w:rsidRPr="00397A3E">
              <w:rPr>
                <w:rFonts w:ascii="Calibri" w:hAnsi="Calibri" w:cs="Calibri"/>
                <w:b/>
                <w:bCs/>
                <w:i/>
                <w:iCs/>
                <w:noProof w:val="0"/>
                <w:color w:val="000000"/>
                <w:sz w:val="16"/>
                <w:szCs w:val="16"/>
              </w:rPr>
              <w:t>High, moderate, low or very low</w:t>
            </w:r>
          </w:p>
        </w:tc>
        <w:tc>
          <w:tcPr>
            <w:tcW w:w="1372" w:type="pct"/>
            <w:tcBorders>
              <w:top w:val="nil"/>
              <w:left w:val="nil"/>
              <w:bottom w:val="single" w:sz="4" w:space="0" w:color="B5DDDC"/>
              <w:right w:val="single" w:sz="4" w:space="0" w:color="B5DDDC"/>
            </w:tcBorders>
            <w:vAlign w:val="center"/>
            <w:hideMark/>
          </w:tcPr>
          <w:p w14:paraId="1BA078FE" w14:textId="77777777"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List reasons for downgrading or upgrading</w:t>
            </w:r>
          </w:p>
        </w:tc>
        <w:tc>
          <w:tcPr>
            <w:tcW w:w="725" w:type="pct"/>
            <w:vMerge/>
            <w:tcBorders>
              <w:left w:val="single" w:sz="4" w:space="0" w:color="B5DDDC"/>
              <w:bottom w:val="single" w:sz="4" w:space="0" w:color="B5DDDC"/>
              <w:right w:val="single" w:sz="4" w:space="0" w:color="B5DDDC"/>
            </w:tcBorders>
            <w:shd w:val="clear" w:color="000000" w:fill="D6EAEB"/>
            <w:vAlign w:val="center"/>
            <w:hideMark/>
          </w:tcPr>
          <w:p w14:paraId="764E6A48" w14:textId="77777777" w:rsidR="00232391" w:rsidRPr="00397A3E" w:rsidRDefault="00232391" w:rsidP="003C0A46">
            <w:pPr>
              <w:spacing w:before="0" w:after="0" w:line="240" w:lineRule="auto"/>
              <w:rPr>
                <w:rFonts w:ascii="Calibri" w:hAnsi="Calibri" w:cs="Calibri"/>
                <w:b/>
                <w:bCs/>
                <w:noProof w:val="0"/>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39504D55"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58B39569"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4" w:type="pct"/>
            <w:tcBorders>
              <w:top w:val="nil"/>
              <w:left w:val="nil"/>
              <w:bottom w:val="single" w:sz="4" w:space="0" w:color="B5DDDC"/>
              <w:right w:val="single" w:sz="4" w:space="0" w:color="B5DDDC"/>
            </w:tcBorders>
            <w:vAlign w:val="center"/>
            <w:hideMark/>
          </w:tcPr>
          <w:p w14:paraId="7C77CDAF"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c>
          <w:tcPr>
            <w:tcW w:w="362" w:type="pct"/>
            <w:tcBorders>
              <w:top w:val="nil"/>
              <w:left w:val="nil"/>
              <w:bottom w:val="single" w:sz="4" w:space="0" w:color="B5DDDC"/>
              <w:right w:val="single" w:sz="4" w:space="0" w:color="B5DDDC"/>
            </w:tcBorders>
            <w:vAlign w:val="center"/>
            <w:hideMark/>
          </w:tcPr>
          <w:p w14:paraId="1B1AAC09" w14:textId="77777777" w:rsidR="00232391" w:rsidRPr="00397A3E" w:rsidRDefault="00232391" w:rsidP="003C0A46">
            <w:pPr>
              <w:spacing w:before="0" w:after="0" w:line="240" w:lineRule="auto"/>
              <w:jc w:val="center"/>
              <w:rPr>
                <w:rFonts w:ascii="Calibri" w:hAnsi="Calibri" w:cs="Calibri"/>
                <w:noProof w:val="0"/>
                <w:color w:val="000000"/>
                <w:sz w:val="16"/>
                <w:szCs w:val="16"/>
              </w:rPr>
            </w:pPr>
          </w:p>
        </w:tc>
      </w:tr>
    </w:tbl>
    <w:p w14:paraId="54827BD4" w14:textId="6D2049E3" w:rsidR="00232391" w:rsidRPr="00397A3E" w:rsidRDefault="00171C91" w:rsidP="00232391">
      <w:pPr>
        <w:spacing w:line="240" w:lineRule="auto"/>
        <w:contextualSpacing/>
        <w:rPr>
          <w:rFonts w:asciiTheme="minorHAnsi" w:hAnsiTheme="minorHAnsi" w:cstheme="minorHAnsi"/>
          <w:noProof w:val="0"/>
          <w:sz w:val="16"/>
          <w:szCs w:val="16"/>
        </w:rPr>
      </w:pPr>
      <w:r w:rsidRPr="00397A3E">
        <w:rPr>
          <w:rFonts w:asciiTheme="minorHAnsi" w:hAnsiTheme="minorHAnsi" w:cstheme="minorHAnsi"/>
          <w:noProof w:val="0"/>
          <w:sz w:val="16"/>
          <w:szCs w:val="16"/>
        </w:rPr>
        <w:t>*</w:t>
      </w:r>
      <w:r w:rsidR="001B3DDF" w:rsidRPr="00397A3E">
        <w:rPr>
          <w:rFonts w:asciiTheme="minorHAnsi" w:hAnsiTheme="minorHAnsi" w:cstheme="minorHAnsi"/>
          <w:noProof w:val="0"/>
          <w:sz w:val="16"/>
          <w:szCs w:val="16"/>
        </w:rPr>
        <w:t>e.g.</w:t>
      </w:r>
      <w:r w:rsidRPr="00397A3E">
        <w:rPr>
          <w:rFonts w:asciiTheme="minorHAnsi" w:hAnsiTheme="minorHAnsi" w:cstheme="minorHAnsi"/>
          <w:noProof w:val="0"/>
          <w:sz w:val="16"/>
          <w:szCs w:val="16"/>
        </w:rPr>
        <w:t xml:space="preserve"> PECO listed hazard measured in recreational waters, ** e.g. Qualitative studies, Systematic review etc.</w:t>
      </w:r>
    </w:p>
    <w:p w14:paraId="2CD56921" w14:textId="77777777" w:rsidR="00232391" w:rsidRPr="00397A3E" w:rsidRDefault="00171C91" w:rsidP="00232391">
      <w:pPr>
        <w:pStyle w:val="Heading4"/>
        <w:rPr>
          <w:noProof w:val="0"/>
        </w:rPr>
      </w:pPr>
      <w:bookmarkStart w:id="83" w:name="_Toc71638748"/>
      <w:bookmarkStart w:id="84" w:name="_Toc106964818"/>
      <w:r w:rsidRPr="00397A3E">
        <w:rPr>
          <w:noProof w:val="0"/>
        </w:rPr>
        <w:t>Outcome definition and prioritisation</w:t>
      </w:r>
      <w:bookmarkEnd w:id="83"/>
      <w:bookmarkEnd w:id="84"/>
    </w:p>
    <w:p w14:paraId="440F0C26" w14:textId="77777777" w:rsidR="00A12429" w:rsidRPr="00397A3E" w:rsidRDefault="00171C91" w:rsidP="00232391">
      <w:pPr>
        <w:rPr>
          <w:noProof w:val="0"/>
        </w:rPr>
      </w:pPr>
      <w:r w:rsidRPr="00397A3E">
        <w:rPr>
          <w:noProof w:val="0"/>
        </w:rPr>
        <w:t xml:space="preserve">Definitions of outcomes and the outcome measures to be included in the review were developed based on: </w:t>
      </w:r>
    </w:p>
    <w:p w14:paraId="5B68B840" w14:textId="6966E024" w:rsidR="00A12429" w:rsidRPr="00397A3E" w:rsidRDefault="00171C91" w:rsidP="00764500">
      <w:pPr>
        <w:pStyle w:val="ListParagraph"/>
        <w:numPr>
          <w:ilvl w:val="0"/>
          <w:numId w:val="13"/>
        </w:numPr>
        <w:ind w:left="1077"/>
        <w:contextualSpacing/>
        <w:rPr>
          <w:noProof w:val="0"/>
          <w:lang w:val="en-AU"/>
        </w:rPr>
      </w:pPr>
      <w:r w:rsidRPr="00397A3E">
        <w:rPr>
          <w:noProof w:val="0"/>
          <w:lang w:val="en-AU"/>
        </w:rPr>
        <w:t>general guidance supplied by NHMRC</w:t>
      </w:r>
      <w:r w:rsidR="00BB3ABB">
        <w:rPr>
          <w:noProof w:val="0"/>
          <w:lang w:val="en-AU"/>
        </w:rPr>
        <w:t xml:space="preserve"> and the Committee</w:t>
      </w:r>
      <w:r w:rsidRPr="00397A3E">
        <w:rPr>
          <w:noProof w:val="0"/>
          <w:lang w:val="en-AU"/>
        </w:rPr>
        <w:t>,</w:t>
      </w:r>
      <w:r w:rsidR="008360CA" w:rsidRPr="00397A3E">
        <w:rPr>
          <w:noProof w:val="0"/>
          <w:lang w:val="en-AU"/>
        </w:rPr>
        <w:t xml:space="preserve"> </w:t>
      </w:r>
    </w:p>
    <w:p w14:paraId="4D439053" w14:textId="4DF2A988" w:rsidR="00A12429" w:rsidRPr="00397A3E" w:rsidRDefault="00171C91" w:rsidP="00764500">
      <w:pPr>
        <w:pStyle w:val="ListParagraph"/>
        <w:numPr>
          <w:ilvl w:val="0"/>
          <w:numId w:val="13"/>
        </w:numPr>
        <w:ind w:left="1077"/>
        <w:contextualSpacing/>
        <w:rPr>
          <w:noProof w:val="0"/>
          <w:lang w:val="en-AU"/>
        </w:rPr>
      </w:pPr>
      <w:r w:rsidRPr="00397A3E">
        <w:rPr>
          <w:noProof w:val="0"/>
          <w:lang w:val="en-AU"/>
        </w:rPr>
        <w:t xml:space="preserve">the research questions, and; </w:t>
      </w:r>
    </w:p>
    <w:p w14:paraId="4E1DE52D" w14:textId="715EB42C" w:rsidR="00A12429" w:rsidRPr="00397A3E" w:rsidRDefault="00171C91" w:rsidP="00764500">
      <w:pPr>
        <w:pStyle w:val="ListParagraph"/>
        <w:numPr>
          <w:ilvl w:val="0"/>
          <w:numId w:val="13"/>
        </w:numPr>
        <w:ind w:left="1077"/>
        <w:contextualSpacing/>
        <w:rPr>
          <w:noProof w:val="0"/>
          <w:lang w:val="en-AU"/>
        </w:rPr>
      </w:pPr>
      <w:r w:rsidRPr="00397A3E">
        <w:rPr>
          <w:noProof w:val="0"/>
          <w:lang w:val="en-AU"/>
        </w:rPr>
        <w:t xml:space="preserve">the nature of the available literature. </w:t>
      </w:r>
    </w:p>
    <w:p w14:paraId="686F799A" w14:textId="3BC5757A" w:rsidR="00F72EAC" w:rsidRPr="00397A3E" w:rsidRDefault="00171C91" w:rsidP="00A12429">
      <w:pPr>
        <w:rPr>
          <w:noProof w:val="0"/>
        </w:rPr>
      </w:pPr>
      <w:r w:rsidRPr="00397A3E">
        <w:rPr>
          <w:noProof w:val="0"/>
        </w:rPr>
        <w:t xml:space="preserve">The outcomes to be included in this review are presented in </w:t>
      </w:r>
      <w:r w:rsidRPr="00397A3E">
        <w:rPr>
          <w:noProof w:val="0"/>
        </w:rPr>
        <w:fldChar w:fldCharType="begin"/>
      </w:r>
      <w:r w:rsidRPr="00397A3E">
        <w:rPr>
          <w:noProof w:val="0"/>
        </w:rPr>
        <w:instrText xml:space="preserve"> REF _Ref70515129 \h </w:instrText>
      </w:r>
      <w:r w:rsidR="00F93DD8" w:rsidRPr="00397A3E">
        <w:rPr>
          <w:noProof w:val="0"/>
        </w:rPr>
        <w:instrText xml:space="preserve"> \* MERGEFORMAT </w:instrText>
      </w:r>
      <w:r w:rsidRPr="00397A3E">
        <w:rPr>
          <w:noProof w:val="0"/>
        </w:rPr>
      </w:r>
      <w:r w:rsidRPr="00397A3E">
        <w:rPr>
          <w:noProof w:val="0"/>
        </w:rPr>
        <w:fldChar w:fldCharType="separate"/>
      </w:r>
      <w:r w:rsidR="001A0E9F" w:rsidRPr="00397A3E">
        <w:rPr>
          <w:noProof w:val="0"/>
        </w:rPr>
        <w:t xml:space="preserve">Table </w:t>
      </w:r>
      <w:r w:rsidR="001A0E9F">
        <w:rPr>
          <w:noProof w:val="0"/>
        </w:rPr>
        <w:t>2</w:t>
      </w:r>
      <w:r w:rsidR="001A0E9F">
        <w:rPr>
          <w:noProof w:val="0"/>
        </w:rPr>
        <w:noBreakHyphen/>
        <w:t>5</w:t>
      </w:r>
      <w:r w:rsidRPr="00397A3E">
        <w:rPr>
          <w:noProof w:val="0"/>
        </w:rPr>
        <w:fldChar w:fldCharType="end"/>
      </w:r>
      <w:r w:rsidRPr="00397A3E">
        <w:rPr>
          <w:noProof w:val="0"/>
        </w:rPr>
        <w:t>.</w:t>
      </w:r>
      <w:r w:rsidR="00B43543" w:rsidRPr="00397A3E">
        <w:rPr>
          <w:noProof w:val="0"/>
        </w:rPr>
        <w:t xml:space="preserve">  Note that to </w:t>
      </w:r>
      <w:r w:rsidRPr="00397A3E">
        <w:rPr>
          <w:noProof w:val="0"/>
        </w:rPr>
        <w:t xml:space="preserve">keep the workload manageable within the available resources the Committee agreed that the secondary research questions could be addressed via </w:t>
      </w:r>
      <w:r w:rsidR="006007A0">
        <w:rPr>
          <w:noProof w:val="0"/>
        </w:rPr>
        <w:t>a</w:t>
      </w:r>
      <w:r w:rsidR="006007A0" w:rsidRPr="00397A3E">
        <w:rPr>
          <w:noProof w:val="0"/>
        </w:rPr>
        <w:t xml:space="preserve"> </w:t>
      </w:r>
      <w:r w:rsidRPr="00397A3E">
        <w:rPr>
          <w:noProof w:val="0"/>
        </w:rPr>
        <w:t xml:space="preserve">review of existing guidance or reviews (in the grey literature) rather than though </w:t>
      </w:r>
      <w:r w:rsidR="006007A0">
        <w:rPr>
          <w:noProof w:val="0"/>
        </w:rPr>
        <w:t>a</w:t>
      </w:r>
      <w:r w:rsidR="00D95421">
        <w:rPr>
          <w:noProof w:val="0"/>
        </w:rPr>
        <w:t xml:space="preserve"> </w:t>
      </w:r>
      <w:r w:rsidRPr="00397A3E">
        <w:rPr>
          <w:noProof w:val="0"/>
        </w:rPr>
        <w:t>review of primary studies.</w:t>
      </w:r>
    </w:p>
    <w:p w14:paraId="2D4CED07" w14:textId="59155DB1" w:rsidR="00232391" w:rsidRPr="00397A3E" w:rsidRDefault="00171C91" w:rsidP="00BA6F16">
      <w:pPr>
        <w:pStyle w:val="Caption"/>
        <w:keepNext/>
        <w:pageBreakBefore/>
        <w:rPr>
          <w:noProof w:val="0"/>
        </w:rPr>
      </w:pPr>
      <w:bookmarkStart w:id="85" w:name="_Ref70515129"/>
      <w:bookmarkStart w:id="86" w:name="_Toc71638844"/>
      <w:bookmarkStart w:id="87" w:name="_Toc106964857"/>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2</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5</w:t>
      </w:r>
      <w:r w:rsidR="00F178D7">
        <w:rPr>
          <w:noProof w:val="0"/>
        </w:rPr>
        <w:fldChar w:fldCharType="end"/>
      </w:r>
      <w:bookmarkEnd w:id="85"/>
      <w:r w:rsidRPr="00397A3E">
        <w:rPr>
          <w:noProof w:val="0"/>
        </w:rPr>
        <w:t>. Outcomes from the review to be included in the evidence evaluation</w:t>
      </w:r>
      <w:bookmarkEnd w:id="86"/>
      <w:bookmarkEnd w:id="87"/>
      <w:r w:rsidR="0075724B" w:rsidRPr="00397A3E">
        <w:rPr>
          <w:noProof w:val="0"/>
        </w:rPr>
        <w:t xml:space="preserve"> </w:t>
      </w:r>
    </w:p>
    <w:tbl>
      <w:tblPr>
        <w:tblW w:w="8410" w:type="dxa"/>
        <w:tblInd w:w="-340" w:type="dxa"/>
        <w:tblLayout w:type="fixed"/>
        <w:tblLook w:val="04A0" w:firstRow="1" w:lastRow="0" w:firstColumn="1" w:lastColumn="0" w:noHBand="0" w:noVBand="1"/>
      </w:tblPr>
      <w:tblGrid>
        <w:gridCol w:w="1464"/>
        <w:gridCol w:w="1560"/>
        <w:gridCol w:w="1842"/>
        <w:gridCol w:w="1560"/>
        <w:gridCol w:w="1984"/>
      </w:tblGrid>
      <w:tr w:rsidR="00785848" w14:paraId="576D5182" w14:textId="77777777" w:rsidTr="00644C54">
        <w:trPr>
          <w:tblHeader/>
        </w:trPr>
        <w:tc>
          <w:tcPr>
            <w:tcW w:w="146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7B2DE2AE" w14:textId="77777777" w:rsidR="00232391" w:rsidRPr="00397A3E" w:rsidRDefault="00171C91" w:rsidP="003C0A46">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Outcome</w:t>
            </w:r>
          </w:p>
        </w:tc>
        <w:tc>
          <w:tcPr>
            <w:tcW w:w="1560" w:type="dxa"/>
            <w:tcBorders>
              <w:top w:val="single" w:sz="8" w:space="0" w:color="B5DDDC"/>
              <w:left w:val="nil"/>
              <w:bottom w:val="single" w:sz="8" w:space="0" w:color="B5DDDC"/>
              <w:right w:val="single" w:sz="8" w:space="0" w:color="B5DDDC"/>
            </w:tcBorders>
            <w:shd w:val="clear" w:color="000000" w:fill="B5DDDC"/>
            <w:vAlign w:val="center"/>
            <w:hideMark/>
          </w:tcPr>
          <w:p w14:paraId="2A5E35CF" w14:textId="77777777" w:rsidR="00232391" w:rsidRPr="00397A3E" w:rsidRDefault="00171C91" w:rsidP="003C0A46">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Definition of outcome</w:t>
            </w:r>
          </w:p>
        </w:tc>
        <w:tc>
          <w:tcPr>
            <w:tcW w:w="1842" w:type="dxa"/>
            <w:tcBorders>
              <w:top w:val="single" w:sz="8" w:space="0" w:color="B5DDDC"/>
              <w:left w:val="nil"/>
              <w:bottom w:val="single" w:sz="8" w:space="0" w:color="B5DDDC"/>
              <w:right w:val="single" w:sz="8" w:space="0" w:color="B5DDDC"/>
            </w:tcBorders>
            <w:shd w:val="clear" w:color="000000" w:fill="B5DDDC"/>
            <w:vAlign w:val="center"/>
            <w:hideMark/>
          </w:tcPr>
          <w:p w14:paraId="7B42FEC4" w14:textId="77777777" w:rsidR="00232391" w:rsidRPr="00397A3E" w:rsidRDefault="00171C91" w:rsidP="003C0A46">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Examples of health impacts under this outcome</w:t>
            </w:r>
          </w:p>
        </w:tc>
        <w:tc>
          <w:tcPr>
            <w:tcW w:w="1560" w:type="dxa"/>
            <w:tcBorders>
              <w:top w:val="single" w:sz="8" w:space="0" w:color="B5DDDC"/>
              <w:left w:val="nil"/>
              <w:bottom w:val="single" w:sz="8" w:space="0" w:color="B5DDDC"/>
              <w:right w:val="single" w:sz="8" w:space="0" w:color="B5DDDC"/>
            </w:tcBorders>
            <w:shd w:val="clear" w:color="000000" w:fill="B5DDDC"/>
            <w:vAlign w:val="center"/>
            <w:hideMark/>
          </w:tcPr>
          <w:p w14:paraId="5434AAB9" w14:textId="77777777" w:rsidR="00232391" w:rsidRPr="00397A3E" w:rsidRDefault="00171C91" w:rsidP="003C0A46">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Outcome measures</w:t>
            </w:r>
          </w:p>
        </w:tc>
        <w:tc>
          <w:tcPr>
            <w:tcW w:w="1984" w:type="dxa"/>
            <w:tcBorders>
              <w:top w:val="single" w:sz="8" w:space="0" w:color="B5DDDC"/>
              <w:left w:val="nil"/>
              <w:bottom w:val="single" w:sz="8" w:space="0" w:color="B5DDDC"/>
              <w:right w:val="single" w:sz="8" w:space="0" w:color="B5DDDC"/>
            </w:tcBorders>
            <w:shd w:val="clear" w:color="000000" w:fill="B5DDDC"/>
            <w:vAlign w:val="center"/>
            <w:hideMark/>
          </w:tcPr>
          <w:p w14:paraId="03866F6D" w14:textId="77777777" w:rsidR="00232391" w:rsidRPr="00397A3E" w:rsidRDefault="00171C91" w:rsidP="003C0A46">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Rationale for selecting this outcome</w:t>
            </w:r>
          </w:p>
        </w:tc>
      </w:tr>
      <w:tr w:rsidR="00785848" w14:paraId="0C108C36" w14:textId="77777777" w:rsidTr="00655292">
        <w:tc>
          <w:tcPr>
            <w:tcW w:w="8410" w:type="dxa"/>
            <w:gridSpan w:val="5"/>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17DCC8D0" w14:textId="57A3BFCC"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 xml:space="preserve">Primary research question: </w:t>
            </w:r>
            <w:r w:rsidR="006B3F01" w:rsidRPr="00397A3E">
              <w:rPr>
                <w:rFonts w:ascii="Calibri" w:hAnsi="Calibri" w:cs="Calibri"/>
                <w:i/>
                <w:iCs/>
                <w:noProof w:val="0"/>
                <w:color w:val="000000"/>
                <w:sz w:val="16"/>
                <w:szCs w:val="16"/>
              </w:rPr>
              <w:t xml:space="preserve">How can we monitor, </w:t>
            </w:r>
            <w:r w:rsidR="0005657D" w:rsidRPr="00397A3E">
              <w:rPr>
                <w:rFonts w:ascii="Calibri" w:hAnsi="Calibri" w:cs="Calibri"/>
                <w:i/>
                <w:iCs/>
                <w:noProof w:val="0"/>
                <w:color w:val="000000"/>
                <w:sz w:val="16"/>
                <w:szCs w:val="16"/>
              </w:rPr>
              <w:t>assess,</w:t>
            </w:r>
            <w:r w:rsidR="006B3F01" w:rsidRPr="00397A3E">
              <w:rPr>
                <w:rFonts w:ascii="Calibri" w:hAnsi="Calibri" w:cs="Calibri"/>
                <w:i/>
                <w:iCs/>
                <w:noProof w:val="0"/>
                <w:color w:val="000000"/>
                <w:sz w:val="16"/>
                <w:szCs w:val="16"/>
              </w:rPr>
              <w:t xml:space="preserve"> and predict risks from diffuse and point source microbial contamination in recreational waters?</w:t>
            </w:r>
          </w:p>
        </w:tc>
      </w:tr>
      <w:tr w:rsidR="00785848" w14:paraId="1A8AC34A" w14:textId="77777777" w:rsidTr="00644C54">
        <w:tc>
          <w:tcPr>
            <w:tcW w:w="1464" w:type="dxa"/>
            <w:tcBorders>
              <w:top w:val="nil"/>
              <w:left w:val="single" w:sz="8" w:space="0" w:color="B5DDDC"/>
              <w:bottom w:val="single" w:sz="8" w:space="0" w:color="B5DDDC"/>
              <w:right w:val="single" w:sz="8" w:space="0" w:color="B5DDDC"/>
            </w:tcBorders>
            <w:shd w:val="clear" w:color="000000" w:fill="D6EAEB"/>
            <w:vAlign w:val="center"/>
            <w:hideMark/>
          </w:tcPr>
          <w:p w14:paraId="71DFB361" w14:textId="4DF3F68A"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 xml:space="preserve">Method </w:t>
            </w:r>
            <w:r w:rsidR="00AF781F" w:rsidRPr="00397A3E">
              <w:rPr>
                <w:rFonts w:ascii="Calibri" w:hAnsi="Calibri" w:cs="Calibri"/>
                <w:noProof w:val="0"/>
                <w:color w:val="000000"/>
                <w:sz w:val="16"/>
                <w:szCs w:val="16"/>
              </w:rPr>
              <w:t>described for</w:t>
            </w:r>
            <w:r w:rsidRPr="00397A3E">
              <w:rPr>
                <w:rFonts w:ascii="Calibri" w:hAnsi="Calibri" w:cs="Calibri"/>
                <w:noProof w:val="0"/>
                <w:color w:val="000000"/>
                <w:sz w:val="16"/>
                <w:szCs w:val="16"/>
              </w:rPr>
              <w:t xml:space="preserve"> monitoring, assessing and predict risks from diffuse and point source microbial contamination in recreational waters</w:t>
            </w:r>
          </w:p>
        </w:tc>
        <w:tc>
          <w:tcPr>
            <w:tcW w:w="1560" w:type="dxa"/>
            <w:tcBorders>
              <w:top w:val="nil"/>
              <w:left w:val="nil"/>
              <w:bottom w:val="single" w:sz="8" w:space="0" w:color="B5DDDC"/>
              <w:right w:val="single" w:sz="8" w:space="0" w:color="B5DDDC"/>
            </w:tcBorders>
            <w:vAlign w:val="center"/>
            <w:hideMark/>
          </w:tcPr>
          <w:p w14:paraId="2DF1802F" w14:textId="316A92F2" w:rsidR="00232391" w:rsidRPr="00397A3E" w:rsidRDefault="00171C91" w:rsidP="003C0A46">
            <w:pPr>
              <w:spacing w:before="0" w:after="0" w:line="240" w:lineRule="auto"/>
              <w:rPr>
                <w:rFonts w:ascii="Calibri" w:hAnsi="Calibri" w:cs="Calibri"/>
                <w:noProof w:val="0"/>
                <w:color w:val="000000"/>
                <w:sz w:val="16"/>
                <w:szCs w:val="16"/>
                <w:highlight w:val="yellow"/>
              </w:rPr>
            </w:pPr>
            <w:r w:rsidRPr="00397A3E">
              <w:rPr>
                <w:rFonts w:ascii="Calibri" w:hAnsi="Calibri" w:cs="Calibri"/>
                <w:noProof w:val="0"/>
                <w:color w:val="000000"/>
                <w:sz w:val="16"/>
                <w:szCs w:val="16"/>
              </w:rPr>
              <w:t>Study describes methods for assessing and predicting microbial risks in recreational waters from diffuse and point sources</w:t>
            </w:r>
            <w:r w:rsidR="00696AF0" w:rsidRPr="00397A3E">
              <w:rPr>
                <w:rFonts w:ascii="Calibri" w:hAnsi="Calibri" w:cs="Calibri"/>
                <w:noProof w:val="0"/>
                <w:color w:val="000000"/>
                <w:sz w:val="16"/>
                <w:szCs w:val="16"/>
              </w:rPr>
              <w:t>.</w:t>
            </w:r>
          </w:p>
        </w:tc>
        <w:tc>
          <w:tcPr>
            <w:tcW w:w="1842" w:type="dxa"/>
            <w:tcBorders>
              <w:top w:val="nil"/>
              <w:left w:val="nil"/>
              <w:bottom w:val="single" w:sz="8" w:space="0" w:color="B5DDDC"/>
              <w:right w:val="single" w:sz="8" w:space="0" w:color="B5DDDC"/>
            </w:tcBorders>
            <w:vAlign w:val="center"/>
            <w:hideMark/>
          </w:tcPr>
          <w:p w14:paraId="24CF4CF0" w14:textId="6D006682" w:rsidR="00232391" w:rsidRPr="00397A3E" w:rsidRDefault="00171C91" w:rsidP="003C0A46">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Rates of gastro-intestinal illness</w:t>
            </w:r>
            <w:r w:rsidR="004E238C" w:rsidRPr="00397A3E">
              <w:rPr>
                <w:rFonts w:ascii="Calibri" w:hAnsi="Calibri" w:cs="Calibri"/>
                <w:noProof w:val="0"/>
                <w:color w:val="000000"/>
                <w:sz w:val="16"/>
                <w:szCs w:val="16"/>
              </w:rPr>
              <w:t xml:space="preserve"> linked to exposure</w:t>
            </w:r>
            <w:r w:rsidRPr="00397A3E">
              <w:rPr>
                <w:rFonts w:ascii="Calibri" w:hAnsi="Calibri" w:cs="Calibri"/>
                <w:noProof w:val="0"/>
                <w:color w:val="000000"/>
                <w:sz w:val="16"/>
                <w:szCs w:val="16"/>
              </w:rPr>
              <w:t xml:space="preserve">, or concentrations of pathogen or indicator measured above regional or national exposure criteria for protection of human health.  Health impact </w:t>
            </w:r>
            <w:r w:rsidR="004E238C" w:rsidRPr="00397A3E">
              <w:rPr>
                <w:rFonts w:ascii="Calibri" w:hAnsi="Calibri" w:cs="Calibri"/>
                <w:noProof w:val="0"/>
                <w:color w:val="000000"/>
                <w:sz w:val="16"/>
                <w:szCs w:val="16"/>
              </w:rPr>
              <w:t>recorded (GI illness), or inferred due</w:t>
            </w:r>
            <w:r w:rsidRPr="00397A3E">
              <w:rPr>
                <w:rFonts w:ascii="Calibri" w:hAnsi="Calibri" w:cs="Calibri"/>
                <w:noProof w:val="0"/>
                <w:color w:val="000000"/>
                <w:sz w:val="16"/>
                <w:szCs w:val="16"/>
              </w:rPr>
              <w:t xml:space="preserve"> to criteria exceedance</w:t>
            </w:r>
            <w:r w:rsidR="004E238C" w:rsidRPr="00397A3E">
              <w:rPr>
                <w:rFonts w:ascii="Calibri" w:hAnsi="Calibri" w:cs="Calibri"/>
                <w:noProof w:val="0"/>
                <w:color w:val="000000"/>
                <w:sz w:val="16"/>
                <w:szCs w:val="16"/>
              </w:rPr>
              <w:t xml:space="preserve"> for pathogens or indicators</w:t>
            </w:r>
            <w:r w:rsidRPr="00397A3E">
              <w:rPr>
                <w:rFonts w:ascii="Calibri" w:hAnsi="Calibri" w:cs="Calibri"/>
                <w:noProof w:val="0"/>
                <w:color w:val="000000"/>
                <w:sz w:val="16"/>
                <w:szCs w:val="16"/>
              </w:rPr>
              <w:t>.</w:t>
            </w:r>
          </w:p>
        </w:tc>
        <w:tc>
          <w:tcPr>
            <w:tcW w:w="1560" w:type="dxa"/>
            <w:tcBorders>
              <w:top w:val="nil"/>
              <w:left w:val="nil"/>
              <w:bottom w:val="single" w:sz="8" w:space="0" w:color="B5DDDC"/>
              <w:right w:val="single" w:sz="8" w:space="0" w:color="B5DDDC"/>
            </w:tcBorders>
            <w:vAlign w:val="center"/>
            <w:hideMark/>
          </w:tcPr>
          <w:p w14:paraId="3FC76010" w14:textId="5E6DB2A0" w:rsidR="00232391" w:rsidRPr="00397A3E" w:rsidRDefault="00171C91" w:rsidP="003C0A46">
            <w:pPr>
              <w:spacing w:before="0" w:after="0" w:line="240" w:lineRule="auto"/>
              <w:rPr>
                <w:rFonts w:ascii="Calibri" w:hAnsi="Calibri" w:cs="Calibri"/>
                <w:noProof w:val="0"/>
                <w:color w:val="000000"/>
                <w:sz w:val="16"/>
                <w:szCs w:val="16"/>
                <w:highlight w:val="yellow"/>
              </w:rPr>
            </w:pPr>
            <w:r w:rsidRPr="00397A3E">
              <w:rPr>
                <w:rFonts w:ascii="Calibri" w:hAnsi="Calibri" w:cs="Calibri"/>
                <w:noProof w:val="0"/>
                <w:color w:val="000000"/>
                <w:sz w:val="16"/>
                <w:szCs w:val="16"/>
              </w:rPr>
              <w:t>Measured or predicted r</w:t>
            </w:r>
            <w:r w:rsidR="003966D8" w:rsidRPr="00397A3E">
              <w:rPr>
                <w:rFonts w:ascii="Calibri" w:hAnsi="Calibri" w:cs="Calibri"/>
                <w:noProof w:val="0"/>
                <w:color w:val="000000"/>
                <w:sz w:val="16"/>
                <w:szCs w:val="16"/>
              </w:rPr>
              <w:t>ates of gastrointestinal illness, or c</w:t>
            </w:r>
            <w:r w:rsidRPr="00397A3E">
              <w:rPr>
                <w:rFonts w:ascii="Calibri" w:hAnsi="Calibri" w:cs="Calibri"/>
                <w:noProof w:val="0"/>
                <w:color w:val="000000"/>
                <w:sz w:val="16"/>
                <w:szCs w:val="16"/>
              </w:rPr>
              <w:t xml:space="preserve">oncentration </w:t>
            </w:r>
            <w:r w:rsidR="004E238C" w:rsidRPr="00397A3E">
              <w:rPr>
                <w:rFonts w:ascii="Calibri" w:hAnsi="Calibri" w:cs="Calibri"/>
                <w:noProof w:val="0"/>
                <w:color w:val="000000"/>
                <w:sz w:val="16"/>
                <w:szCs w:val="16"/>
              </w:rPr>
              <w:t xml:space="preserve">of pathogens or indicators </w:t>
            </w:r>
            <w:r w:rsidRPr="00397A3E">
              <w:rPr>
                <w:rFonts w:ascii="Calibri" w:hAnsi="Calibri" w:cs="Calibri"/>
                <w:noProof w:val="0"/>
                <w:color w:val="000000"/>
                <w:sz w:val="16"/>
                <w:szCs w:val="16"/>
              </w:rPr>
              <w:t>in recreational waters in relation to criteria</w:t>
            </w:r>
            <w:r w:rsidR="004E238C" w:rsidRPr="00397A3E">
              <w:rPr>
                <w:rFonts w:ascii="Calibri" w:hAnsi="Calibri" w:cs="Calibri"/>
                <w:noProof w:val="0"/>
                <w:color w:val="000000"/>
                <w:sz w:val="16"/>
                <w:szCs w:val="16"/>
              </w:rPr>
              <w:t xml:space="preserve"> for human health protection</w:t>
            </w:r>
            <w:r w:rsidR="00696AF0" w:rsidRPr="00397A3E">
              <w:rPr>
                <w:rFonts w:ascii="Calibri" w:hAnsi="Calibri" w:cs="Calibri"/>
                <w:noProof w:val="0"/>
                <w:color w:val="000000"/>
                <w:sz w:val="16"/>
                <w:szCs w:val="16"/>
              </w:rPr>
              <w:t>.</w:t>
            </w:r>
          </w:p>
        </w:tc>
        <w:tc>
          <w:tcPr>
            <w:tcW w:w="1984" w:type="dxa"/>
            <w:tcBorders>
              <w:top w:val="nil"/>
              <w:left w:val="nil"/>
              <w:bottom w:val="single" w:sz="8" w:space="0" w:color="B5DDDC"/>
              <w:right w:val="single" w:sz="8" w:space="0" w:color="B5DDDC"/>
            </w:tcBorders>
            <w:vAlign w:val="center"/>
            <w:hideMark/>
          </w:tcPr>
          <w:p w14:paraId="5EBD2D96" w14:textId="247E9D16" w:rsidR="00232391" w:rsidRPr="00397A3E" w:rsidRDefault="00171C91" w:rsidP="007A5A03">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Descriptions of methods for assessing and predicting microbial risks in recreational waters from diffuse and point sources match the stated requirements of the primary research question.</w:t>
            </w:r>
          </w:p>
        </w:tc>
      </w:tr>
    </w:tbl>
    <w:p w14:paraId="159B9AED" w14:textId="0F281CF1" w:rsidR="00232391" w:rsidRPr="00397A3E" w:rsidRDefault="00232391" w:rsidP="00232391">
      <w:pPr>
        <w:rPr>
          <w:noProof w:val="0"/>
        </w:rPr>
      </w:pPr>
    </w:p>
    <w:p w14:paraId="0D933FAE" w14:textId="6910845A" w:rsidR="00232391" w:rsidRPr="00397A3E" w:rsidRDefault="00171C91" w:rsidP="007E7442">
      <w:pPr>
        <w:pStyle w:val="Heading4"/>
        <w:rPr>
          <w:noProof w:val="0"/>
          <w:color w:val="auto"/>
        </w:rPr>
      </w:pPr>
      <w:bookmarkStart w:id="88" w:name="_Toc71638749"/>
      <w:bookmarkStart w:id="89" w:name="_Toc106964819"/>
      <w:r w:rsidRPr="00397A3E">
        <w:rPr>
          <w:noProof w:val="0"/>
          <w:color w:val="auto"/>
        </w:rPr>
        <w:t xml:space="preserve">GRADE </w:t>
      </w:r>
      <w:r w:rsidR="00F76269" w:rsidRPr="00397A3E">
        <w:rPr>
          <w:noProof w:val="0"/>
          <w:color w:val="auto"/>
        </w:rPr>
        <w:t>a</w:t>
      </w:r>
      <w:r w:rsidRPr="00397A3E">
        <w:rPr>
          <w:noProof w:val="0"/>
          <w:color w:val="auto"/>
        </w:rPr>
        <w:t>ssessment</w:t>
      </w:r>
      <w:bookmarkEnd w:id="88"/>
      <w:bookmarkEnd w:id="89"/>
    </w:p>
    <w:p w14:paraId="64FEB7EC" w14:textId="0C41C89E" w:rsidR="00232391" w:rsidRPr="00397A3E" w:rsidRDefault="00171C91" w:rsidP="00232391">
      <w:pPr>
        <w:rPr>
          <w:noProof w:val="0"/>
        </w:rPr>
      </w:pPr>
      <w:r w:rsidRPr="00397A3E">
        <w:rPr>
          <w:noProof w:val="0"/>
        </w:rPr>
        <w:t>Under the GRADE system, the overall quality of the evidence for an outcome was categorised as High, Moderate, Low or Very Low, reflecting the degree of confidence in the effect estimate (</w:t>
      </w:r>
      <w:r w:rsidRPr="00397A3E">
        <w:rPr>
          <w:noProof w:val="0"/>
        </w:rPr>
        <w:fldChar w:fldCharType="begin"/>
      </w:r>
      <w:r w:rsidRPr="00397A3E">
        <w:rPr>
          <w:noProof w:val="0"/>
        </w:rPr>
        <w:instrText xml:space="preserve"> REF _Ref70519283 \h </w:instrText>
      </w:r>
      <w:r w:rsidRPr="00397A3E">
        <w:rPr>
          <w:noProof w:val="0"/>
        </w:rPr>
      </w:r>
      <w:r w:rsidRPr="00397A3E">
        <w:rPr>
          <w:noProof w:val="0"/>
        </w:rPr>
        <w:fldChar w:fldCharType="separate"/>
      </w:r>
      <w:r w:rsidR="001A0E9F" w:rsidRPr="00397A3E">
        <w:rPr>
          <w:noProof w:val="0"/>
        </w:rPr>
        <w:t xml:space="preserve">Table </w:t>
      </w:r>
      <w:r w:rsidR="001A0E9F">
        <w:t>2</w:t>
      </w:r>
      <w:r w:rsidR="001A0E9F">
        <w:rPr>
          <w:noProof w:val="0"/>
        </w:rPr>
        <w:noBreakHyphen/>
      </w:r>
      <w:r w:rsidR="001A0E9F">
        <w:t>6</w:t>
      </w:r>
      <w:r w:rsidRPr="00397A3E">
        <w:rPr>
          <w:noProof w:val="0"/>
        </w:rPr>
        <w:fldChar w:fldCharType="end"/>
      </w:r>
      <w:r w:rsidRPr="00397A3E">
        <w:rPr>
          <w:noProof w:val="0"/>
        </w:rPr>
        <w:t xml:space="preserve">).  </w:t>
      </w:r>
    </w:p>
    <w:p w14:paraId="1AE2BE0A" w14:textId="1E9A9796" w:rsidR="00232391" w:rsidRPr="00397A3E" w:rsidRDefault="00171C91" w:rsidP="00232391">
      <w:pPr>
        <w:pStyle w:val="Caption"/>
        <w:rPr>
          <w:noProof w:val="0"/>
        </w:rPr>
      </w:pPr>
      <w:bookmarkStart w:id="90" w:name="_Ref70519283"/>
      <w:bookmarkStart w:id="91" w:name="_Toc71638845"/>
      <w:bookmarkStart w:id="92" w:name="_Toc106964858"/>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2</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6</w:t>
      </w:r>
      <w:r w:rsidR="00F178D7">
        <w:rPr>
          <w:noProof w:val="0"/>
        </w:rPr>
        <w:fldChar w:fldCharType="end"/>
      </w:r>
      <w:bookmarkEnd w:id="90"/>
      <w:r w:rsidRPr="00397A3E">
        <w:rPr>
          <w:noProof w:val="0"/>
        </w:rPr>
        <w:t xml:space="preserve">. GRADE ratings and their interpretation from </w:t>
      </w:r>
      <w:r w:rsidRPr="00397A3E">
        <w:rPr>
          <w:noProof w:val="0"/>
        </w:rPr>
        <w:fldChar w:fldCharType="begin"/>
      </w:r>
      <w:r w:rsidRPr="00397A3E">
        <w:rPr>
          <w:noProof w:val="0"/>
        </w:rPr>
        <w:instrText xml:space="preserve"> ADDIN ZOTERO_ITEM CSL_CITATION {"citationID":"QyikO1KQ","properties":{"custom":"Ryan and Hill (2016)","formattedCitation":"Ryan and Hill (2016)","plainCitation":"Ryan and Hill (2016)","noteIndex":0},"citationItems":[{"id":17461,"uris":["http://zotero.org/users/148142/items/KM6SMR4D"],"uri":["http://zotero.org/users/148142/items/KM6SMR4D"],"itemData":{"id":17461,"type":"report","title":"How to GRADE the quality of the evidence. Cochrane Consumers and Communication Group. Version 3.0 December 2016","URL":"http://cccrg.cochrane.org/author-resources","author":[{"family":"Ryan","given":"R"},{"family":"Hill","given":"S"}],"issued":{"date-parts":[["2016"]]}}}],"schema":"https://github.com/citation-style-language/schema/raw/master/csl-citation.json"} </w:instrText>
      </w:r>
      <w:r w:rsidRPr="00397A3E">
        <w:rPr>
          <w:noProof w:val="0"/>
        </w:rPr>
        <w:fldChar w:fldCharType="separate"/>
      </w:r>
      <w:r w:rsidRPr="00397A3E">
        <w:rPr>
          <w:rFonts w:cs="Arial"/>
          <w:noProof w:val="0"/>
          <w:sz w:val="20"/>
        </w:rPr>
        <w:t>Ryan and Hill (2016)</w:t>
      </w:r>
      <w:bookmarkEnd w:id="91"/>
      <w:bookmarkEnd w:id="92"/>
      <w:r w:rsidRPr="00397A3E">
        <w:rPr>
          <w:noProof w:val="0"/>
        </w:rPr>
        <w:fldChar w:fldCharType="end"/>
      </w:r>
    </w:p>
    <w:tbl>
      <w:tblPr>
        <w:tblStyle w:val="EcosleftTableStyle"/>
        <w:tblW w:w="0" w:type="auto"/>
        <w:tblLook w:val="04A0" w:firstRow="1" w:lastRow="0" w:firstColumn="1" w:lastColumn="0" w:noHBand="0" w:noVBand="1"/>
      </w:tblPr>
      <w:tblGrid>
        <w:gridCol w:w="1129"/>
        <w:gridCol w:w="1276"/>
        <w:gridCol w:w="5238"/>
      </w:tblGrid>
      <w:tr w:rsidR="00785848" w14:paraId="2341F52B" w14:textId="77777777" w:rsidTr="00785848">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129" w:type="dxa"/>
          </w:tcPr>
          <w:p w14:paraId="07A14F4B" w14:textId="77777777" w:rsidR="00232391" w:rsidRPr="00397A3E" w:rsidRDefault="00171C91" w:rsidP="003C0A46">
            <w:pPr>
              <w:spacing w:before="40" w:after="40" w:line="240" w:lineRule="auto"/>
              <w:rPr>
                <w:rFonts w:asciiTheme="minorHAnsi" w:hAnsiTheme="minorHAnsi" w:cstheme="minorHAnsi"/>
                <w:noProof w:val="0"/>
              </w:rPr>
            </w:pPr>
            <w:r w:rsidRPr="00397A3E">
              <w:rPr>
                <w:rFonts w:asciiTheme="minorHAnsi" w:hAnsiTheme="minorHAnsi" w:cstheme="minorHAnsi"/>
                <w:noProof w:val="0"/>
              </w:rPr>
              <w:t>Symbol</w:t>
            </w:r>
          </w:p>
        </w:tc>
        <w:tc>
          <w:tcPr>
            <w:tcW w:w="1276" w:type="dxa"/>
          </w:tcPr>
          <w:p w14:paraId="526B9290" w14:textId="77777777" w:rsidR="00232391" w:rsidRPr="00397A3E" w:rsidRDefault="00171C91" w:rsidP="003C0A46">
            <w:pPr>
              <w:spacing w:before="40" w:after="4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val="0"/>
              </w:rPr>
            </w:pPr>
            <w:r w:rsidRPr="00397A3E">
              <w:rPr>
                <w:rFonts w:asciiTheme="minorHAnsi" w:hAnsiTheme="minorHAnsi" w:cstheme="minorHAnsi"/>
                <w:noProof w:val="0"/>
              </w:rPr>
              <w:t>Quality</w:t>
            </w:r>
          </w:p>
        </w:tc>
        <w:tc>
          <w:tcPr>
            <w:tcW w:w="5238" w:type="dxa"/>
          </w:tcPr>
          <w:p w14:paraId="03E27F80" w14:textId="77777777" w:rsidR="00232391" w:rsidRPr="00397A3E" w:rsidRDefault="00171C91" w:rsidP="003C0A46">
            <w:pPr>
              <w:spacing w:before="40" w:after="4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val="0"/>
              </w:rPr>
            </w:pPr>
            <w:r w:rsidRPr="00397A3E">
              <w:rPr>
                <w:rFonts w:asciiTheme="minorHAnsi" w:hAnsiTheme="minorHAnsi" w:cstheme="minorHAnsi"/>
                <w:noProof w:val="0"/>
              </w:rPr>
              <w:t>Interpretation</w:t>
            </w:r>
          </w:p>
        </w:tc>
      </w:tr>
      <w:tr w:rsidR="00785848" w14:paraId="0EE97205" w14:textId="77777777" w:rsidTr="00785848">
        <w:tc>
          <w:tcPr>
            <w:cnfStyle w:val="001000000000" w:firstRow="0" w:lastRow="0" w:firstColumn="1" w:lastColumn="0" w:oddVBand="0" w:evenVBand="0" w:oddHBand="0" w:evenHBand="0" w:firstRowFirstColumn="0" w:firstRowLastColumn="0" w:lastRowFirstColumn="0" w:lastRowLastColumn="0"/>
            <w:tcW w:w="1129" w:type="dxa"/>
          </w:tcPr>
          <w:p w14:paraId="346737C8" w14:textId="77777777" w:rsidR="00232391" w:rsidRPr="00397A3E" w:rsidRDefault="00171C91" w:rsidP="003C0A46">
            <w:pPr>
              <w:spacing w:before="40" w:after="40" w:line="240" w:lineRule="auto"/>
              <w:rPr>
                <w:rFonts w:asciiTheme="majorHAnsi" w:hAnsiTheme="majorHAnsi" w:cstheme="minorHAnsi"/>
                <w:noProof w:val="0"/>
              </w:rPr>
            </w:pPr>
            <w:r w:rsidRPr="00397A3E">
              <w:rPr>
                <w:rFonts w:asciiTheme="majorHAnsi" w:hAnsiTheme="majorHAnsi" w:cs="Calibri"/>
                <w:noProof w:val="0"/>
                <w:sz w:val="18"/>
                <w:szCs w:val="28"/>
              </w:rPr>
              <w:t>⊕⊕⊕⊕</w:t>
            </w:r>
          </w:p>
        </w:tc>
        <w:tc>
          <w:tcPr>
            <w:tcW w:w="1276" w:type="dxa"/>
          </w:tcPr>
          <w:p w14:paraId="76D3C03B" w14:textId="77777777" w:rsidR="00232391" w:rsidRPr="00397A3E" w:rsidRDefault="00171C91" w:rsidP="003C0A4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val="0"/>
              </w:rPr>
            </w:pPr>
            <w:r w:rsidRPr="00397A3E">
              <w:rPr>
                <w:rFonts w:asciiTheme="minorHAnsi" w:hAnsiTheme="minorHAnsi" w:cstheme="minorHAnsi"/>
                <w:b/>
                <w:bCs/>
                <w:noProof w:val="0"/>
              </w:rPr>
              <w:t>High</w:t>
            </w:r>
          </w:p>
        </w:tc>
        <w:tc>
          <w:tcPr>
            <w:tcW w:w="5238" w:type="dxa"/>
          </w:tcPr>
          <w:p w14:paraId="348289B3" w14:textId="77777777" w:rsidR="00232391" w:rsidRPr="00397A3E" w:rsidRDefault="00171C91" w:rsidP="003C0A4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rPr>
            </w:pPr>
            <w:r w:rsidRPr="00397A3E">
              <w:rPr>
                <w:rFonts w:asciiTheme="minorHAnsi" w:hAnsiTheme="minorHAnsi" w:cstheme="minorHAnsi"/>
                <w:noProof w:val="0"/>
              </w:rPr>
              <w:t>We are very confident that the true effect lies close to that of the estimate of the effect.</w:t>
            </w:r>
          </w:p>
        </w:tc>
      </w:tr>
      <w:tr w:rsidR="00785848" w14:paraId="41BC45AE" w14:textId="77777777" w:rsidTr="00785848">
        <w:tc>
          <w:tcPr>
            <w:cnfStyle w:val="001000000000" w:firstRow="0" w:lastRow="0" w:firstColumn="1" w:lastColumn="0" w:oddVBand="0" w:evenVBand="0" w:oddHBand="0" w:evenHBand="0" w:firstRowFirstColumn="0" w:firstRowLastColumn="0" w:lastRowFirstColumn="0" w:lastRowLastColumn="0"/>
            <w:tcW w:w="1129" w:type="dxa"/>
          </w:tcPr>
          <w:p w14:paraId="2CC7E310" w14:textId="77777777" w:rsidR="00232391" w:rsidRPr="00397A3E" w:rsidRDefault="00171C91" w:rsidP="003C0A46">
            <w:pPr>
              <w:spacing w:before="40" w:after="40" w:line="240" w:lineRule="auto"/>
              <w:rPr>
                <w:rFonts w:asciiTheme="majorHAnsi" w:hAnsiTheme="majorHAnsi" w:cstheme="minorHAnsi"/>
                <w:noProof w:val="0"/>
                <w:sz w:val="18"/>
                <w:szCs w:val="18"/>
              </w:rPr>
            </w:pPr>
            <w:r w:rsidRPr="00397A3E">
              <w:rPr>
                <w:rFonts w:asciiTheme="majorHAnsi" w:hAnsiTheme="majorHAnsi" w:cs="Calibri"/>
                <w:noProof w:val="0"/>
                <w:sz w:val="18"/>
                <w:szCs w:val="18"/>
              </w:rPr>
              <w:t>⊕⊕⊕</w:t>
            </w:r>
            <w:r w:rsidRPr="00397A3E">
              <w:rPr>
                <w:rFonts w:asciiTheme="majorHAnsi" w:hAnsiTheme="majorHAnsi" w:cs="Calibri"/>
                <w:noProof w:val="0"/>
                <w:sz w:val="20"/>
                <w:szCs w:val="32"/>
              </w:rPr>
              <w:t>Ο</w:t>
            </w:r>
          </w:p>
        </w:tc>
        <w:tc>
          <w:tcPr>
            <w:tcW w:w="1276" w:type="dxa"/>
          </w:tcPr>
          <w:p w14:paraId="0B5EADF7" w14:textId="77777777" w:rsidR="00232391" w:rsidRPr="00397A3E" w:rsidRDefault="00171C91" w:rsidP="003C0A4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val="0"/>
              </w:rPr>
            </w:pPr>
            <w:r w:rsidRPr="00397A3E">
              <w:rPr>
                <w:rFonts w:asciiTheme="minorHAnsi" w:hAnsiTheme="minorHAnsi" w:cstheme="minorHAnsi"/>
                <w:b/>
                <w:bCs/>
                <w:noProof w:val="0"/>
              </w:rPr>
              <w:t>Moderate</w:t>
            </w:r>
          </w:p>
        </w:tc>
        <w:tc>
          <w:tcPr>
            <w:tcW w:w="5238" w:type="dxa"/>
          </w:tcPr>
          <w:p w14:paraId="4A448557" w14:textId="77777777" w:rsidR="00232391" w:rsidRPr="00397A3E" w:rsidRDefault="00171C91" w:rsidP="003C0A4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rPr>
            </w:pPr>
            <w:r w:rsidRPr="00397A3E">
              <w:rPr>
                <w:rFonts w:asciiTheme="minorHAnsi" w:hAnsiTheme="minorHAnsi" w:cstheme="minorHAnsi"/>
                <w:noProof w:val="0"/>
              </w:rPr>
              <w:t>We are moderately confident in the effect estimate: the true effect is likely to be close to the estimate of the effect, but there is a possibility that it is substantially different.</w:t>
            </w:r>
          </w:p>
        </w:tc>
      </w:tr>
      <w:tr w:rsidR="00785848" w14:paraId="6FD95C81" w14:textId="77777777" w:rsidTr="00785848">
        <w:tc>
          <w:tcPr>
            <w:cnfStyle w:val="001000000000" w:firstRow="0" w:lastRow="0" w:firstColumn="1" w:lastColumn="0" w:oddVBand="0" w:evenVBand="0" w:oddHBand="0" w:evenHBand="0" w:firstRowFirstColumn="0" w:firstRowLastColumn="0" w:lastRowFirstColumn="0" w:lastRowLastColumn="0"/>
            <w:tcW w:w="1129" w:type="dxa"/>
          </w:tcPr>
          <w:p w14:paraId="6EC9ED57" w14:textId="77777777" w:rsidR="00232391" w:rsidRPr="00397A3E" w:rsidRDefault="00171C91" w:rsidP="003C0A46">
            <w:pPr>
              <w:spacing w:before="40" w:after="40" w:line="240" w:lineRule="auto"/>
              <w:rPr>
                <w:rFonts w:asciiTheme="majorHAnsi" w:hAnsiTheme="majorHAnsi" w:cstheme="minorHAnsi"/>
                <w:noProof w:val="0"/>
              </w:rPr>
            </w:pPr>
            <w:r w:rsidRPr="00397A3E">
              <w:rPr>
                <w:rFonts w:asciiTheme="majorHAnsi" w:hAnsiTheme="majorHAnsi" w:cs="Calibri"/>
                <w:noProof w:val="0"/>
                <w:sz w:val="18"/>
                <w:szCs w:val="28"/>
              </w:rPr>
              <w:t>⊕⊕ΟΟ</w:t>
            </w:r>
          </w:p>
        </w:tc>
        <w:tc>
          <w:tcPr>
            <w:tcW w:w="1276" w:type="dxa"/>
          </w:tcPr>
          <w:p w14:paraId="53A3073C" w14:textId="77777777" w:rsidR="00232391" w:rsidRPr="00397A3E" w:rsidRDefault="00171C91" w:rsidP="003C0A4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val="0"/>
              </w:rPr>
            </w:pPr>
            <w:r w:rsidRPr="00397A3E">
              <w:rPr>
                <w:rFonts w:asciiTheme="minorHAnsi" w:hAnsiTheme="minorHAnsi" w:cstheme="minorHAnsi"/>
                <w:b/>
                <w:bCs/>
                <w:noProof w:val="0"/>
              </w:rPr>
              <w:t>Low</w:t>
            </w:r>
          </w:p>
        </w:tc>
        <w:tc>
          <w:tcPr>
            <w:tcW w:w="5238" w:type="dxa"/>
          </w:tcPr>
          <w:p w14:paraId="3059608A" w14:textId="77777777" w:rsidR="00232391" w:rsidRPr="00397A3E" w:rsidRDefault="00171C91" w:rsidP="003C0A4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rPr>
            </w:pPr>
            <w:r w:rsidRPr="00397A3E">
              <w:rPr>
                <w:rFonts w:asciiTheme="minorHAnsi" w:hAnsiTheme="minorHAnsi" w:cstheme="minorHAnsi"/>
                <w:noProof w:val="0"/>
              </w:rPr>
              <w:t>Our confidence in the effect estimate is limited: the true effect may be substantially different from the estimate of the effect.</w:t>
            </w:r>
          </w:p>
        </w:tc>
      </w:tr>
      <w:tr w:rsidR="00785848" w14:paraId="356D1DEB" w14:textId="77777777" w:rsidTr="00785848">
        <w:tc>
          <w:tcPr>
            <w:cnfStyle w:val="001000000000" w:firstRow="0" w:lastRow="0" w:firstColumn="1" w:lastColumn="0" w:oddVBand="0" w:evenVBand="0" w:oddHBand="0" w:evenHBand="0" w:firstRowFirstColumn="0" w:firstRowLastColumn="0" w:lastRowFirstColumn="0" w:lastRowLastColumn="0"/>
            <w:tcW w:w="1129" w:type="dxa"/>
          </w:tcPr>
          <w:p w14:paraId="00BEC0EC" w14:textId="77777777" w:rsidR="00232391" w:rsidRPr="00397A3E" w:rsidRDefault="00171C91" w:rsidP="003C0A46">
            <w:pPr>
              <w:spacing w:before="40" w:after="40" w:line="240" w:lineRule="auto"/>
              <w:rPr>
                <w:rFonts w:asciiTheme="majorHAnsi" w:hAnsiTheme="majorHAnsi" w:cstheme="minorHAnsi"/>
                <w:noProof w:val="0"/>
              </w:rPr>
            </w:pPr>
            <w:r w:rsidRPr="00397A3E">
              <w:rPr>
                <w:rFonts w:asciiTheme="majorHAnsi" w:hAnsiTheme="majorHAnsi" w:cs="Calibri"/>
                <w:noProof w:val="0"/>
                <w:sz w:val="18"/>
                <w:szCs w:val="28"/>
              </w:rPr>
              <w:t>⊕ΟΟΟ</w:t>
            </w:r>
          </w:p>
        </w:tc>
        <w:tc>
          <w:tcPr>
            <w:tcW w:w="1276" w:type="dxa"/>
          </w:tcPr>
          <w:p w14:paraId="30FBBB2F" w14:textId="77777777" w:rsidR="00232391" w:rsidRPr="00397A3E" w:rsidRDefault="00171C91" w:rsidP="003C0A4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val="0"/>
              </w:rPr>
            </w:pPr>
            <w:r w:rsidRPr="00397A3E">
              <w:rPr>
                <w:rFonts w:asciiTheme="minorHAnsi" w:hAnsiTheme="minorHAnsi" w:cstheme="minorHAnsi"/>
                <w:b/>
                <w:bCs/>
                <w:noProof w:val="0"/>
              </w:rPr>
              <w:t>Very Low</w:t>
            </w:r>
          </w:p>
        </w:tc>
        <w:tc>
          <w:tcPr>
            <w:tcW w:w="5238" w:type="dxa"/>
          </w:tcPr>
          <w:p w14:paraId="4448BC50" w14:textId="77777777" w:rsidR="00232391" w:rsidRPr="00397A3E" w:rsidRDefault="00171C91" w:rsidP="003C0A4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rPr>
            </w:pPr>
            <w:r w:rsidRPr="00397A3E">
              <w:rPr>
                <w:rFonts w:asciiTheme="minorHAnsi" w:hAnsiTheme="minorHAnsi" w:cstheme="minorHAnsi"/>
                <w:noProof w:val="0"/>
              </w:rPr>
              <w:t>We have very little confidence in the effect estimate: the true effect is likely to be substantially different from the estimate of effect.</w:t>
            </w:r>
          </w:p>
        </w:tc>
      </w:tr>
    </w:tbl>
    <w:p w14:paraId="22DB9126" w14:textId="77777777" w:rsidR="00130DC4" w:rsidRPr="00397A3E" w:rsidRDefault="00130DC4" w:rsidP="00BA6F16">
      <w:pPr>
        <w:rPr>
          <w:noProof w:val="0"/>
          <w:highlight w:val="yellow"/>
        </w:rPr>
      </w:pPr>
    </w:p>
    <w:p w14:paraId="5C5C1833" w14:textId="51BCA9FD" w:rsidR="00130DC4" w:rsidRPr="00397A3E" w:rsidRDefault="00171C91" w:rsidP="00130DC4">
      <w:pPr>
        <w:rPr>
          <w:noProof w:val="0"/>
        </w:rPr>
      </w:pPr>
      <w:r w:rsidRPr="00397A3E">
        <w:rPr>
          <w:noProof w:val="0"/>
        </w:rPr>
        <w:t>To assist in the development of the GRADE assessment, an evaluation summary matrix for each primary study was constructed (</w:t>
      </w:r>
      <w:r w:rsidR="00702D93" w:rsidRPr="00397A3E">
        <w:rPr>
          <w:noProof w:val="0"/>
        </w:rPr>
        <w:fldChar w:fldCharType="begin"/>
      </w:r>
      <w:r w:rsidR="00702D93" w:rsidRPr="00397A3E">
        <w:rPr>
          <w:noProof w:val="0"/>
        </w:rPr>
        <w:instrText xml:space="preserve"> REF _Ref71721366 \h </w:instrText>
      </w:r>
      <w:r w:rsidR="00F93DD8" w:rsidRPr="00397A3E">
        <w:rPr>
          <w:noProof w:val="0"/>
        </w:rPr>
        <w:instrText xml:space="preserve"> \* MERGEFORMAT </w:instrText>
      </w:r>
      <w:r w:rsidR="00702D93" w:rsidRPr="00397A3E">
        <w:rPr>
          <w:noProof w:val="0"/>
        </w:rPr>
      </w:r>
      <w:r w:rsidR="00702D93" w:rsidRPr="00397A3E">
        <w:rPr>
          <w:noProof w:val="0"/>
        </w:rPr>
        <w:fldChar w:fldCharType="separate"/>
      </w:r>
      <w:r w:rsidR="001A0E9F" w:rsidRPr="00397A3E">
        <w:rPr>
          <w:noProof w:val="0"/>
        </w:rPr>
        <w:t xml:space="preserve">Table </w:t>
      </w:r>
      <w:r w:rsidR="001A0E9F">
        <w:rPr>
          <w:noProof w:val="0"/>
        </w:rPr>
        <w:t>2</w:t>
      </w:r>
      <w:r w:rsidR="001A0E9F">
        <w:rPr>
          <w:noProof w:val="0"/>
        </w:rPr>
        <w:noBreakHyphen/>
        <w:t>7</w:t>
      </w:r>
      <w:r w:rsidR="00702D93" w:rsidRPr="00397A3E">
        <w:rPr>
          <w:noProof w:val="0"/>
        </w:rPr>
        <w:fldChar w:fldCharType="end"/>
      </w:r>
      <w:r w:rsidRPr="00397A3E">
        <w:rPr>
          <w:noProof w:val="0"/>
        </w:rPr>
        <w:t>).  The summary matrices assisted in develop</w:t>
      </w:r>
      <w:r w:rsidR="00C94051" w:rsidRPr="00397A3E">
        <w:rPr>
          <w:noProof w:val="0"/>
        </w:rPr>
        <w:t>ing a</w:t>
      </w:r>
      <w:r w:rsidRPr="00397A3E">
        <w:rPr>
          <w:noProof w:val="0"/>
        </w:rPr>
        <w:t xml:space="preserve"> response to each of the GRADE assessment categories.</w:t>
      </w:r>
    </w:p>
    <w:p w14:paraId="1FF6DCC4" w14:textId="77777777" w:rsidR="00BA6F16" w:rsidRPr="00397A3E" w:rsidRDefault="00BA6F16" w:rsidP="00130DC4">
      <w:pPr>
        <w:rPr>
          <w:noProof w:val="0"/>
        </w:rPr>
      </w:pPr>
    </w:p>
    <w:p w14:paraId="54193B9C" w14:textId="6DDA11B2" w:rsidR="00130DC4" w:rsidRPr="00397A3E" w:rsidRDefault="00171C91" w:rsidP="007E7442">
      <w:pPr>
        <w:pStyle w:val="Caption"/>
        <w:pageBreakBefore/>
        <w:rPr>
          <w:noProof w:val="0"/>
          <w:highlight w:val="yellow"/>
        </w:rPr>
      </w:pPr>
      <w:bookmarkStart w:id="93" w:name="_Ref71721366"/>
      <w:bookmarkStart w:id="94" w:name="_Toc106964859"/>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2</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7</w:t>
      </w:r>
      <w:r w:rsidR="00F178D7">
        <w:rPr>
          <w:noProof w:val="0"/>
        </w:rPr>
        <w:fldChar w:fldCharType="end"/>
      </w:r>
      <w:bookmarkEnd w:id="93"/>
      <w:r w:rsidRPr="00397A3E">
        <w:rPr>
          <w:noProof w:val="0"/>
        </w:rPr>
        <w:t xml:space="preserve">. Evaluation summary matrix of individual </w:t>
      </w:r>
      <w:r w:rsidR="00E02706" w:rsidRPr="00397A3E">
        <w:rPr>
          <w:noProof w:val="0"/>
        </w:rPr>
        <w:t>p</w:t>
      </w:r>
      <w:r w:rsidR="00F03193" w:rsidRPr="00397A3E">
        <w:rPr>
          <w:noProof w:val="0"/>
        </w:rPr>
        <w:t xml:space="preserve">rimary </w:t>
      </w:r>
      <w:r w:rsidR="00E02706" w:rsidRPr="00397A3E">
        <w:rPr>
          <w:noProof w:val="0"/>
        </w:rPr>
        <w:t>s</w:t>
      </w:r>
      <w:r w:rsidR="00F03193" w:rsidRPr="00397A3E">
        <w:rPr>
          <w:noProof w:val="0"/>
        </w:rPr>
        <w:t>tudies</w:t>
      </w:r>
      <w:bookmarkEnd w:id="94"/>
    </w:p>
    <w:tbl>
      <w:tblPr>
        <w:tblW w:w="7225" w:type="dxa"/>
        <w:tblLook w:val="04A0" w:firstRow="1" w:lastRow="0" w:firstColumn="1" w:lastColumn="0" w:noHBand="0" w:noVBand="1"/>
      </w:tblPr>
      <w:tblGrid>
        <w:gridCol w:w="1696"/>
        <w:gridCol w:w="5529"/>
      </w:tblGrid>
      <w:tr w:rsidR="00785848" w14:paraId="4B7CA9A1" w14:textId="77777777" w:rsidTr="00702D93">
        <w:trPr>
          <w:tblHeader/>
        </w:trPr>
        <w:tc>
          <w:tcPr>
            <w:tcW w:w="1696" w:type="dxa"/>
            <w:tcBorders>
              <w:top w:val="single" w:sz="4" w:space="0" w:color="B5DDDC"/>
              <w:left w:val="single" w:sz="4" w:space="0" w:color="B5DDDC"/>
              <w:bottom w:val="single" w:sz="4" w:space="0" w:color="B5DDDC"/>
              <w:right w:val="single" w:sz="4" w:space="0" w:color="B5DDDC"/>
            </w:tcBorders>
            <w:shd w:val="clear" w:color="000000" w:fill="B5DDDC"/>
            <w:vAlign w:val="center"/>
            <w:hideMark/>
          </w:tcPr>
          <w:p w14:paraId="6710BCC4" w14:textId="77777777" w:rsidR="00130DC4" w:rsidRPr="00397A3E" w:rsidRDefault="00171C91" w:rsidP="003C0A46">
            <w:pPr>
              <w:spacing w:before="40" w:after="4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Item</w:t>
            </w:r>
          </w:p>
        </w:tc>
        <w:tc>
          <w:tcPr>
            <w:tcW w:w="5529" w:type="dxa"/>
            <w:tcBorders>
              <w:top w:val="single" w:sz="4" w:space="0" w:color="B5DDDC"/>
              <w:left w:val="nil"/>
              <w:bottom w:val="single" w:sz="4" w:space="0" w:color="B5DDDC"/>
              <w:right w:val="single" w:sz="4" w:space="0" w:color="B5DDDC"/>
            </w:tcBorders>
            <w:shd w:val="clear" w:color="000000" w:fill="B5DDDC"/>
            <w:vAlign w:val="center"/>
            <w:hideMark/>
          </w:tcPr>
          <w:p w14:paraId="08269707" w14:textId="77777777" w:rsidR="00130DC4" w:rsidRPr="00397A3E" w:rsidRDefault="00171C91" w:rsidP="003C0A46">
            <w:pPr>
              <w:spacing w:before="40" w:after="4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Description</w:t>
            </w:r>
          </w:p>
        </w:tc>
      </w:tr>
      <w:tr w:rsidR="00785848" w14:paraId="2CF8423D" w14:textId="77777777" w:rsidTr="003C0A46">
        <w:tc>
          <w:tcPr>
            <w:tcW w:w="1696" w:type="dxa"/>
            <w:tcBorders>
              <w:top w:val="nil"/>
              <w:left w:val="single" w:sz="4" w:space="0" w:color="B5DDDC"/>
              <w:bottom w:val="single" w:sz="4" w:space="0" w:color="B5DDDC"/>
              <w:right w:val="single" w:sz="4" w:space="0" w:color="B5DDDC"/>
            </w:tcBorders>
            <w:shd w:val="clear" w:color="000000" w:fill="D6EAEB"/>
            <w:hideMark/>
          </w:tcPr>
          <w:p w14:paraId="08846746" w14:textId="77777777" w:rsidR="00130DC4" w:rsidRPr="00397A3E" w:rsidRDefault="00171C91" w:rsidP="003C0A46">
            <w:pPr>
              <w:spacing w:before="40" w:after="40" w:line="240" w:lineRule="auto"/>
              <w:rPr>
                <w:rFonts w:ascii="Calibri" w:hAnsi="Calibri" w:cs="Calibri"/>
                <w:noProof w:val="0"/>
                <w:sz w:val="16"/>
                <w:szCs w:val="16"/>
              </w:rPr>
            </w:pPr>
            <w:r w:rsidRPr="00397A3E">
              <w:rPr>
                <w:rFonts w:ascii="Calibri" w:hAnsi="Calibri" w:cs="Calibri"/>
                <w:noProof w:val="0"/>
                <w:sz w:val="16"/>
                <w:szCs w:val="16"/>
              </w:rPr>
              <w:t>Study, Design, Quality</w:t>
            </w:r>
          </w:p>
        </w:tc>
        <w:tc>
          <w:tcPr>
            <w:tcW w:w="5529" w:type="dxa"/>
            <w:tcBorders>
              <w:top w:val="nil"/>
              <w:left w:val="nil"/>
              <w:bottom w:val="single" w:sz="4" w:space="0" w:color="B5DDDC"/>
              <w:right w:val="single" w:sz="4" w:space="0" w:color="B5DDDC"/>
            </w:tcBorders>
            <w:hideMark/>
          </w:tcPr>
          <w:p w14:paraId="5A7A9D7A" w14:textId="77777777" w:rsidR="00130DC4" w:rsidRPr="00397A3E" w:rsidRDefault="00171C91" w:rsidP="003C0A46">
            <w:pPr>
              <w:spacing w:before="40" w:after="40" w:line="240" w:lineRule="auto"/>
              <w:rPr>
                <w:rFonts w:ascii="Calibri" w:hAnsi="Calibri" w:cs="Calibri"/>
                <w:noProof w:val="0"/>
                <w:sz w:val="16"/>
                <w:szCs w:val="16"/>
              </w:rPr>
            </w:pPr>
            <w:r w:rsidRPr="00397A3E">
              <w:rPr>
                <w:rFonts w:ascii="Calibri" w:hAnsi="Calibri" w:cs="Calibri"/>
                <w:noProof w:val="0"/>
                <w:sz w:val="16"/>
                <w:szCs w:val="16"/>
              </w:rPr>
              <w:t>Study ID, Type of study, Quality assessment</w:t>
            </w:r>
          </w:p>
        </w:tc>
      </w:tr>
      <w:tr w:rsidR="00785848" w14:paraId="0F5999DB" w14:textId="77777777" w:rsidTr="003C0A46">
        <w:tc>
          <w:tcPr>
            <w:tcW w:w="1696" w:type="dxa"/>
            <w:tcBorders>
              <w:top w:val="nil"/>
              <w:left w:val="single" w:sz="4" w:space="0" w:color="B5DDDC"/>
              <w:bottom w:val="single" w:sz="4" w:space="0" w:color="B5DDDC"/>
              <w:right w:val="single" w:sz="4" w:space="0" w:color="B5DDDC"/>
            </w:tcBorders>
            <w:shd w:val="clear" w:color="000000" w:fill="D6EAEB"/>
            <w:hideMark/>
          </w:tcPr>
          <w:p w14:paraId="4B11EDBC" w14:textId="77777777" w:rsidR="00130DC4" w:rsidRPr="00397A3E" w:rsidRDefault="00171C91" w:rsidP="003C0A46">
            <w:pPr>
              <w:spacing w:before="40" w:after="40" w:line="240" w:lineRule="auto"/>
              <w:rPr>
                <w:rFonts w:ascii="Calibri" w:hAnsi="Calibri" w:cs="Calibri"/>
                <w:noProof w:val="0"/>
                <w:sz w:val="16"/>
                <w:szCs w:val="16"/>
              </w:rPr>
            </w:pPr>
            <w:r w:rsidRPr="00397A3E">
              <w:rPr>
                <w:rFonts w:ascii="Calibri" w:hAnsi="Calibri" w:cs="Calibri"/>
                <w:noProof w:val="0"/>
                <w:sz w:val="16"/>
                <w:szCs w:val="16"/>
              </w:rPr>
              <w:t>Population</w:t>
            </w:r>
          </w:p>
        </w:tc>
        <w:tc>
          <w:tcPr>
            <w:tcW w:w="5529" w:type="dxa"/>
            <w:tcBorders>
              <w:top w:val="nil"/>
              <w:left w:val="nil"/>
              <w:bottom w:val="single" w:sz="4" w:space="0" w:color="B5DDDC"/>
              <w:right w:val="single" w:sz="4" w:space="0" w:color="B5DDDC"/>
            </w:tcBorders>
            <w:hideMark/>
          </w:tcPr>
          <w:p w14:paraId="09DA1B65" w14:textId="56311AD0" w:rsidR="00130DC4" w:rsidRPr="00397A3E" w:rsidRDefault="00171C91" w:rsidP="003C0A46">
            <w:pPr>
              <w:spacing w:before="40" w:after="40" w:line="240" w:lineRule="auto"/>
              <w:rPr>
                <w:rFonts w:ascii="Calibri" w:hAnsi="Calibri" w:cs="Calibri"/>
                <w:noProof w:val="0"/>
                <w:sz w:val="16"/>
                <w:szCs w:val="16"/>
              </w:rPr>
            </w:pPr>
            <w:r w:rsidRPr="00397A3E">
              <w:rPr>
                <w:rFonts w:ascii="Calibri" w:hAnsi="Calibri" w:cs="Calibri"/>
                <w:noProof w:val="0"/>
                <w:sz w:val="16"/>
                <w:szCs w:val="16"/>
              </w:rPr>
              <w:t>Population studied (e.g. adult, children</w:t>
            </w:r>
            <w:r w:rsidR="003829EB" w:rsidRPr="00397A3E">
              <w:rPr>
                <w:rFonts w:ascii="Calibri" w:hAnsi="Calibri" w:cs="Calibri"/>
                <w:noProof w:val="0"/>
                <w:sz w:val="16"/>
                <w:szCs w:val="16"/>
              </w:rPr>
              <w:t>,</w:t>
            </w:r>
            <w:r w:rsidRPr="00397A3E">
              <w:rPr>
                <w:rFonts w:ascii="Calibri" w:hAnsi="Calibri" w:cs="Calibri"/>
                <w:noProof w:val="0"/>
                <w:sz w:val="16"/>
                <w:szCs w:val="16"/>
              </w:rPr>
              <w:t xml:space="preserve"> etc</w:t>
            </w:r>
            <w:r w:rsidR="003829EB" w:rsidRPr="00397A3E">
              <w:rPr>
                <w:rFonts w:ascii="Calibri" w:hAnsi="Calibri" w:cs="Calibri"/>
                <w:noProof w:val="0"/>
                <w:sz w:val="16"/>
                <w:szCs w:val="16"/>
              </w:rPr>
              <w:t>.</w:t>
            </w:r>
            <w:r w:rsidRPr="00397A3E">
              <w:rPr>
                <w:rFonts w:ascii="Calibri" w:hAnsi="Calibri" w:cs="Calibri"/>
                <w:noProof w:val="0"/>
                <w:sz w:val="16"/>
                <w:szCs w:val="16"/>
              </w:rPr>
              <w:t>)</w:t>
            </w:r>
          </w:p>
        </w:tc>
      </w:tr>
      <w:tr w:rsidR="00785848" w14:paraId="6064BEF8" w14:textId="77777777" w:rsidTr="003C0A46">
        <w:tc>
          <w:tcPr>
            <w:tcW w:w="1696" w:type="dxa"/>
            <w:tcBorders>
              <w:top w:val="nil"/>
              <w:left w:val="single" w:sz="4" w:space="0" w:color="B5DDDC"/>
              <w:bottom w:val="single" w:sz="4" w:space="0" w:color="B5DDDC"/>
              <w:right w:val="single" w:sz="4" w:space="0" w:color="B5DDDC"/>
            </w:tcBorders>
            <w:shd w:val="clear" w:color="000000" w:fill="D6EAEB"/>
            <w:hideMark/>
          </w:tcPr>
          <w:p w14:paraId="7B7027D1" w14:textId="77777777" w:rsidR="00130DC4" w:rsidRPr="00397A3E" w:rsidRDefault="00171C91" w:rsidP="003C0A46">
            <w:pPr>
              <w:spacing w:before="40" w:after="40" w:line="240" w:lineRule="auto"/>
              <w:rPr>
                <w:rFonts w:ascii="Calibri" w:hAnsi="Calibri" w:cs="Calibri"/>
                <w:noProof w:val="0"/>
                <w:sz w:val="16"/>
                <w:szCs w:val="16"/>
              </w:rPr>
            </w:pPr>
            <w:r w:rsidRPr="00397A3E">
              <w:rPr>
                <w:rFonts w:ascii="Calibri" w:hAnsi="Calibri" w:cs="Calibri"/>
                <w:noProof w:val="0"/>
                <w:sz w:val="16"/>
                <w:szCs w:val="16"/>
              </w:rPr>
              <w:t>Exposures</w:t>
            </w:r>
          </w:p>
        </w:tc>
        <w:tc>
          <w:tcPr>
            <w:tcW w:w="5529" w:type="dxa"/>
            <w:tcBorders>
              <w:top w:val="nil"/>
              <w:left w:val="nil"/>
              <w:bottom w:val="single" w:sz="4" w:space="0" w:color="B5DDDC"/>
              <w:right w:val="single" w:sz="4" w:space="0" w:color="B5DDDC"/>
            </w:tcBorders>
            <w:hideMark/>
          </w:tcPr>
          <w:p w14:paraId="18B48526" w14:textId="0C7EAD2C" w:rsidR="00130DC4" w:rsidRPr="00397A3E" w:rsidRDefault="00171C91" w:rsidP="00A55009">
            <w:pPr>
              <w:spacing w:before="40" w:after="40" w:line="240" w:lineRule="auto"/>
              <w:rPr>
                <w:rFonts w:ascii="Calibri" w:hAnsi="Calibri" w:cs="Calibri"/>
                <w:noProof w:val="0"/>
                <w:sz w:val="16"/>
                <w:szCs w:val="16"/>
              </w:rPr>
            </w:pPr>
            <w:r w:rsidRPr="00397A3E">
              <w:rPr>
                <w:rFonts w:ascii="Calibri" w:hAnsi="Calibri" w:cs="Calibri"/>
                <w:noProof w:val="0"/>
                <w:sz w:val="16"/>
                <w:szCs w:val="16"/>
              </w:rPr>
              <w:t>Exposure pathway, identity of</w:t>
            </w:r>
            <w:r w:rsidR="001B3DDF">
              <w:rPr>
                <w:rFonts w:ascii="Calibri" w:hAnsi="Calibri" w:cs="Calibri"/>
                <w:noProof w:val="0"/>
                <w:sz w:val="16"/>
                <w:szCs w:val="16"/>
              </w:rPr>
              <w:t xml:space="preserve"> </w:t>
            </w:r>
            <w:r w:rsidR="00A55009">
              <w:rPr>
                <w:rFonts w:ascii="Calibri" w:hAnsi="Calibri" w:cs="Calibri"/>
                <w:noProof w:val="0"/>
                <w:sz w:val="16"/>
                <w:szCs w:val="16"/>
              </w:rPr>
              <w:t>microbial</w:t>
            </w:r>
            <w:r w:rsidRPr="00397A3E">
              <w:rPr>
                <w:rFonts w:ascii="Calibri" w:hAnsi="Calibri" w:cs="Calibri"/>
                <w:noProof w:val="0"/>
                <w:sz w:val="16"/>
                <w:szCs w:val="16"/>
              </w:rPr>
              <w:t xml:space="preserve"> hazards studied</w:t>
            </w:r>
          </w:p>
        </w:tc>
      </w:tr>
      <w:tr w:rsidR="00785848" w14:paraId="02796288" w14:textId="77777777" w:rsidTr="003C0A46">
        <w:tc>
          <w:tcPr>
            <w:tcW w:w="1696" w:type="dxa"/>
            <w:tcBorders>
              <w:top w:val="nil"/>
              <w:left w:val="single" w:sz="4" w:space="0" w:color="B5DDDC"/>
              <w:bottom w:val="single" w:sz="4" w:space="0" w:color="B5DDDC"/>
              <w:right w:val="single" w:sz="4" w:space="0" w:color="B5DDDC"/>
            </w:tcBorders>
            <w:shd w:val="clear" w:color="000000" w:fill="D6EAEB"/>
            <w:hideMark/>
          </w:tcPr>
          <w:p w14:paraId="13FF2AD4" w14:textId="77777777" w:rsidR="00130DC4" w:rsidRPr="00397A3E" w:rsidRDefault="00171C91" w:rsidP="003C0A46">
            <w:pPr>
              <w:spacing w:before="40" w:after="40" w:line="240" w:lineRule="auto"/>
              <w:rPr>
                <w:rFonts w:ascii="Calibri" w:hAnsi="Calibri" w:cs="Calibri"/>
                <w:noProof w:val="0"/>
                <w:sz w:val="16"/>
                <w:szCs w:val="16"/>
              </w:rPr>
            </w:pPr>
            <w:r w:rsidRPr="00397A3E">
              <w:rPr>
                <w:rFonts w:ascii="Calibri" w:hAnsi="Calibri" w:cs="Calibri"/>
                <w:noProof w:val="0"/>
                <w:sz w:val="16"/>
                <w:szCs w:val="16"/>
              </w:rPr>
              <w:t>Location type</w:t>
            </w:r>
          </w:p>
        </w:tc>
        <w:tc>
          <w:tcPr>
            <w:tcW w:w="5529" w:type="dxa"/>
            <w:tcBorders>
              <w:top w:val="nil"/>
              <w:left w:val="nil"/>
              <w:bottom w:val="single" w:sz="4" w:space="0" w:color="B5DDDC"/>
              <w:right w:val="single" w:sz="4" w:space="0" w:color="B5DDDC"/>
            </w:tcBorders>
            <w:hideMark/>
          </w:tcPr>
          <w:p w14:paraId="3F1ACEB9" w14:textId="77777777" w:rsidR="00130DC4" w:rsidRPr="00397A3E" w:rsidRDefault="00171C91" w:rsidP="003C0A46">
            <w:pPr>
              <w:spacing w:before="40" w:after="40" w:line="240" w:lineRule="auto"/>
              <w:rPr>
                <w:rFonts w:ascii="Calibri" w:hAnsi="Calibri" w:cs="Calibri"/>
                <w:noProof w:val="0"/>
                <w:sz w:val="16"/>
                <w:szCs w:val="16"/>
              </w:rPr>
            </w:pPr>
            <w:r w:rsidRPr="00397A3E">
              <w:rPr>
                <w:rFonts w:ascii="Calibri" w:hAnsi="Calibri" w:cs="Calibri"/>
                <w:noProof w:val="0"/>
                <w:sz w:val="16"/>
                <w:szCs w:val="16"/>
              </w:rPr>
              <w:t>Type of location</w:t>
            </w:r>
          </w:p>
        </w:tc>
      </w:tr>
      <w:tr w:rsidR="00785848" w14:paraId="42927E30" w14:textId="77777777" w:rsidTr="003C0A46">
        <w:tc>
          <w:tcPr>
            <w:tcW w:w="1696" w:type="dxa"/>
            <w:tcBorders>
              <w:top w:val="nil"/>
              <w:left w:val="single" w:sz="4" w:space="0" w:color="B5DDDC"/>
              <w:bottom w:val="single" w:sz="4" w:space="0" w:color="B5DDDC"/>
              <w:right w:val="single" w:sz="4" w:space="0" w:color="B5DDDC"/>
            </w:tcBorders>
            <w:shd w:val="clear" w:color="000000" w:fill="D6EAEB"/>
            <w:hideMark/>
          </w:tcPr>
          <w:p w14:paraId="05C5AE49" w14:textId="77777777" w:rsidR="00130DC4" w:rsidRPr="00397A3E" w:rsidRDefault="00171C91" w:rsidP="003C0A46">
            <w:pPr>
              <w:spacing w:before="40" w:after="40" w:line="240" w:lineRule="auto"/>
              <w:rPr>
                <w:rFonts w:ascii="Calibri" w:hAnsi="Calibri" w:cs="Calibri"/>
                <w:noProof w:val="0"/>
                <w:sz w:val="16"/>
                <w:szCs w:val="16"/>
              </w:rPr>
            </w:pPr>
            <w:r w:rsidRPr="00397A3E">
              <w:rPr>
                <w:rFonts w:ascii="Calibri" w:hAnsi="Calibri" w:cs="Calibri"/>
                <w:noProof w:val="0"/>
                <w:sz w:val="16"/>
                <w:szCs w:val="16"/>
              </w:rPr>
              <w:t>Outcome</w:t>
            </w:r>
          </w:p>
        </w:tc>
        <w:tc>
          <w:tcPr>
            <w:tcW w:w="5529" w:type="dxa"/>
            <w:tcBorders>
              <w:top w:val="nil"/>
              <w:left w:val="nil"/>
              <w:bottom w:val="single" w:sz="4" w:space="0" w:color="B5DDDC"/>
              <w:right w:val="single" w:sz="4" w:space="0" w:color="B5DDDC"/>
            </w:tcBorders>
            <w:hideMark/>
          </w:tcPr>
          <w:p w14:paraId="0BBBE6D0" w14:textId="77777777" w:rsidR="00130DC4" w:rsidRPr="00397A3E" w:rsidRDefault="00171C91" w:rsidP="003C0A46">
            <w:pPr>
              <w:spacing w:before="40" w:after="40" w:line="240" w:lineRule="auto"/>
              <w:rPr>
                <w:rFonts w:ascii="Calibri" w:hAnsi="Calibri" w:cs="Calibri"/>
                <w:noProof w:val="0"/>
                <w:sz w:val="16"/>
                <w:szCs w:val="16"/>
              </w:rPr>
            </w:pPr>
            <w:r w:rsidRPr="00397A3E">
              <w:rPr>
                <w:rFonts w:ascii="Calibri" w:hAnsi="Calibri" w:cs="Calibri"/>
                <w:noProof w:val="0"/>
                <w:sz w:val="16"/>
                <w:szCs w:val="16"/>
              </w:rPr>
              <w:t>Metrics constructed for evaluation</w:t>
            </w:r>
          </w:p>
        </w:tc>
      </w:tr>
      <w:tr w:rsidR="00785848" w14:paraId="0251BD31" w14:textId="77777777" w:rsidTr="003C0A46">
        <w:tc>
          <w:tcPr>
            <w:tcW w:w="1696" w:type="dxa"/>
            <w:tcBorders>
              <w:top w:val="nil"/>
              <w:left w:val="single" w:sz="4" w:space="0" w:color="B5DDDC"/>
              <w:bottom w:val="single" w:sz="4" w:space="0" w:color="B5DDDC"/>
              <w:right w:val="single" w:sz="4" w:space="0" w:color="B5DDDC"/>
            </w:tcBorders>
            <w:shd w:val="clear" w:color="000000" w:fill="D6EAEB"/>
            <w:hideMark/>
          </w:tcPr>
          <w:p w14:paraId="08FFD0B5" w14:textId="77777777" w:rsidR="00130DC4" w:rsidRPr="00397A3E" w:rsidRDefault="00171C91" w:rsidP="003C0A46">
            <w:pPr>
              <w:spacing w:before="40" w:after="40" w:line="240" w:lineRule="auto"/>
              <w:rPr>
                <w:rFonts w:ascii="Calibri" w:hAnsi="Calibri" w:cs="Calibri"/>
                <w:noProof w:val="0"/>
                <w:sz w:val="16"/>
                <w:szCs w:val="16"/>
              </w:rPr>
            </w:pPr>
            <w:r w:rsidRPr="00397A3E">
              <w:rPr>
                <w:rFonts w:ascii="Calibri" w:hAnsi="Calibri" w:cs="Calibri"/>
                <w:noProof w:val="0"/>
                <w:sz w:val="16"/>
                <w:szCs w:val="16"/>
              </w:rPr>
              <w:t>Analysis</w:t>
            </w:r>
          </w:p>
        </w:tc>
        <w:tc>
          <w:tcPr>
            <w:tcW w:w="5529" w:type="dxa"/>
            <w:tcBorders>
              <w:top w:val="nil"/>
              <w:left w:val="nil"/>
              <w:bottom w:val="single" w:sz="4" w:space="0" w:color="B5DDDC"/>
              <w:right w:val="single" w:sz="4" w:space="0" w:color="B5DDDC"/>
            </w:tcBorders>
            <w:hideMark/>
          </w:tcPr>
          <w:p w14:paraId="58F67776" w14:textId="77777777" w:rsidR="00130DC4" w:rsidRPr="00397A3E" w:rsidRDefault="00171C91" w:rsidP="003C0A46">
            <w:pPr>
              <w:spacing w:before="40" w:after="40" w:line="240" w:lineRule="auto"/>
              <w:rPr>
                <w:rFonts w:ascii="Calibri" w:hAnsi="Calibri" w:cs="Calibri"/>
                <w:noProof w:val="0"/>
                <w:sz w:val="16"/>
                <w:szCs w:val="16"/>
              </w:rPr>
            </w:pPr>
            <w:r w:rsidRPr="00397A3E">
              <w:rPr>
                <w:rFonts w:ascii="Calibri" w:hAnsi="Calibri" w:cs="Calibri"/>
                <w:noProof w:val="0"/>
                <w:sz w:val="16"/>
                <w:szCs w:val="16"/>
              </w:rPr>
              <w:t>Nature of the statistical analysis conducted on the data</w:t>
            </w:r>
          </w:p>
        </w:tc>
      </w:tr>
      <w:tr w:rsidR="00785848" w14:paraId="6DEB4B7F" w14:textId="77777777" w:rsidTr="003C0A46">
        <w:tc>
          <w:tcPr>
            <w:tcW w:w="1696" w:type="dxa"/>
            <w:tcBorders>
              <w:top w:val="nil"/>
              <w:left w:val="single" w:sz="4" w:space="0" w:color="B5DDDC"/>
              <w:bottom w:val="single" w:sz="4" w:space="0" w:color="B5DDDC"/>
              <w:right w:val="single" w:sz="4" w:space="0" w:color="B5DDDC"/>
            </w:tcBorders>
            <w:shd w:val="clear" w:color="000000" w:fill="D6EAEB"/>
            <w:hideMark/>
          </w:tcPr>
          <w:p w14:paraId="14D3B3AE" w14:textId="77777777" w:rsidR="00130DC4" w:rsidRPr="00397A3E" w:rsidRDefault="00171C91" w:rsidP="003C0A46">
            <w:pPr>
              <w:spacing w:before="40" w:after="40" w:line="240" w:lineRule="auto"/>
              <w:rPr>
                <w:rFonts w:ascii="Calibri" w:hAnsi="Calibri" w:cs="Calibri"/>
                <w:noProof w:val="0"/>
                <w:sz w:val="16"/>
                <w:szCs w:val="16"/>
              </w:rPr>
            </w:pPr>
            <w:r w:rsidRPr="00397A3E">
              <w:rPr>
                <w:rFonts w:ascii="Calibri" w:hAnsi="Calibri" w:cs="Calibri"/>
                <w:noProof w:val="0"/>
                <w:sz w:val="16"/>
                <w:szCs w:val="16"/>
              </w:rPr>
              <w:t>Results</w:t>
            </w:r>
          </w:p>
        </w:tc>
        <w:tc>
          <w:tcPr>
            <w:tcW w:w="5529" w:type="dxa"/>
            <w:tcBorders>
              <w:top w:val="nil"/>
              <w:left w:val="nil"/>
              <w:bottom w:val="single" w:sz="4" w:space="0" w:color="B5DDDC"/>
              <w:right w:val="single" w:sz="4" w:space="0" w:color="B5DDDC"/>
            </w:tcBorders>
            <w:hideMark/>
          </w:tcPr>
          <w:p w14:paraId="18A0DA81" w14:textId="77777777" w:rsidR="00130DC4" w:rsidRPr="00397A3E" w:rsidRDefault="00171C91" w:rsidP="003C0A46">
            <w:pPr>
              <w:spacing w:before="40" w:after="40" w:line="240" w:lineRule="auto"/>
              <w:rPr>
                <w:rFonts w:ascii="Calibri" w:hAnsi="Calibri" w:cs="Calibri"/>
                <w:noProof w:val="0"/>
                <w:sz w:val="16"/>
                <w:szCs w:val="16"/>
              </w:rPr>
            </w:pPr>
            <w:r w:rsidRPr="00397A3E">
              <w:rPr>
                <w:rFonts w:ascii="Calibri" w:hAnsi="Calibri" w:cs="Calibri"/>
                <w:noProof w:val="0"/>
                <w:sz w:val="16"/>
                <w:szCs w:val="16"/>
              </w:rPr>
              <w:t>The value of field measurements or metrics used to evaluate the effect studied</w:t>
            </w:r>
          </w:p>
        </w:tc>
      </w:tr>
      <w:tr w:rsidR="00785848" w14:paraId="5E54F5AD" w14:textId="77777777" w:rsidTr="003C0A46">
        <w:tc>
          <w:tcPr>
            <w:tcW w:w="1696" w:type="dxa"/>
            <w:tcBorders>
              <w:top w:val="nil"/>
              <w:left w:val="single" w:sz="4" w:space="0" w:color="B5DDDC"/>
              <w:bottom w:val="single" w:sz="4" w:space="0" w:color="B5DDDC"/>
              <w:right w:val="single" w:sz="4" w:space="0" w:color="B5DDDC"/>
            </w:tcBorders>
            <w:shd w:val="clear" w:color="000000" w:fill="D6EAEB"/>
            <w:hideMark/>
          </w:tcPr>
          <w:p w14:paraId="76BC2FA9" w14:textId="77777777" w:rsidR="00130DC4" w:rsidRPr="00397A3E" w:rsidRDefault="00171C91" w:rsidP="003C0A46">
            <w:pPr>
              <w:spacing w:before="40" w:after="40" w:line="240" w:lineRule="auto"/>
              <w:rPr>
                <w:rFonts w:ascii="Calibri" w:hAnsi="Calibri" w:cs="Calibri"/>
                <w:noProof w:val="0"/>
                <w:sz w:val="16"/>
                <w:szCs w:val="16"/>
              </w:rPr>
            </w:pPr>
            <w:r w:rsidRPr="00397A3E">
              <w:rPr>
                <w:rFonts w:ascii="Calibri" w:hAnsi="Calibri" w:cs="Calibri"/>
                <w:noProof w:val="0"/>
                <w:sz w:val="16"/>
                <w:szCs w:val="16"/>
              </w:rPr>
              <w:t>Effect estimate</w:t>
            </w:r>
          </w:p>
        </w:tc>
        <w:tc>
          <w:tcPr>
            <w:tcW w:w="5529" w:type="dxa"/>
            <w:tcBorders>
              <w:top w:val="nil"/>
              <w:left w:val="nil"/>
              <w:bottom w:val="single" w:sz="4" w:space="0" w:color="B5DDDC"/>
              <w:right w:val="single" w:sz="4" w:space="0" w:color="B5DDDC"/>
            </w:tcBorders>
            <w:hideMark/>
          </w:tcPr>
          <w:p w14:paraId="2C7D4F39" w14:textId="77777777" w:rsidR="00130DC4" w:rsidRPr="00397A3E" w:rsidRDefault="00171C91" w:rsidP="003C0A46">
            <w:pPr>
              <w:spacing w:before="40" w:after="40" w:line="240" w:lineRule="auto"/>
              <w:rPr>
                <w:rFonts w:ascii="Calibri" w:hAnsi="Calibri" w:cs="Calibri"/>
                <w:noProof w:val="0"/>
                <w:sz w:val="16"/>
                <w:szCs w:val="16"/>
              </w:rPr>
            </w:pPr>
            <w:r w:rsidRPr="00397A3E">
              <w:rPr>
                <w:rFonts w:ascii="Calibri" w:hAnsi="Calibri" w:cs="Calibri"/>
                <w:noProof w:val="0"/>
                <w:sz w:val="16"/>
                <w:szCs w:val="16"/>
              </w:rPr>
              <w:t>The magnitude of the measured values or metrics</w:t>
            </w:r>
          </w:p>
        </w:tc>
      </w:tr>
      <w:tr w:rsidR="00785848" w14:paraId="4DE275C2" w14:textId="77777777" w:rsidTr="003C0A46">
        <w:tc>
          <w:tcPr>
            <w:tcW w:w="1696" w:type="dxa"/>
            <w:tcBorders>
              <w:top w:val="nil"/>
              <w:left w:val="single" w:sz="4" w:space="0" w:color="B5DDDC"/>
              <w:bottom w:val="single" w:sz="4" w:space="0" w:color="B5DDDC"/>
              <w:right w:val="single" w:sz="4" w:space="0" w:color="B5DDDC"/>
            </w:tcBorders>
            <w:shd w:val="clear" w:color="000000" w:fill="D6EAEB"/>
            <w:hideMark/>
          </w:tcPr>
          <w:p w14:paraId="7C61E1FC" w14:textId="77777777" w:rsidR="00130DC4" w:rsidRPr="00397A3E" w:rsidRDefault="00171C91" w:rsidP="003C0A46">
            <w:pPr>
              <w:spacing w:before="40" w:after="40" w:line="240" w:lineRule="auto"/>
              <w:rPr>
                <w:rFonts w:ascii="Calibri" w:hAnsi="Calibri" w:cs="Calibri"/>
                <w:noProof w:val="0"/>
                <w:sz w:val="16"/>
                <w:szCs w:val="16"/>
              </w:rPr>
            </w:pPr>
            <w:r w:rsidRPr="00397A3E">
              <w:rPr>
                <w:rFonts w:ascii="Calibri" w:hAnsi="Calibri" w:cs="Calibri"/>
                <w:noProof w:val="0"/>
                <w:sz w:val="16"/>
                <w:szCs w:val="16"/>
              </w:rPr>
              <w:t>Significance</w:t>
            </w:r>
          </w:p>
        </w:tc>
        <w:tc>
          <w:tcPr>
            <w:tcW w:w="5529" w:type="dxa"/>
            <w:tcBorders>
              <w:top w:val="nil"/>
              <w:left w:val="nil"/>
              <w:bottom w:val="single" w:sz="4" w:space="0" w:color="B5DDDC"/>
              <w:right w:val="single" w:sz="4" w:space="0" w:color="B5DDDC"/>
            </w:tcBorders>
            <w:hideMark/>
          </w:tcPr>
          <w:p w14:paraId="52276F37" w14:textId="77777777" w:rsidR="00130DC4" w:rsidRPr="00397A3E" w:rsidRDefault="00171C91" w:rsidP="003C0A46">
            <w:pPr>
              <w:spacing w:before="40" w:after="40" w:line="240" w:lineRule="auto"/>
              <w:rPr>
                <w:rFonts w:ascii="Calibri" w:hAnsi="Calibri" w:cs="Calibri"/>
                <w:noProof w:val="0"/>
                <w:sz w:val="16"/>
                <w:szCs w:val="16"/>
              </w:rPr>
            </w:pPr>
            <w:r w:rsidRPr="00397A3E">
              <w:rPr>
                <w:rFonts w:ascii="Calibri" w:hAnsi="Calibri" w:cs="Calibri"/>
                <w:noProof w:val="0"/>
                <w:sz w:val="16"/>
                <w:szCs w:val="16"/>
              </w:rPr>
              <w:t>The level of significance of any test of a statistical hypothesis (i.e. p-value)</w:t>
            </w:r>
          </w:p>
        </w:tc>
      </w:tr>
    </w:tbl>
    <w:p w14:paraId="64C0386F" w14:textId="77777777" w:rsidR="00130DC4" w:rsidRPr="00397A3E" w:rsidRDefault="00130DC4" w:rsidP="00130DC4">
      <w:pPr>
        <w:rPr>
          <w:noProof w:val="0"/>
        </w:rPr>
      </w:pPr>
    </w:p>
    <w:p w14:paraId="43596D74" w14:textId="77777777" w:rsidR="00232391" w:rsidRPr="00397A3E" w:rsidRDefault="00171C91" w:rsidP="00232391">
      <w:pPr>
        <w:pStyle w:val="Heading4"/>
        <w:rPr>
          <w:noProof w:val="0"/>
          <w:color w:val="auto"/>
        </w:rPr>
      </w:pPr>
      <w:bookmarkStart w:id="95" w:name="_Toc71638750"/>
      <w:bookmarkStart w:id="96" w:name="_Toc106964820"/>
      <w:r w:rsidRPr="00397A3E">
        <w:rPr>
          <w:noProof w:val="0"/>
          <w:color w:val="auto"/>
        </w:rPr>
        <w:t>Upgrading or downgrading certainty of evidence</w:t>
      </w:r>
      <w:bookmarkEnd w:id="95"/>
      <w:bookmarkEnd w:id="96"/>
    </w:p>
    <w:p w14:paraId="58C8C192" w14:textId="2E25C23D" w:rsidR="00232391" w:rsidRPr="00397A3E" w:rsidRDefault="00171C91" w:rsidP="00232391">
      <w:pPr>
        <w:rPr>
          <w:noProof w:val="0"/>
        </w:rPr>
      </w:pPr>
      <w:r w:rsidRPr="00397A3E">
        <w:rPr>
          <w:noProof w:val="0"/>
        </w:rPr>
        <w:t xml:space="preserve">The certainty of the evidence was downgraded or upgraded from the initial rating if any of the conditions in </w:t>
      </w:r>
      <w:r w:rsidRPr="00397A3E">
        <w:rPr>
          <w:noProof w:val="0"/>
        </w:rPr>
        <w:fldChar w:fldCharType="begin"/>
      </w:r>
      <w:r w:rsidRPr="00397A3E">
        <w:rPr>
          <w:noProof w:val="0"/>
        </w:rPr>
        <w:instrText xml:space="preserve"> REF _Ref48215533 \h  \* MERGEFORMAT </w:instrText>
      </w:r>
      <w:r w:rsidRPr="00397A3E">
        <w:rPr>
          <w:noProof w:val="0"/>
        </w:rPr>
      </w:r>
      <w:r w:rsidRPr="00397A3E">
        <w:rPr>
          <w:noProof w:val="0"/>
        </w:rPr>
        <w:fldChar w:fldCharType="separate"/>
      </w:r>
      <w:r w:rsidR="001A0E9F" w:rsidRPr="00397A3E">
        <w:rPr>
          <w:noProof w:val="0"/>
        </w:rPr>
        <w:t xml:space="preserve">Figure </w:t>
      </w:r>
      <w:r w:rsidR="001A0E9F">
        <w:rPr>
          <w:noProof w:val="0"/>
        </w:rPr>
        <w:t>2</w:t>
      </w:r>
      <w:r w:rsidR="001A0E9F" w:rsidRPr="00397A3E">
        <w:rPr>
          <w:noProof w:val="0"/>
        </w:rPr>
        <w:noBreakHyphen/>
      </w:r>
      <w:r w:rsidR="001A0E9F">
        <w:rPr>
          <w:noProof w:val="0"/>
        </w:rPr>
        <w:t>1</w:t>
      </w:r>
      <w:r w:rsidRPr="00397A3E">
        <w:rPr>
          <w:noProof w:val="0"/>
        </w:rPr>
        <w:fldChar w:fldCharType="end"/>
      </w:r>
      <w:r w:rsidRPr="00397A3E">
        <w:rPr>
          <w:noProof w:val="0"/>
        </w:rPr>
        <w:t xml:space="preserve"> (elaborated in </w:t>
      </w:r>
      <w:r w:rsidRPr="00397A3E">
        <w:rPr>
          <w:noProof w:val="0"/>
        </w:rPr>
        <w:fldChar w:fldCharType="begin"/>
      </w:r>
      <w:r w:rsidRPr="00397A3E">
        <w:rPr>
          <w:noProof w:val="0"/>
        </w:rPr>
        <w:instrText xml:space="preserve"> REF _Ref48213891 \h  \* MERGEFORMAT </w:instrText>
      </w:r>
      <w:r w:rsidRPr="00397A3E">
        <w:rPr>
          <w:noProof w:val="0"/>
        </w:rPr>
      </w:r>
      <w:r w:rsidRPr="00397A3E">
        <w:rPr>
          <w:noProof w:val="0"/>
        </w:rPr>
        <w:fldChar w:fldCharType="separate"/>
      </w:r>
      <w:r w:rsidR="001A0E9F" w:rsidRPr="00397A3E">
        <w:rPr>
          <w:noProof w:val="0"/>
        </w:rPr>
        <w:t xml:space="preserve">Table </w:t>
      </w:r>
      <w:r w:rsidR="001A0E9F">
        <w:rPr>
          <w:noProof w:val="0"/>
        </w:rPr>
        <w:t>2</w:t>
      </w:r>
      <w:r w:rsidR="001A0E9F">
        <w:rPr>
          <w:noProof w:val="0"/>
        </w:rPr>
        <w:noBreakHyphen/>
        <w:t>8</w:t>
      </w:r>
      <w:r w:rsidRPr="00397A3E">
        <w:rPr>
          <w:noProof w:val="0"/>
        </w:rPr>
        <w:fldChar w:fldCharType="end"/>
      </w:r>
      <w:r w:rsidRPr="00397A3E">
        <w:rPr>
          <w:noProof w:val="0"/>
        </w:rPr>
        <w:t xml:space="preserve">) were met. If none were met, the initial certainty rating was kept. These domains are explained in more detail in the OHAT Handbook </w:t>
      </w:r>
      <w:r w:rsidRPr="00397A3E">
        <w:rPr>
          <w:noProof w:val="0"/>
        </w:rPr>
        <w:fldChar w:fldCharType="begin"/>
      </w:r>
      <w:r w:rsidRPr="00397A3E">
        <w:rPr>
          <w:noProof w:val="0"/>
        </w:rPr>
        <w:instrText xml:space="preserve"> ADDIN ZOTERO_ITEM CSL_CITATION {"citationID":"uJJs828U","properties":{"formattedCitation":"(OHAT, 2019)","plainCitation":"(OHAT, 2019)","noteIndex":0},"citationItems":[{"id":11791,"uris":["http://zotero.org/users/148142/items/QNVMZ3M2"],"uri":["http://zotero.org/users/148142/items/QNVMZ3M2"],"itemData":{"id":11791,"type":"report","page":"101","publisher":"Office of Health Assessment and Translation (OHAT), US Department of Health and Human Services","title":"Handbook for Conducting a Literature-Based Health Assessment Using OHAT Approach for Systematic Review and Evidence Integration","URL":"https://ntp.niehs.nih.gov/go/ohathandbook","author":[{"literal":"OHAT"}],"issued":{"date-parts":[["2019",3,4]]}}}],"schema":"https://github.com/citation-style-language/schema/raw/master/csl-citation.json"} </w:instrText>
      </w:r>
      <w:r w:rsidRPr="00397A3E">
        <w:rPr>
          <w:noProof w:val="0"/>
        </w:rPr>
        <w:fldChar w:fldCharType="separate"/>
      </w:r>
      <w:r w:rsidRPr="00397A3E">
        <w:rPr>
          <w:rFonts w:cs="Arial"/>
          <w:noProof w:val="0"/>
        </w:rPr>
        <w:t>(OHAT, 2019)</w:t>
      </w:r>
      <w:r w:rsidRPr="00397A3E">
        <w:rPr>
          <w:noProof w:val="0"/>
        </w:rPr>
        <w:fldChar w:fldCharType="end"/>
      </w:r>
      <w:r w:rsidRPr="00397A3E">
        <w:rPr>
          <w:noProof w:val="0"/>
        </w:rPr>
        <w:t>. Conflicts of interest and funding sources were also considered as a reason to downgrade if there were serious concerns that these had influenced the findings from the body of evidence.</w:t>
      </w:r>
    </w:p>
    <w:p w14:paraId="28B6F45A" w14:textId="44778930" w:rsidR="00232391" w:rsidRPr="00397A3E" w:rsidRDefault="00171C91" w:rsidP="00232391">
      <w:pPr>
        <w:keepNext/>
        <w:rPr>
          <w:noProof w:val="0"/>
        </w:rPr>
      </w:pPr>
      <w:r w:rsidRPr="00397A3E">
        <w:drawing>
          <wp:inline distT="0" distB="0" distL="0" distR="0" wp14:anchorId="0807A8A1" wp14:editId="28DCCF61">
            <wp:extent cx="4725466" cy="2438372"/>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18"/>
                    <a:stretch>
                      <a:fillRect/>
                    </a:stretch>
                  </pic:blipFill>
                  <pic:spPr>
                    <a:xfrm>
                      <a:off x="0" y="0"/>
                      <a:ext cx="4742553" cy="2447189"/>
                    </a:xfrm>
                    <a:prstGeom prst="rect">
                      <a:avLst/>
                    </a:prstGeom>
                  </pic:spPr>
                </pic:pic>
              </a:graphicData>
            </a:graphic>
          </wp:inline>
        </w:drawing>
      </w:r>
    </w:p>
    <w:p w14:paraId="0DC8F345" w14:textId="273AF9A4" w:rsidR="00232391" w:rsidRPr="00397A3E" w:rsidRDefault="00171C91" w:rsidP="00232391">
      <w:pPr>
        <w:pStyle w:val="Caption"/>
        <w:rPr>
          <w:noProof w:val="0"/>
        </w:rPr>
      </w:pPr>
      <w:bookmarkStart w:id="97" w:name="_Ref48215533"/>
      <w:bookmarkStart w:id="98" w:name="_Toc48299197"/>
      <w:bookmarkStart w:id="99" w:name="_Toc71638855"/>
      <w:bookmarkStart w:id="100" w:name="_Toc106964877"/>
      <w:r w:rsidRPr="00397A3E">
        <w:rPr>
          <w:noProof w:val="0"/>
        </w:rPr>
        <w:t xml:space="preserve">Figure </w:t>
      </w:r>
      <w:r w:rsidR="008B274C" w:rsidRPr="00397A3E">
        <w:rPr>
          <w:noProof w:val="0"/>
        </w:rPr>
        <w:fldChar w:fldCharType="begin"/>
      </w:r>
      <w:r w:rsidR="008B274C" w:rsidRPr="00397A3E">
        <w:rPr>
          <w:noProof w:val="0"/>
        </w:rPr>
        <w:instrText xml:space="preserve"> STYLEREF 1 \s </w:instrText>
      </w:r>
      <w:r w:rsidR="008B274C" w:rsidRPr="00397A3E">
        <w:rPr>
          <w:noProof w:val="0"/>
        </w:rPr>
        <w:fldChar w:fldCharType="separate"/>
      </w:r>
      <w:r w:rsidR="001A0E9F">
        <w:t>2</w:t>
      </w:r>
      <w:r w:rsidR="008B274C" w:rsidRPr="00397A3E">
        <w:rPr>
          <w:noProof w:val="0"/>
        </w:rPr>
        <w:fldChar w:fldCharType="end"/>
      </w:r>
      <w:r w:rsidRPr="00397A3E">
        <w:rPr>
          <w:noProof w:val="0"/>
        </w:rPr>
        <w:noBreakHyphen/>
      </w:r>
      <w:r w:rsidR="008B274C" w:rsidRPr="00397A3E">
        <w:rPr>
          <w:noProof w:val="0"/>
        </w:rPr>
        <w:fldChar w:fldCharType="begin"/>
      </w:r>
      <w:r w:rsidR="008B274C" w:rsidRPr="00397A3E">
        <w:rPr>
          <w:noProof w:val="0"/>
        </w:rPr>
        <w:instrText xml:space="preserve"> SEQ Figure \* ARABIC \s 1 </w:instrText>
      </w:r>
      <w:r w:rsidR="008B274C" w:rsidRPr="00397A3E">
        <w:rPr>
          <w:noProof w:val="0"/>
        </w:rPr>
        <w:fldChar w:fldCharType="separate"/>
      </w:r>
      <w:r w:rsidR="001A0E9F">
        <w:t>1</w:t>
      </w:r>
      <w:r w:rsidR="008B274C" w:rsidRPr="00397A3E">
        <w:rPr>
          <w:noProof w:val="0"/>
        </w:rPr>
        <w:fldChar w:fldCharType="end"/>
      </w:r>
      <w:bookmarkEnd w:id="97"/>
      <w:r w:rsidRPr="00397A3E">
        <w:rPr>
          <w:noProof w:val="0"/>
        </w:rPr>
        <w:t xml:space="preserve">. OHAT method for assessing confidence in the </w:t>
      </w:r>
      <w:r w:rsidR="00F76269" w:rsidRPr="00397A3E">
        <w:rPr>
          <w:noProof w:val="0"/>
        </w:rPr>
        <w:t>b</w:t>
      </w:r>
      <w:r w:rsidRPr="00397A3E">
        <w:rPr>
          <w:noProof w:val="0"/>
        </w:rPr>
        <w:t xml:space="preserve">ody of </w:t>
      </w:r>
      <w:r w:rsidR="00F76269" w:rsidRPr="00397A3E">
        <w:rPr>
          <w:noProof w:val="0"/>
        </w:rPr>
        <w:t>e</w:t>
      </w:r>
      <w:r w:rsidRPr="00397A3E">
        <w:rPr>
          <w:noProof w:val="0"/>
        </w:rPr>
        <w:t xml:space="preserve">vidence </w:t>
      </w:r>
      <w:r w:rsidRPr="00397A3E">
        <w:rPr>
          <w:noProof w:val="0"/>
        </w:rPr>
        <w:fldChar w:fldCharType="begin"/>
      </w:r>
      <w:r w:rsidRPr="00397A3E">
        <w:rPr>
          <w:noProof w:val="0"/>
        </w:rPr>
        <w:instrText xml:space="preserve"> ADDIN ZOTERO_ITEM CSL_CITATION {"citationID":"K2eu4ZPl","properties":{"formattedCitation":"(OHAT, 2019)","plainCitation":"(OHAT, 2019)","noteIndex":0},"citationItems":[{"id":11791,"uris":["http://zotero.org/users/148142/items/QNVMZ3M2"],"uri":["http://zotero.org/users/148142/items/QNVMZ3M2"],"itemData":{"id":11791,"type":"report","page":"101","publisher":"Office of Health Assessment and Translation (OHAT), US Department of Health and Human Services","title":"Handbook for Conducting a Literature-Based Health Assessment Using OHAT Approach for Systematic Review and Evidence Integration","URL":"https://ntp.niehs.nih.gov/go/ohathandbook","author":[{"literal":"OHAT"}],"issued":{"date-parts":[["2019",3,4]]}}}],"schema":"https://github.com/citation-style-language/schema/raw/master/csl-citation.json"} </w:instrText>
      </w:r>
      <w:r w:rsidRPr="00397A3E">
        <w:rPr>
          <w:noProof w:val="0"/>
        </w:rPr>
        <w:fldChar w:fldCharType="separate"/>
      </w:r>
      <w:r w:rsidRPr="00397A3E">
        <w:rPr>
          <w:rFonts w:cs="Arial"/>
          <w:noProof w:val="0"/>
        </w:rPr>
        <w:t>(OHAT, 2019)</w:t>
      </w:r>
      <w:bookmarkEnd w:id="98"/>
      <w:bookmarkEnd w:id="99"/>
      <w:bookmarkEnd w:id="100"/>
      <w:r w:rsidRPr="00397A3E">
        <w:rPr>
          <w:noProof w:val="0"/>
        </w:rPr>
        <w:fldChar w:fldCharType="end"/>
      </w:r>
    </w:p>
    <w:p w14:paraId="37D56E4D" w14:textId="77777777" w:rsidR="00BA6F16" w:rsidRPr="00397A3E" w:rsidRDefault="00BA6F16" w:rsidP="00BA6F16">
      <w:pPr>
        <w:rPr>
          <w:noProof w:val="0"/>
          <w:highlight w:val="yellow"/>
        </w:rPr>
      </w:pPr>
    </w:p>
    <w:p w14:paraId="712957FC" w14:textId="02BD46C8" w:rsidR="00232391" w:rsidRPr="00397A3E" w:rsidRDefault="00171C91" w:rsidP="007E7442">
      <w:pPr>
        <w:pStyle w:val="Caption"/>
        <w:pageBreakBefore/>
        <w:rPr>
          <w:noProof w:val="0"/>
          <w:color w:val="365F91" w:themeColor="accent1" w:themeShade="BF"/>
        </w:rPr>
      </w:pPr>
      <w:bookmarkStart w:id="101" w:name="_Ref48213891"/>
      <w:bookmarkStart w:id="102" w:name="_Toc48299195"/>
      <w:bookmarkStart w:id="103" w:name="_Toc71638846"/>
      <w:bookmarkStart w:id="104" w:name="_Toc106964860"/>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2</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8</w:t>
      </w:r>
      <w:r w:rsidR="00F178D7">
        <w:rPr>
          <w:noProof w:val="0"/>
        </w:rPr>
        <w:fldChar w:fldCharType="end"/>
      </w:r>
      <w:bookmarkEnd w:id="101"/>
      <w:r w:rsidRPr="00397A3E">
        <w:rPr>
          <w:noProof w:val="0"/>
        </w:rPr>
        <w:t>. OHAT reasons for down grading or upgrading certainty of evidence</w:t>
      </w:r>
      <w:bookmarkEnd w:id="102"/>
      <w:bookmarkEnd w:id="103"/>
      <w:r w:rsidR="0019196A">
        <w:rPr>
          <w:noProof w:val="0"/>
        </w:rPr>
        <w:t xml:space="preserve"> (OHAT, 2019</w:t>
      </w:r>
      <w:r w:rsidR="00536CFB">
        <w:rPr>
          <w:noProof w:val="0"/>
        </w:rPr>
        <w:t>)</w:t>
      </w:r>
      <w:bookmarkEnd w:id="104"/>
    </w:p>
    <w:tbl>
      <w:tblPr>
        <w:tblStyle w:val="EcosleftTableStyle"/>
        <w:tblW w:w="0" w:type="auto"/>
        <w:tblLook w:val="04A0" w:firstRow="1" w:lastRow="0" w:firstColumn="1" w:lastColumn="0" w:noHBand="0" w:noVBand="1"/>
      </w:tblPr>
      <w:tblGrid>
        <w:gridCol w:w="3834"/>
        <w:gridCol w:w="3809"/>
      </w:tblGrid>
      <w:tr w:rsidR="00785848" w14:paraId="28E45CC1" w14:textId="77777777" w:rsidTr="007858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4" w:type="dxa"/>
          </w:tcPr>
          <w:p w14:paraId="5A21480B" w14:textId="77777777" w:rsidR="00232391" w:rsidRPr="00397A3E" w:rsidRDefault="00171C91" w:rsidP="003C0A46">
            <w:pPr>
              <w:rPr>
                <w:noProof w:val="0"/>
              </w:rPr>
            </w:pPr>
            <w:r w:rsidRPr="00397A3E">
              <w:rPr>
                <w:noProof w:val="0"/>
              </w:rPr>
              <w:t>Reasons to Downgrade</w:t>
            </w:r>
          </w:p>
        </w:tc>
        <w:tc>
          <w:tcPr>
            <w:tcW w:w="3809" w:type="dxa"/>
          </w:tcPr>
          <w:p w14:paraId="49D5C49B" w14:textId="77777777" w:rsidR="00232391" w:rsidRPr="00397A3E" w:rsidRDefault="00171C91" w:rsidP="003C0A46">
            <w:pPr>
              <w:cnfStyle w:val="100000000000" w:firstRow="1" w:lastRow="0" w:firstColumn="0" w:lastColumn="0" w:oddVBand="0" w:evenVBand="0" w:oddHBand="0" w:evenHBand="0" w:firstRowFirstColumn="0" w:firstRowLastColumn="0" w:lastRowFirstColumn="0" w:lastRowLastColumn="0"/>
              <w:rPr>
                <w:noProof w:val="0"/>
              </w:rPr>
            </w:pPr>
            <w:r w:rsidRPr="00397A3E">
              <w:rPr>
                <w:noProof w:val="0"/>
              </w:rPr>
              <w:t>Reasons to Upgrade</w:t>
            </w:r>
          </w:p>
        </w:tc>
      </w:tr>
      <w:tr w:rsidR="00785848" w14:paraId="3FA33C83" w14:textId="77777777" w:rsidTr="00785848">
        <w:trPr>
          <w:trHeight w:val="2843"/>
        </w:trPr>
        <w:tc>
          <w:tcPr>
            <w:cnfStyle w:val="001000000000" w:firstRow="0" w:lastRow="0" w:firstColumn="1" w:lastColumn="0" w:oddVBand="0" w:evenVBand="0" w:oddHBand="0" w:evenHBand="0" w:firstRowFirstColumn="0" w:firstRowLastColumn="0" w:lastRowFirstColumn="0" w:lastRowLastColumn="0"/>
            <w:tcW w:w="3834" w:type="dxa"/>
            <w:shd w:val="clear" w:color="auto" w:fill="auto"/>
          </w:tcPr>
          <w:p w14:paraId="5BC727E9" w14:textId="29048D40" w:rsidR="00232391" w:rsidRPr="00397A3E" w:rsidRDefault="00171C91" w:rsidP="00764500">
            <w:pPr>
              <w:numPr>
                <w:ilvl w:val="0"/>
                <w:numId w:val="8"/>
              </w:numPr>
              <w:spacing w:before="0" w:after="0" w:line="240" w:lineRule="auto"/>
              <w:rPr>
                <w:rFonts w:asciiTheme="minorHAnsi" w:hAnsiTheme="minorHAnsi" w:cstheme="minorHAnsi"/>
                <w:noProof w:val="0"/>
              </w:rPr>
            </w:pPr>
            <w:r w:rsidRPr="00397A3E">
              <w:rPr>
                <w:rFonts w:asciiTheme="minorHAnsi" w:hAnsiTheme="minorHAnsi" w:cstheme="minorHAnsi"/>
                <w:b/>
                <w:noProof w:val="0"/>
              </w:rPr>
              <w:t>Risk of bias</w:t>
            </w:r>
            <w:r w:rsidRPr="00397A3E">
              <w:rPr>
                <w:rFonts w:asciiTheme="minorHAnsi" w:hAnsiTheme="minorHAnsi" w:cstheme="minorHAnsi"/>
                <w:noProof w:val="0"/>
              </w:rPr>
              <w:t xml:space="preserve"> - Serious or very serious concerns about study quality across the body of evidence (reliability) (see</w:t>
            </w:r>
            <w:r w:rsidRPr="00397A3E">
              <w:rPr>
                <w:rFonts w:asciiTheme="minorHAnsi" w:hAnsiTheme="minorHAnsi" w:cstheme="minorHAnsi"/>
                <w:bCs/>
                <w:noProof w:val="0"/>
              </w:rPr>
              <w:t xml:space="preserve"> Appendix 9</w:t>
            </w:r>
            <w:r w:rsidR="004E154E" w:rsidRPr="00397A3E">
              <w:rPr>
                <w:rFonts w:asciiTheme="minorHAnsi" w:hAnsiTheme="minorHAnsi" w:cstheme="minorHAnsi"/>
                <w:bCs/>
                <w:noProof w:val="0"/>
              </w:rPr>
              <w:t xml:space="preserve"> of Technical Report</w:t>
            </w:r>
            <w:r w:rsidR="00364214">
              <w:rPr>
                <w:rFonts w:asciiTheme="minorHAnsi" w:hAnsiTheme="minorHAnsi" w:cstheme="minorHAnsi"/>
                <w:bCs/>
                <w:noProof w:val="0"/>
              </w:rPr>
              <w:t xml:space="preserve">: </w:t>
            </w:r>
            <w:r w:rsidR="00364214">
              <w:rPr>
                <w:rFonts w:asciiTheme="minorHAnsi" w:hAnsiTheme="minorHAnsi" w:cstheme="minorHAnsi"/>
                <w:bCs/>
                <w:noProof w:val="0"/>
              </w:rPr>
              <w:fldChar w:fldCharType="begin"/>
            </w:r>
            <w:r w:rsidR="00364214">
              <w:rPr>
                <w:rFonts w:asciiTheme="minorHAnsi" w:hAnsiTheme="minorHAnsi" w:cstheme="minorHAnsi"/>
                <w:bCs/>
                <w:noProof w:val="0"/>
              </w:rPr>
              <w:instrText xml:space="preserve"> ADDIN ZOTERO_ITEM CSL_CITATION {"citationID":"vqOfZLHO","properties":{"custom":"O\\uc0\\u8217{}Connor, 2022","formattedCitation":"O\\uc0\\u8217{}Connor, 2022","plainCitation":"O’Connor, 2022","noteIndex":0},"citationItems":[{"id":17799,"uris":["http://zotero.org/users/148142/items/2LMPM2CQ"],"uri":["http://zotero.org/users/148142/items/2LMPM2CQ"],"itemData":{"id":17799,"type":"report","title":"Technical Report for Narrative Reviews in support of NHMRC Recreational Water Quality Guidelines: Microbial Risks. DRAFT. Ecos Environmental Consulting, February 2022","author":[{"family":"O'Connor","given":"N.A."}],"issued":{"date-parts":[["2022",2]]}}}],"schema":"https://github.com/citation-style-language/schema/raw/master/csl-citation.json"} </w:instrText>
            </w:r>
            <w:r w:rsidR="00364214">
              <w:rPr>
                <w:rFonts w:asciiTheme="minorHAnsi" w:hAnsiTheme="minorHAnsi" w:cstheme="minorHAnsi"/>
                <w:bCs/>
                <w:noProof w:val="0"/>
              </w:rPr>
              <w:fldChar w:fldCharType="separate"/>
            </w:r>
            <w:r w:rsidR="00364214" w:rsidRPr="00364214">
              <w:rPr>
                <w:rFonts w:ascii="Calibri" w:hAnsi="Calibri" w:cs="Calibri"/>
              </w:rPr>
              <w:t>O’Connor, 2022</w:t>
            </w:r>
            <w:r w:rsidR="00364214">
              <w:rPr>
                <w:rFonts w:asciiTheme="minorHAnsi" w:hAnsiTheme="minorHAnsi" w:cstheme="minorHAnsi"/>
                <w:bCs/>
                <w:noProof w:val="0"/>
              </w:rPr>
              <w:fldChar w:fldCharType="end"/>
            </w:r>
            <w:r w:rsidRPr="00397A3E">
              <w:rPr>
                <w:rFonts w:asciiTheme="minorHAnsi" w:hAnsiTheme="minorHAnsi" w:cstheme="minorHAnsi"/>
                <w:noProof w:val="0"/>
              </w:rPr>
              <w:t>)</w:t>
            </w:r>
          </w:p>
          <w:p w14:paraId="025300A5" w14:textId="77777777" w:rsidR="00232391" w:rsidRPr="00397A3E" w:rsidRDefault="00171C91" w:rsidP="00764500">
            <w:pPr>
              <w:numPr>
                <w:ilvl w:val="0"/>
                <w:numId w:val="8"/>
              </w:numPr>
              <w:spacing w:before="0" w:after="0" w:line="240" w:lineRule="auto"/>
              <w:rPr>
                <w:rFonts w:asciiTheme="minorHAnsi" w:hAnsiTheme="minorHAnsi" w:cstheme="minorHAnsi"/>
                <w:noProof w:val="0"/>
              </w:rPr>
            </w:pPr>
            <w:r w:rsidRPr="00397A3E">
              <w:rPr>
                <w:rFonts w:asciiTheme="minorHAnsi" w:hAnsiTheme="minorHAnsi" w:cstheme="minorHAnsi"/>
                <w:b/>
                <w:noProof w:val="0"/>
              </w:rPr>
              <w:t>Unexplained inconsistency</w:t>
            </w:r>
            <w:r w:rsidRPr="00397A3E">
              <w:rPr>
                <w:rFonts w:asciiTheme="minorHAnsi" w:hAnsiTheme="minorHAnsi" w:cstheme="minorHAnsi"/>
                <w:noProof w:val="0"/>
              </w:rPr>
              <w:t xml:space="preserve"> - Important inconsistency of results across the included studies that can’t be explained by study design</w:t>
            </w:r>
          </w:p>
          <w:p w14:paraId="454C7C1A" w14:textId="77777777" w:rsidR="00232391" w:rsidRPr="00397A3E" w:rsidRDefault="00171C91" w:rsidP="00764500">
            <w:pPr>
              <w:numPr>
                <w:ilvl w:val="0"/>
                <w:numId w:val="8"/>
              </w:numPr>
              <w:spacing w:before="0" w:after="0" w:line="240" w:lineRule="auto"/>
              <w:rPr>
                <w:rFonts w:asciiTheme="minorHAnsi" w:hAnsiTheme="minorHAnsi" w:cstheme="minorHAnsi"/>
                <w:noProof w:val="0"/>
              </w:rPr>
            </w:pPr>
            <w:r w:rsidRPr="00397A3E">
              <w:rPr>
                <w:rFonts w:asciiTheme="minorHAnsi" w:hAnsiTheme="minorHAnsi" w:cstheme="minorHAnsi"/>
                <w:b/>
                <w:noProof w:val="0"/>
              </w:rPr>
              <w:t>Indirectness</w:t>
            </w:r>
            <w:r w:rsidRPr="00397A3E">
              <w:rPr>
                <w:rFonts w:asciiTheme="minorHAnsi" w:hAnsiTheme="minorHAnsi" w:cstheme="minorHAnsi"/>
                <w:noProof w:val="0"/>
              </w:rPr>
              <w:t xml:space="preserve"> - Some or major uncertainty about directness (relevance to the research question that is being answered)</w:t>
            </w:r>
          </w:p>
          <w:p w14:paraId="2241DA33" w14:textId="77777777" w:rsidR="00232391" w:rsidRPr="00397A3E" w:rsidRDefault="00171C91" w:rsidP="00764500">
            <w:pPr>
              <w:numPr>
                <w:ilvl w:val="0"/>
                <w:numId w:val="8"/>
              </w:numPr>
              <w:spacing w:before="0" w:after="0" w:line="240" w:lineRule="auto"/>
              <w:rPr>
                <w:rFonts w:asciiTheme="minorHAnsi" w:hAnsiTheme="minorHAnsi" w:cstheme="minorHAnsi"/>
                <w:noProof w:val="0"/>
              </w:rPr>
            </w:pPr>
            <w:r w:rsidRPr="00397A3E">
              <w:rPr>
                <w:rFonts w:asciiTheme="minorHAnsi" w:hAnsiTheme="minorHAnsi" w:cstheme="minorHAnsi"/>
                <w:b/>
                <w:noProof w:val="0"/>
              </w:rPr>
              <w:t>Imprecision</w:t>
            </w:r>
            <w:r w:rsidRPr="00397A3E">
              <w:rPr>
                <w:rFonts w:asciiTheme="minorHAnsi" w:hAnsiTheme="minorHAnsi" w:cstheme="minorHAnsi"/>
                <w:noProof w:val="0"/>
              </w:rPr>
              <w:t xml:space="preserve"> - Imprecise or sparse data</w:t>
            </w:r>
          </w:p>
          <w:p w14:paraId="535C9E75" w14:textId="77777777" w:rsidR="00232391" w:rsidRPr="00397A3E" w:rsidRDefault="00171C91" w:rsidP="00764500">
            <w:pPr>
              <w:numPr>
                <w:ilvl w:val="0"/>
                <w:numId w:val="8"/>
              </w:numPr>
              <w:spacing w:before="0" w:after="0" w:line="240" w:lineRule="auto"/>
              <w:rPr>
                <w:rFonts w:asciiTheme="minorHAnsi" w:hAnsiTheme="minorHAnsi" w:cstheme="minorHAnsi"/>
                <w:noProof w:val="0"/>
              </w:rPr>
            </w:pPr>
            <w:r w:rsidRPr="00397A3E">
              <w:rPr>
                <w:rFonts w:asciiTheme="minorHAnsi" w:hAnsiTheme="minorHAnsi" w:cstheme="minorHAnsi"/>
                <w:b/>
                <w:noProof w:val="0"/>
              </w:rPr>
              <w:t>Publication bias</w:t>
            </w:r>
            <w:r w:rsidRPr="00397A3E">
              <w:rPr>
                <w:rFonts w:asciiTheme="minorHAnsi" w:hAnsiTheme="minorHAnsi" w:cstheme="minorHAnsi"/>
                <w:noProof w:val="0"/>
              </w:rPr>
              <w:t xml:space="preserve"> - High probability of reporting bias (selective reporting of results across the body of evidence that might skew results)</w:t>
            </w:r>
          </w:p>
        </w:tc>
        <w:tc>
          <w:tcPr>
            <w:tcW w:w="3809" w:type="dxa"/>
          </w:tcPr>
          <w:p w14:paraId="2337D6BB" w14:textId="77777777" w:rsidR="00232391" w:rsidRPr="00397A3E" w:rsidRDefault="00171C91" w:rsidP="00764500">
            <w:pPr>
              <w:numPr>
                <w:ilvl w:val="0"/>
                <w:numId w:val="8"/>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rPr>
            </w:pPr>
            <w:r w:rsidRPr="00397A3E">
              <w:rPr>
                <w:rFonts w:asciiTheme="minorHAnsi" w:hAnsiTheme="minorHAnsi" w:cstheme="minorHAnsi"/>
                <w:b/>
                <w:noProof w:val="0"/>
              </w:rPr>
              <w:t>Consistency</w:t>
            </w:r>
            <w:r w:rsidRPr="00397A3E">
              <w:rPr>
                <w:rFonts w:asciiTheme="minorHAnsi" w:hAnsiTheme="minorHAnsi" w:cstheme="minorHAnsi"/>
                <w:noProof w:val="0"/>
              </w:rPr>
              <w:t xml:space="preserve"> - Strong or very strong evidence of association based on consistent evidence from two or more observational studies, with no plausible confounders </w:t>
            </w:r>
          </w:p>
          <w:p w14:paraId="303590D0" w14:textId="77777777" w:rsidR="00232391" w:rsidRPr="00397A3E" w:rsidRDefault="00171C91" w:rsidP="00764500">
            <w:pPr>
              <w:numPr>
                <w:ilvl w:val="0"/>
                <w:numId w:val="8"/>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rPr>
            </w:pPr>
            <w:r w:rsidRPr="00397A3E">
              <w:rPr>
                <w:rFonts w:asciiTheme="minorHAnsi" w:hAnsiTheme="minorHAnsi" w:cstheme="minorHAnsi"/>
                <w:b/>
                <w:noProof w:val="0"/>
              </w:rPr>
              <w:t>Magnitude of effect</w:t>
            </w:r>
            <w:r w:rsidRPr="00397A3E">
              <w:rPr>
                <w:rFonts w:asciiTheme="minorHAnsi" w:hAnsiTheme="minorHAnsi" w:cstheme="minorHAnsi"/>
                <w:noProof w:val="0"/>
              </w:rPr>
              <w:t xml:space="preserve"> - Very strong evidence of association based on direct evidence with no major threats to validity</w:t>
            </w:r>
          </w:p>
          <w:p w14:paraId="12013CFA" w14:textId="77777777" w:rsidR="00232391" w:rsidRPr="00397A3E" w:rsidRDefault="00171C91" w:rsidP="00764500">
            <w:pPr>
              <w:numPr>
                <w:ilvl w:val="0"/>
                <w:numId w:val="8"/>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rPr>
            </w:pPr>
            <w:r w:rsidRPr="00397A3E">
              <w:rPr>
                <w:rFonts w:asciiTheme="minorHAnsi" w:hAnsiTheme="minorHAnsi" w:cstheme="minorHAnsi"/>
                <w:b/>
                <w:noProof w:val="0"/>
              </w:rPr>
              <w:t>Dose-response</w:t>
            </w:r>
            <w:r w:rsidRPr="00397A3E">
              <w:rPr>
                <w:rFonts w:asciiTheme="minorHAnsi" w:hAnsiTheme="minorHAnsi" w:cstheme="minorHAnsi"/>
                <w:noProof w:val="0"/>
              </w:rPr>
              <w:t xml:space="preserve"> - Evidence of a dose-response gradient</w:t>
            </w:r>
          </w:p>
          <w:p w14:paraId="548D0C40" w14:textId="77777777" w:rsidR="00232391" w:rsidRPr="00397A3E" w:rsidRDefault="00171C91" w:rsidP="00764500">
            <w:pPr>
              <w:numPr>
                <w:ilvl w:val="0"/>
                <w:numId w:val="8"/>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rPr>
            </w:pPr>
            <w:r w:rsidRPr="00397A3E">
              <w:rPr>
                <w:rFonts w:asciiTheme="minorHAnsi" w:hAnsiTheme="minorHAnsi" w:cstheme="minorHAnsi"/>
                <w:b/>
                <w:noProof w:val="0"/>
              </w:rPr>
              <w:t>Residual confounding</w:t>
            </w:r>
            <w:r w:rsidRPr="00397A3E">
              <w:rPr>
                <w:rFonts w:asciiTheme="minorHAnsi" w:hAnsiTheme="minorHAnsi" w:cstheme="minorHAnsi"/>
                <w:noProof w:val="0"/>
              </w:rPr>
              <w:t xml:space="preserve"> - All plausible confounders would have reduced the effect</w:t>
            </w:r>
          </w:p>
          <w:p w14:paraId="421BCD64" w14:textId="77777777" w:rsidR="00232391" w:rsidRPr="00397A3E" w:rsidRDefault="00171C91" w:rsidP="00764500">
            <w:pPr>
              <w:numPr>
                <w:ilvl w:val="0"/>
                <w:numId w:val="8"/>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rPr>
            </w:pPr>
            <w:r w:rsidRPr="00397A3E">
              <w:rPr>
                <w:rFonts w:asciiTheme="minorHAnsi" w:hAnsiTheme="minorHAnsi" w:cstheme="minorHAnsi"/>
                <w:b/>
                <w:noProof w:val="0"/>
              </w:rPr>
              <w:t>Other reasons</w:t>
            </w:r>
            <w:r w:rsidRPr="00397A3E">
              <w:rPr>
                <w:rFonts w:asciiTheme="minorHAnsi" w:hAnsiTheme="minorHAnsi" w:cstheme="minorHAnsi"/>
                <w:noProof w:val="0"/>
              </w:rPr>
              <w:t xml:space="preserve"> – any topic-specific reasons as determined by experts in the field</w:t>
            </w:r>
          </w:p>
        </w:tc>
      </w:tr>
    </w:tbl>
    <w:p w14:paraId="7455367E" w14:textId="77777777" w:rsidR="00232391" w:rsidRPr="00397A3E" w:rsidRDefault="00232391" w:rsidP="00232391">
      <w:pPr>
        <w:rPr>
          <w:noProof w:val="0"/>
        </w:rPr>
      </w:pPr>
    </w:p>
    <w:p w14:paraId="041875DD" w14:textId="139FB518" w:rsidR="00232391" w:rsidRPr="00397A3E" w:rsidRDefault="00171C91" w:rsidP="00130DC4">
      <w:pPr>
        <w:rPr>
          <w:noProof w:val="0"/>
        </w:rPr>
      </w:pPr>
      <w:r w:rsidRPr="00397A3E">
        <w:rPr>
          <w:noProof w:val="0"/>
        </w:rPr>
        <w:t xml:space="preserve">The results of the certainty assessment process were tabulated in a similar manner to that described for the OHAT </w:t>
      </w:r>
      <w:r w:rsidR="0011078F" w:rsidRPr="00397A3E">
        <w:rPr>
          <w:noProof w:val="0"/>
        </w:rPr>
        <w:t>r</w:t>
      </w:r>
      <w:r w:rsidRPr="00397A3E">
        <w:rPr>
          <w:noProof w:val="0"/>
        </w:rPr>
        <w:t>isk</w:t>
      </w:r>
      <w:r w:rsidR="0011078F" w:rsidRPr="00397A3E">
        <w:rPr>
          <w:noProof w:val="0"/>
        </w:rPr>
        <w:t xml:space="preserve"> </w:t>
      </w:r>
      <w:r w:rsidRPr="00397A3E">
        <w:rPr>
          <w:noProof w:val="0"/>
        </w:rPr>
        <w:t>of</w:t>
      </w:r>
      <w:r w:rsidR="0011078F" w:rsidRPr="00397A3E">
        <w:rPr>
          <w:noProof w:val="0"/>
        </w:rPr>
        <w:t xml:space="preserve"> b</w:t>
      </w:r>
      <w:r w:rsidRPr="00397A3E">
        <w:rPr>
          <w:noProof w:val="0"/>
        </w:rPr>
        <w:t>ias</w:t>
      </w:r>
      <w:r w:rsidR="0011078F" w:rsidRPr="00397A3E">
        <w:rPr>
          <w:noProof w:val="0"/>
        </w:rPr>
        <w:t xml:space="preserve"> assessment tool </w:t>
      </w:r>
      <w:r w:rsidR="001A7900" w:rsidRPr="00397A3E">
        <w:rPr>
          <w:noProof w:val="0"/>
        </w:rPr>
        <w:fldChar w:fldCharType="begin"/>
      </w:r>
      <w:r w:rsidR="003A70F6" w:rsidRPr="00397A3E">
        <w:rPr>
          <w:noProof w:val="0"/>
        </w:rPr>
        <w:instrText xml:space="preserve"> ADDIN ZOTERO_ITEM CSL_CITATION {"citationID":"8Vouk2vs","properties":{"formattedCitation":"(OHAT, 2019)","plainCitation":"(OHAT, 2019)","noteIndex":0},"citationItems":[{"id":11791,"uris":["http://zotero.org/users/148142/items/QNVMZ3M2"],"uri":["http://zotero.org/users/148142/items/QNVMZ3M2"],"itemData":{"id":11791,"type":"report","page":"101","publisher":"Office of Health Assessment and Translation (OHAT), US Department of Health and Human Services","title":"Handbook for Conducting a Literature-Based Health Assessment Using OHAT Approach for Systematic Review and Evidence Integration","URL":"https://ntp.niehs.nih.gov/go/ohathandbook","author":[{"literal":"OHAT"}],"issued":{"date-parts":[["2019",3,4]]}}}],"schema":"https://github.com/citation-style-language/schema/raw/master/csl-citation.json"} </w:instrText>
      </w:r>
      <w:r w:rsidR="001A7900" w:rsidRPr="00397A3E">
        <w:rPr>
          <w:noProof w:val="0"/>
        </w:rPr>
        <w:fldChar w:fldCharType="separate"/>
      </w:r>
      <w:r w:rsidR="001A7900" w:rsidRPr="00397A3E">
        <w:rPr>
          <w:rFonts w:cs="Arial"/>
          <w:noProof w:val="0"/>
        </w:rPr>
        <w:t>(OHAT, 2019)</w:t>
      </w:r>
      <w:r w:rsidR="001A7900" w:rsidRPr="00397A3E">
        <w:rPr>
          <w:noProof w:val="0"/>
        </w:rPr>
        <w:fldChar w:fldCharType="end"/>
      </w:r>
      <w:r w:rsidR="001A7900" w:rsidRPr="00397A3E">
        <w:rPr>
          <w:noProof w:val="0"/>
        </w:rPr>
        <w:t xml:space="preserve">. </w:t>
      </w:r>
      <w:r w:rsidRPr="00397A3E">
        <w:rPr>
          <w:noProof w:val="0"/>
        </w:rPr>
        <w:t>Where a conclusion was unable to be made by the reviewer around any of the domains this was recorded as ‘not applicable’ or ‘unknown’.</w:t>
      </w:r>
      <w:r w:rsidRPr="00397A3E">
        <w:rPr>
          <w:noProof w:val="0"/>
          <w:vertAlign w:val="superscript"/>
        </w:rPr>
        <w:t xml:space="preserve"> </w:t>
      </w:r>
    </w:p>
    <w:p w14:paraId="396E5CF4" w14:textId="49E22FB0" w:rsidR="00232391" w:rsidRPr="00397A3E" w:rsidRDefault="00171C91" w:rsidP="00232391">
      <w:pPr>
        <w:pStyle w:val="Heading3"/>
        <w:rPr>
          <w:noProof w:val="0"/>
          <w:color w:val="auto"/>
        </w:rPr>
      </w:pPr>
      <w:bookmarkStart w:id="105" w:name="_Toc71638751"/>
      <w:bookmarkStart w:id="106" w:name="_Toc106964821"/>
      <w:r w:rsidRPr="00397A3E">
        <w:rPr>
          <w:noProof w:val="0"/>
          <w:color w:val="auto"/>
        </w:rPr>
        <w:t xml:space="preserve">Assessment of the body of evidence </w:t>
      </w:r>
      <w:r w:rsidR="005B48F5" w:rsidRPr="00397A3E">
        <w:rPr>
          <w:noProof w:val="0"/>
          <w:color w:val="auto"/>
        </w:rPr>
        <w:t>for</w:t>
      </w:r>
      <w:r w:rsidRPr="00397A3E">
        <w:rPr>
          <w:noProof w:val="0"/>
          <w:color w:val="auto"/>
        </w:rPr>
        <w:t xml:space="preserve"> </w:t>
      </w:r>
      <w:bookmarkEnd w:id="105"/>
      <w:r w:rsidR="005B48F5" w:rsidRPr="00397A3E">
        <w:rPr>
          <w:noProof w:val="0"/>
          <w:color w:val="auto"/>
        </w:rPr>
        <w:t>grey literature</w:t>
      </w:r>
      <w:bookmarkEnd w:id="106"/>
    </w:p>
    <w:p w14:paraId="6BC76794" w14:textId="6B21A3D3" w:rsidR="00902878" w:rsidRPr="00397A3E" w:rsidRDefault="00171C91" w:rsidP="00232391">
      <w:pPr>
        <w:rPr>
          <w:noProof w:val="0"/>
        </w:rPr>
      </w:pPr>
      <w:r w:rsidRPr="00397A3E">
        <w:rPr>
          <w:noProof w:val="0"/>
        </w:rPr>
        <w:t>Grey literature</w:t>
      </w:r>
      <w:r w:rsidR="00D76DFB" w:rsidRPr="00397A3E">
        <w:rPr>
          <w:noProof w:val="0"/>
        </w:rPr>
        <w:t xml:space="preserve"> documents have been</w:t>
      </w:r>
      <w:r w:rsidR="00B42048" w:rsidRPr="00397A3E">
        <w:rPr>
          <w:noProof w:val="0"/>
        </w:rPr>
        <w:t xml:space="preserve"> largely developed with the goal of providing guidance for management of water quality for differing environmental requirements and </w:t>
      </w:r>
      <w:r w:rsidR="004D15B5" w:rsidRPr="00397A3E">
        <w:rPr>
          <w:noProof w:val="0"/>
        </w:rPr>
        <w:t>generally contain</w:t>
      </w:r>
      <w:r w:rsidR="00B42048" w:rsidRPr="00397A3E">
        <w:rPr>
          <w:noProof w:val="0"/>
        </w:rPr>
        <w:t xml:space="preserve"> no primary data</w:t>
      </w:r>
      <w:r w:rsidR="00D76DFB" w:rsidRPr="00397A3E">
        <w:rPr>
          <w:noProof w:val="0"/>
        </w:rPr>
        <w:t xml:space="preserve"> but are usually informed by </w:t>
      </w:r>
      <w:r w:rsidR="00811F62" w:rsidRPr="00397A3E">
        <w:rPr>
          <w:noProof w:val="0"/>
        </w:rPr>
        <w:t xml:space="preserve">an evidence </w:t>
      </w:r>
      <w:r w:rsidR="00D76DFB" w:rsidRPr="00397A3E">
        <w:rPr>
          <w:noProof w:val="0"/>
        </w:rPr>
        <w:t>review</w:t>
      </w:r>
      <w:r w:rsidRPr="00397A3E">
        <w:rPr>
          <w:noProof w:val="0"/>
        </w:rPr>
        <w:t>.</w:t>
      </w:r>
      <w:r w:rsidR="00232391" w:rsidRPr="00397A3E">
        <w:rPr>
          <w:noProof w:val="0"/>
        </w:rPr>
        <w:t xml:space="preserve"> </w:t>
      </w:r>
      <w:r w:rsidRPr="00397A3E">
        <w:rPr>
          <w:noProof w:val="0"/>
        </w:rPr>
        <w:t xml:space="preserve">If the </w:t>
      </w:r>
      <w:r w:rsidR="006C252F" w:rsidRPr="00397A3E">
        <w:rPr>
          <w:noProof w:val="0"/>
        </w:rPr>
        <w:t xml:space="preserve">GRADE </w:t>
      </w:r>
      <w:r w:rsidRPr="00397A3E">
        <w:rPr>
          <w:noProof w:val="0"/>
        </w:rPr>
        <w:t>criteria</w:t>
      </w:r>
      <w:r w:rsidR="006C252F" w:rsidRPr="00397A3E">
        <w:rPr>
          <w:noProof w:val="0"/>
        </w:rPr>
        <w:t xml:space="preserve"> (summarised in </w:t>
      </w:r>
      <w:r w:rsidR="006C252F" w:rsidRPr="00397A3E">
        <w:rPr>
          <w:noProof w:val="0"/>
        </w:rPr>
        <w:fldChar w:fldCharType="begin"/>
      </w:r>
      <w:r w:rsidR="006C252F" w:rsidRPr="00397A3E">
        <w:rPr>
          <w:noProof w:val="0"/>
        </w:rPr>
        <w:instrText xml:space="preserve"> REF _Ref70435464 \h </w:instrText>
      </w:r>
      <w:r w:rsidR="006C252F" w:rsidRPr="00397A3E">
        <w:rPr>
          <w:noProof w:val="0"/>
        </w:rPr>
      </w:r>
      <w:r w:rsidR="006C252F" w:rsidRPr="00397A3E">
        <w:rPr>
          <w:noProof w:val="0"/>
        </w:rPr>
        <w:fldChar w:fldCharType="separate"/>
      </w:r>
      <w:r w:rsidR="001A0E9F" w:rsidRPr="00397A3E">
        <w:rPr>
          <w:noProof w:val="0"/>
        </w:rPr>
        <w:t xml:space="preserve">Table </w:t>
      </w:r>
      <w:r w:rsidR="001A0E9F">
        <w:t>2</w:t>
      </w:r>
      <w:r w:rsidR="001A0E9F">
        <w:rPr>
          <w:noProof w:val="0"/>
        </w:rPr>
        <w:noBreakHyphen/>
      </w:r>
      <w:r w:rsidR="001A0E9F">
        <w:t>4</w:t>
      </w:r>
      <w:r w:rsidR="006C252F" w:rsidRPr="00397A3E">
        <w:rPr>
          <w:noProof w:val="0"/>
        </w:rPr>
        <w:fldChar w:fldCharType="end"/>
      </w:r>
      <w:r w:rsidR="006C252F" w:rsidRPr="00397A3E">
        <w:rPr>
          <w:noProof w:val="0"/>
        </w:rPr>
        <w:t xml:space="preserve">) </w:t>
      </w:r>
      <w:r w:rsidRPr="00397A3E">
        <w:rPr>
          <w:noProof w:val="0"/>
        </w:rPr>
        <w:t>were to be applied t</w:t>
      </w:r>
      <w:r w:rsidR="006C252F" w:rsidRPr="00397A3E">
        <w:rPr>
          <w:noProof w:val="0"/>
        </w:rPr>
        <w:t xml:space="preserve">o the </w:t>
      </w:r>
      <w:r w:rsidR="004D15B5" w:rsidRPr="00397A3E">
        <w:rPr>
          <w:noProof w:val="0"/>
        </w:rPr>
        <w:t>grey</w:t>
      </w:r>
      <w:r w:rsidR="006C252F" w:rsidRPr="00397A3E">
        <w:rPr>
          <w:noProof w:val="0"/>
        </w:rPr>
        <w:t xml:space="preserve"> literature</w:t>
      </w:r>
      <w:r w:rsidRPr="00397A3E">
        <w:rPr>
          <w:noProof w:val="0"/>
        </w:rPr>
        <w:t xml:space="preserve">, the results would </w:t>
      </w:r>
      <w:r w:rsidR="004D15B5" w:rsidRPr="00397A3E">
        <w:rPr>
          <w:noProof w:val="0"/>
        </w:rPr>
        <w:t xml:space="preserve">often </w:t>
      </w:r>
      <w:r w:rsidRPr="00397A3E">
        <w:rPr>
          <w:noProof w:val="0"/>
        </w:rPr>
        <w:t xml:space="preserve">be weak or null responses, </w:t>
      </w:r>
      <w:r w:rsidR="00AB75AC" w:rsidRPr="00397A3E">
        <w:rPr>
          <w:noProof w:val="0"/>
        </w:rPr>
        <w:t>and since no effect estimates are reported, no</w:t>
      </w:r>
      <w:r w:rsidRPr="00397A3E">
        <w:rPr>
          <w:noProof w:val="0"/>
        </w:rPr>
        <w:t xml:space="preserve"> determination of </w:t>
      </w:r>
      <w:r w:rsidR="00AB75AC" w:rsidRPr="00397A3E">
        <w:rPr>
          <w:noProof w:val="0"/>
        </w:rPr>
        <w:t xml:space="preserve">a </w:t>
      </w:r>
      <w:r w:rsidRPr="00397A3E">
        <w:rPr>
          <w:noProof w:val="0"/>
        </w:rPr>
        <w:t>final certainty rating</w:t>
      </w:r>
      <w:r w:rsidR="00AB75AC" w:rsidRPr="00397A3E">
        <w:rPr>
          <w:noProof w:val="0"/>
        </w:rPr>
        <w:t xml:space="preserve"> can be made</w:t>
      </w:r>
      <w:r w:rsidRPr="00397A3E">
        <w:rPr>
          <w:noProof w:val="0"/>
        </w:rPr>
        <w:t xml:space="preserve">.  </w:t>
      </w:r>
      <w:r w:rsidR="00F7634B">
        <w:rPr>
          <w:noProof w:val="0"/>
        </w:rPr>
        <w:t>T</w:t>
      </w:r>
      <w:r w:rsidR="003E6104" w:rsidRPr="00397A3E">
        <w:rPr>
          <w:noProof w:val="0"/>
        </w:rPr>
        <w:t xml:space="preserve">he </w:t>
      </w:r>
      <w:r w:rsidR="004D15B5" w:rsidRPr="00397A3E">
        <w:rPr>
          <w:noProof w:val="0"/>
        </w:rPr>
        <w:t xml:space="preserve">grey literature </w:t>
      </w:r>
      <w:r w:rsidR="003E6104" w:rsidRPr="00397A3E">
        <w:rPr>
          <w:noProof w:val="0"/>
        </w:rPr>
        <w:t xml:space="preserve">documents do contain authoritative information that </w:t>
      </w:r>
      <w:r w:rsidR="003E6104" w:rsidRPr="00666D1F">
        <w:rPr>
          <w:noProof w:val="0"/>
        </w:rPr>
        <w:t>collectively represents the current state of knowledge</w:t>
      </w:r>
      <w:r w:rsidR="00A14EC3" w:rsidRPr="00666D1F">
        <w:rPr>
          <w:noProof w:val="0"/>
        </w:rPr>
        <w:t xml:space="preserve"> and practice</w:t>
      </w:r>
      <w:r w:rsidR="003E6104" w:rsidRPr="00666D1F">
        <w:rPr>
          <w:noProof w:val="0"/>
        </w:rPr>
        <w:t xml:space="preserve"> on </w:t>
      </w:r>
      <w:r w:rsidR="004D15B5" w:rsidRPr="00666D1F">
        <w:rPr>
          <w:noProof w:val="0"/>
        </w:rPr>
        <w:t>microbial risks</w:t>
      </w:r>
      <w:r w:rsidR="003E6104" w:rsidRPr="00666D1F">
        <w:rPr>
          <w:noProof w:val="0"/>
        </w:rPr>
        <w:t xml:space="preserve"> </w:t>
      </w:r>
      <w:r w:rsidR="00A14EC3" w:rsidRPr="00666D1F">
        <w:rPr>
          <w:noProof w:val="0"/>
        </w:rPr>
        <w:t xml:space="preserve">from </w:t>
      </w:r>
      <w:r w:rsidR="003E6104" w:rsidRPr="00666D1F">
        <w:rPr>
          <w:noProof w:val="0"/>
        </w:rPr>
        <w:t>recreational water quality</w:t>
      </w:r>
      <w:r w:rsidR="003E6104" w:rsidRPr="00397A3E">
        <w:rPr>
          <w:noProof w:val="0"/>
        </w:rPr>
        <w:t>, and therefore is worthy of inclusion in this Evidence Evaluation Report.</w:t>
      </w:r>
    </w:p>
    <w:p w14:paraId="32823F18" w14:textId="59CB44C4" w:rsidR="00902878" w:rsidRPr="00397A3E" w:rsidRDefault="00171C91" w:rsidP="00232391">
      <w:pPr>
        <w:rPr>
          <w:noProof w:val="0"/>
        </w:rPr>
      </w:pPr>
      <w:r w:rsidRPr="00397A3E">
        <w:rPr>
          <w:noProof w:val="0"/>
        </w:rPr>
        <w:t xml:space="preserve">Consequently, the assessment </w:t>
      </w:r>
      <w:r w:rsidR="003E6104" w:rsidRPr="00397A3E">
        <w:rPr>
          <w:noProof w:val="0"/>
        </w:rPr>
        <w:t>methodology for</w:t>
      </w:r>
      <w:r w:rsidRPr="00397A3E">
        <w:rPr>
          <w:noProof w:val="0"/>
        </w:rPr>
        <w:t xml:space="preserve"> the body of evidence from </w:t>
      </w:r>
      <w:r w:rsidR="004D15B5" w:rsidRPr="00397A3E">
        <w:rPr>
          <w:noProof w:val="0"/>
        </w:rPr>
        <w:t>grey literature</w:t>
      </w:r>
      <w:r w:rsidR="003E6104" w:rsidRPr="00397A3E">
        <w:rPr>
          <w:noProof w:val="0"/>
        </w:rPr>
        <w:t xml:space="preserve"> drew on the GRADE approach as well as the</w:t>
      </w:r>
      <w:r w:rsidR="008360CA" w:rsidRPr="00397A3E">
        <w:rPr>
          <w:noProof w:val="0"/>
        </w:rPr>
        <w:t xml:space="preserve"> outcomes of relevance to the primary and secondary research questions described in </w:t>
      </w:r>
      <w:r w:rsidR="008360CA" w:rsidRPr="00397A3E">
        <w:rPr>
          <w:noProof w:val="0"/>
        </w:rPr>
        <w:fldChar w:fldCharType="begin"/>
      </w:r>
      <w:r w:rsidR="008360CA" w:rsidRPr="00397A3E">
        <w:rPr>
          <w:noProof w:val="0"/>
        </w:rPr>
        <w:instrText xml:space="preserve"> REF _Ref70435464 \h </w:instrText>
      </w:r>
      <w:r w:rsidR="008360CA" w:rsidRPr="00397A3E">
        <w:rPr>
          <w:noProof w:val="0"/>
        </w:rPr>
      </w:r>
      <w:r w:rsidR="008360CA" w:rsidRPr="00397A3E">
        <w:rPr>
          <w:noProof w:val="0"/>
        </w:rPr>
        <w:fldChar w:fldCharType="separate"/>
      </w:r>
      <w:r w:rsidR="001A0E9F" w:rsidRPr="00397A3E">
        <w:rPr>
          <w:noProof w:val="0"/>
        </w:rPr>
        <w:t xml:space="preserve">Table </w:t>
      </w:r>
      <w:r w:rsidR="001A0E9F">
        <w:t>2</w:t>
      </w:r>
      <w:r w:rsidR="001A0E9F">
        <w:rPr>
          <w:noProof w:val="0"/>
        </w:rPr>
        <w:noBreakHyphen/>
      </w:r>
      <w:r w:rsidR="001A0E9F">
        <w:t>4</w:t>
      </w:r>
      <w:r w:rsidR="008360CA" w:rsidRPr="00397A3E">
        <w:rPr>
          <w:noProof w:val="0"/>
        </w:rPr>
        <w:fldChar w:fldCharType="end"/>
      </w:r>
      <w:r w:rsidR="00426A2D" w:rsidRPr="00397A3E">
        <w:rPr>
          <w:noProof w:val="0"/>
        </w:rPr>
        <w:t xml:space="preserve">.  </w:t>
      </w:r>
      <w:r w:rsidR="005733CB" w:rsidRPr="00397A3E">
        <w:rPr>
          <w:noProof w:val="0"/>
        </w:rPr>
        <w:t xml:space="preserve">The criteria for assessing the body of evidence for </w:t>
      </w:r>
      <w:r w:rsidR="004D15B5" w:rsidRPr="00397A3E">
        <w:rPr>
          <w:noProof w:val="0"/>
        </w:rPr>
        <w:t>grey literature</w:t>
      </w:r>
      <w:r w:rsidR="005733CB" w:rsidRPr="00397A3E">
        <w:rPr>
          <w:noProof w:val="0"/>
        </w:rPr>
        <w:t xml:space="preserve"> in </w:t>
      </w:r>
      <w:r w:rsidR="005733CB" w:rsidRPr="00397A3E">
        <w:rPr>
          <w:noProof w:val="0"/>
        </w:rPr>
        <w:fldChar w:fldCharType="begin"/>
      </w:r>
      <w:r w:rsidR="005733CB" w:rsidRPr="00397A3E">
        <w:rPr>
          <w:noProof w:val="0"/>
        </w:rPr>
        <w:instrText xml:space="preserve"> REF _Ref71731922 \h </w:instrText>
      </w:r>
      <w:r w:rsidR="005733CB" w:rsidRPr="00397A3E">
        <w:rPr>
          <w:noProof w:val="0"/>
        </w:rPr>
      </w:r>
      <w:r w:rsidR="005733CB" w:rsidRPr="00397A3E">
        <w:rPr>
          <w:noProof w:val="0"/>
        </w:rPr>
        <w:fldChar w:fldCharType="separate"/>
      </w:r>
      <w:r w:rsidR="001A0E9F" w:rsidRPr="00397A3E">
        <w:rPr>
          <w:noProof w:val="0"/>
        </w:rPr>
        <w:t xml:space="preserve">Table </w:t>
      </w:r>
      <w:r w:rsidR="001A0E9F">
        <w:t>2</w:t>
      </w:r>
      <w:r w:rsidR="001A0E9F">
        <w:rPr>
          <w:noProof w:val="0"/>
        </w:rPr>
        <w:noBreakHyphen/>
      </w:r>
      <w:r w:rsidR="001A0E9F">
        <w:t>9</w:t>
      </w:r>
      <w:r w:rsidR="005733CB" w:rsidRPr="00397A3E">
        <w:rPr>
          <w:noProof w:val="0"/>
        </w:rPr>
        <w:fldChar w:fldCharType="end"/>
      </w:r>
      <w:r w:rsidR="005733CB" w:rsidRPr="00397A3E">
        <w:rPr>
          <w:noProof w:val="0"/>
        </w:rPr>
        <w:t xml:space="preserve"> were largely derived from the guidance and commentary supplied by </w:t>
      </w:r>
      <w:r w:rsidR="00AC10FC" w:rsidRPr="00397A3E">
        <w:rPr>
          <w:noProof w:val="0"/>
        </w:rPr>
        <w:t>the Committee</w:t>
      </w:r>
      <w:r w:rsidR="005733CB" w:rsidRPr="00397A3E">
        <w:rPr>
          <w:noProof w:val="0"/>
        </w:rPr>
        <w:t xml:space="preserve"> (Section </w:t>
      </w:r>
      <w:r w:rsidR="005733CB" w:rsidRPr="00397A3E">
        <w:rPr>
          <w:noProof w:val="0"/>
        </w:rPr>
        <w:fldChar w:fldCharType="begin"/>
      </w:r>
      <w:r w:rsidR="005733CB" w:rsidRPr="00397A3E">
        <w:rPr>
          <w:noProof w:val="0"/>
        </w:rPr>
        <w:instrText xml:space="preserve"> REF _Hlk42771129 \r \h </w:instrText>
      </w:r>
      <w:r w:rsidR="005733CB" w:rsidRPr="00397A3E">
        <w:rPr>
          <w:noProof w:val="0"/>
        </w:rPr>
      </w:r>
      <w:r w:rsidR="005733CB" w:rsidRPr="00397A3E">
        <w:rPr>
          <w:noProof w:val="0"/>
        </w:rPr>
        <w:fldChar w:fldCharType="separate"/>
      </w:r>
      <w:r w:rsidR="001A0E9F">
        <w:rPr>
          <w:noProof w:val="0"/>
        </w:rPr>
        <w:t>2.3.1</w:t>
      </w:r>
      <w:r w:rsidR="005733CB" w:rsidRPr="00397A3E">
        <w:rPr>
          <w:noProof w:val="0"/>
        </w:rPr>
        <w:fldChar w:fldCharType="end"/>
      </w:r>
      <w:r w:rsidR="005733CB" w:rsidRPr="00397A3E">
        <w:rPr>
          <w:noProof w:val="0"/>
        </w:rPr>
        <w:t xml:space="preserve">) to assist in developing responses for the research questions. </w:t>
      </w:r>
    </w:p>
    <w:p w14:paraId="17907DD0" w14:textId="05C9AA39" w:rsidR="004851A5" w:rsidRPr="00397A3E" w:rsidRDefault="00171C91" w:rsidP="007E7442">
      <w:pPr>
        <w:pStyle w:val="Caption"/>
        <w:pageBreakBefore/>
        <w:rPr>
          <w:noProof w:val="0"/>
        </w:rPr>
      </w:pPr>
      <w:bookmarkStart w:id="107" w:name="_Ref71731922"/>
      <w:bookmarkStart w:id="108" w:name="_Toc106964861"/>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2</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9</w:t>
      </w:r>
      <w:r w:rsidR="00F178D7">
        <w:rPr>
          <w:noProof w:val="0"/>
        </w:rPr>
        <w:fldChar w:fldCharType="end"/>
      </w:r>
      <w:bookmarkEnd w:id="107"/>
      <w:r w:rsidRPr="00397A3E">
        <w:rPr>
          <w:noProof w:val="0"/>
        </w:rPr>
        <w:t xml:space="preserve">. </w:t>
      </w:r>
      <w:r w:rsidR="005733CB" w:rsidRPr="00397A3E">
        <w:rPr>
          <w:noProof w:val="0"/>
        </w:rPr>
        <w:t xml:space="preserve">Criteria for assessing the body of evidence for </w:t>
      </w:r>
      <w:r w:rsidR="00417C0F" w:rsidRPr="00397A3E">
        <w:rPr>
          <w:noProof w:val="0"/>
        </w:rPr>
        <w:t>grey literature</w:t>
      </w:r>
      <w:bookmarkEnd w:id="108"/>
    </w:p>
    <w:tbl>
      <w:tblPr>
        <w:tblStyle w:val="EcosleftTableStyle"/>
        <w:tblW w:w="0" w:type="auto"/>
        <w:tblLook w:val="04A0" w:firstRow="1" w:lastRow="0" w:firstColumn="1" w:lastColumn="0" w:noHBand="0" w:noVBand="1"/>
      </w:tblPr>
      <w:tblGrid>
        <w:gridCol w:w="3539"/>
        <w:gridCol w:w="4104"/>
      </w:tblGrid>
      <w:tr w:rsidR="00785848" w14:paraId="2CDC584E" w14:textId="77777777" w:rsidTr="007858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C819EED" w14:textId="77777777" w:rsidR="00816169" w:rsidRPr="00397A3E" w:rsidRDefault="00171C91" w:rsidP="0075369B">
            <w:pPr>
              <w:spacing w:line="240" w:lineRule="auto"/>
              <w:rPr>
                <w:rFonts w:asciiTheme="minorHAnsi" w:hAnsiTheme="minorHAnsi" w:cstheme="minorHAnsi"/>
                <w:noProof w:val="0"/>
              </w:rPr>
            </w:pPr>
            <w:r w:rsidRPr="00397A3E">
              <w:rPr>
                <w:rFonts w:asciiTheme="minorHAnsi" w:hAnsiTheme="minorHAnsi" w:cstheme="minorHAnsi"/>
                <w:noProof w:val="0"/>
              </w:rPr>
              <w:t>Item</w:t>
            </w:r>
          </w:p>
        </w:tc>
        <w:tc>
          <w:tcPr>
            <w:tcW w:w="4104" w:type="dxa"/>
          </w:tcPr>
          <w:p w14:paraId="03BAB5C7" w14:textId="77777777" w:rsidR="00816169" w:rsidRPr="00397A3E" w:rsidRDefault="00171C91" w:rsidP="0075369B">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val="0"/>
              </w:rPr>
            </w:pPr>
            <w:r w:rsidRPr="00397A3E">
              <w:rPr>
                <w:rFonts w:asciiTheme="minorHAnsi" w:hAnsiTheme="minorHAnsi" w:cstheme="minorHAnsi"/>
                <w:noProof w:val="0"/>
              </w:rPr>
              <w:t>Description (responses)</w:t>
            </w:r>
          </w:p>
        </w:tc>
      </w:tr>
      <w:tr w:rsidR="00785848" w14:paraId="61E4D4E5" w14:textId="77777777" w:rsidTr="00785848">
        <w:tc>
          <w:tcPr>
            <w:cnfStyle w:val="001000000000" w:firstRow="0" w:lastRow="0" w:firstColumn="1" w:lastColumn="0" w:oddVBand="0" w:evenVBand="0" w:oddHBand="0" w:evenHBand="0" w:firstRowFirstColumn="0" w:firstRowLastColumn="0" w:lastRowFirstColumn="0" w:lastRowLastColumn="0"/>
            <w:tcW w:w="3539" w:type="dxa"/>
          </w:tcPr>
          <w:p w14:paraId="1C3466FA" w14:textId="0527F83B" w:rsidR="00816169" w:rsidRPr="00397A3E" w:rsidRDefault="00171C91" w:rsidP="0075369B">
            <w:pPr>
              <w:spacing w:before="20" w:after="20" w:line="240" w:lineRule="auto"/>
              <w:rPr>
                <w:rFonts w:asciiTheme="minorHAnsi" w:hAnsiTheme="minorHAnsi" w:cstheme="minorHAnsi"/>
                <w:noProof w:val="0"/>
              </w:rPr>
            </w:pPr>
            <w:r w:rsidRPr="00397A3E">
              <w:rPr>
                <w:rFonts w:asciiTheme="minorHAnsi" w:hAnsiTheme="minorHAnsi" w:cstheme="minorHAnsi"/>
                <w:noProof w:val="0"/>
              </w:rPr>
              <w:t>Grey literature</w:t>
            </w:r>
          </w:p>
        </w:tc>
        <w:tc>
          <w:tcPr>
            <w:tcW w:w="4104" w:type="dxa"/>
          </w:tcPr>
          <w:p w14:paraId="215F58F8" w14:textId="77777777" w:rsidR="00816169" w:rsidRPr="00397A3E" w:rsidRDefault="00171C91" w:rsidP="0075369B">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rPr>
            </w:pPr>
            <w:r w:rsidRPr="00397A3E">
              <w:rPr>
                <w:rFonts w:asciiTheme="minorHAnsi" w:hAnsiTheme="minorHAnsi" w:cstheme="minorHAnsi"/>
                <w:noProof w:val="0"/>
              </w:rPr>
              <w:t>Document identity</w:t>
            </w:r>
          </w:p>
        </w:tc>
      </w:tr>
      <w:tr w:rsidR="00785848" w14:paraId="4826A5A0" w14:textId="77777777" w:rsidTr="00785848">
        <w:tc>
          <w:tcPr>
            <w:cnfStyle w:val="001000000000" w:firstRow="0" w:lastRow="0" w:firstColumn="1" w:lastColumn="0" w:oddVBand="0" w:evenVBand="0" w:oddHBand="0" w:evenHBand="0" w:firstRowFirstColumn="0" w:firstRowLastColumn="0" w:lastRowFirstColumn="0" w:lastRowLastColumn="0"/>
            <w:tcW w:w="3539" w:type="dxa"/>
          </w:tcPr>
          <w:p w14:paraId="22C834E0" w14:textId="77777777" w:rsidR="00816169" w:rsidRPr="00397A3E" w:rsidRDefault="00171C91" w:rsidP="0075369B">
            <w:pPr>
              <w:spacing w:before="20" w:after="20" w:line="240" w:lineRule="auto"/>
              <w:rPr>
                <w:rFonts w:asciiTheme="minorHAnsi" w:hAnsiTheme="minorHAnsi" w:cstheme="minorHAnsi"/>
                <w:noProof w:val="0"/>
              </w:rPr>
            </w:pPr>
            <w:r w:rsidRPr="00397A3E">
              <w:rPr>
                <w:rFonts w:asciiTheme="minorHAnsi" w:hAnsiTheme="minorHAnsi" w:cstheme="minorHAnsi"/>
                <w:noProof w:val="0"/>
              </w:rPr>
              <w:t>Contribution to primary research question outcome?</w:t>
            </w:r>
          </w:p>
        </w:tc>
        <w:tc>
          <w:tcPr>
            <w:tcW w:w="4104" w:type="dxa"/>
          </w:tcPr>
          <w:p w14:paraId="75A14D7D" w14:textId="77777777" w:rsidR="00816169" w:rsidRPr="00397A3E" w:rsidRDefault="00171C91" w:rsidP="0075369B">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rPr>
            </w:pPr>
            <w:r w:rsidRPr="00397A3E">
              <w:rPr>
                <w:rFonts w:asciiTheme="minorHAnsi" w:hAnsiTheme="minorHAnsi" w:cstheme="minorHAnsi"/>
                <w:noProof w:val="0"/>
              </w:rPr>
              <w:t>Does the document contain any information useful for responding to the primary research question? (Yes or No)</w:t>
            </w:r>
          </w:p>
        </w:tc>
      </w:tr>
      <w:tr w:rsidR="00785848" w14:paraId="10182C02" w14:textId="77777777" w:rsidTr="00785848">
        <w:tc>
          <w:tcPr>
            <w:cnfStyle w:val="001000000000" w:firstRow="0" w:lastRow="0" w:firstColumn="1" w:lastColumn="0" w:oddVBand="0" w:evenVBand="0" w:oddHBand="0" w:evenHBand="0" w:firstRowFirstColumn="0" w:firstRowLastColumn="0" w:lastRowFirstColumn="0" w:lastRowLastColumn="0"/>
            <w:tcW w:w="3539" w:type="dxa"/>
          </w:tcPr>
          <w:p w14:paraId="0DACD6A7" w14:textId="77777777" w:rsidR="00816169" w:rsidRPr="00397A3E" w:rsidRDefault="00171C91" w:rsidP="0075369B">
            <w:pPr>
              <w:spacing w:before="20" w:after="20" w:line="240" w:lineRule="auto"/>
              <w:rPr>
                <w:rFonts w:asciiTheme="minorHAnsi" w:hAnsiTheme="minorHAnsi" w:cstheme="minorHAnsi"/>
                <w:noProof w:val="0"/>
              </w:rPr>
            </w:pPr>
            <w:r w:rsidRPr="00397A3E">
              <w:rPr>
                <w:rFonts w:asciiTheme="minorHAnsi" w:hAnsiTheme="minorHAnsi" w:cstheme="minorHAnsi"/>
                <w:noProof w:val="0"/>
              </w:rPr>
              <w:t>Contribution to secondary research questions outcomes?</w:t>
            </w:r>
          </w:p>
        </w:tc>
        <w:tc>
          <w:tcPr>
            <w:tcW w:w="4104" w:type="dxa"/>
          </w:tcPr>
          <w:p w14:paraId="3AB36AE2" w14:textId="77777777" w:rsidR="00816169" w:rsidRPr="00397A3E" w:rsidRDefault="00171C91" w:rsidP="0075369B">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rPr>
            </w:pPr>
            <w:r w:rsidRPr="00397A3E">
              <w:rPr>
                <w:rFonts w:asciiTheme="minorHAnsi" w:hAnsiTheme="minorHAnsi" w:cstheme="minorHAnsi"/>
                <w:noProof w:val="0"/>
              </w:rPr>
              <w:t>Does the document contain any information useful for responding to the secondary research questions? (If Yes list which question, No)</w:t>
            </w:r>
          </w:p>
        </w:tc>
      </w:tr>
      <w:tr w:rsidR="00785848" w14:paraId="3C1B5F98" w14:textId="77777777" w:rsidTr="00785848">
        <w:tc>
          <w:tcPr>
            <w:cnfStyle w:val="001000000000" w:firstRow="0" w:lastRow="0" w:firstColumn="1" w:lastColumn="0" w:oddVBand="0" w:evenVBand="0" w:oddHBand="0" w:evenHBand="0" w:firstRowFirstColumn="0" w:firstRowLastColumn="0" w:lastRowFirstColumn="0" w:lastRowLastColumn="0"/>
            <w:tcW w:w="3539" w:type="dxa"/>
          </w:tcPr>
          <w:p w14:paraId="0A5CFC48" w14:textId="4DBC2A61" w:rsidR="00816169" w:rsidRPr="00397A3E" w:rsidRDefault="00171C91" w:rsidP="0075369B">
            <w:pPr>
              <w:spacing w:before="20" w:after="20" w:line="240" w:lineRule="auto"/>
              <w:rPr>
                <w:rFonts w:asciiTheme="minorHAnsi" w:hAnsiTheme="minorHAnsi" w:cstheme="minorHAnsi"/>
                <w:noProof w:val="0"/>
              </w:rPr>
            </w:pPr>
            <w:r w:rsidRPr="00397A3E">
              <w:rPr>
                <w:rFonts w:asciiTheme="minorHAnsi" w:hAnsiTheme="minorHAnsi" w:cstheme="minorHAnsi"/>
                <w:noProof w:val="0"/>
              </w:rPr>
              <w:t>Outcomes relevant to Australian conditions</w:t>
            </w:r>
          </w:p>
        </w:tc>
        <w:tc>
          <w:tcPr>
            <w:tcW w:w="4104" w:type="dxa"/>
          </w:tcPr>
          <w:p w14:paraId="2C47086F" w14:textId="5CEBF65B" w:rsidR="00816169" w:rsidRPr="00397A3E" w:rsidRDefault="00171C91" w:rsidP="0075369B">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rPr>
            </w:pPr>
            <w:r w:rsidRPr="00397A3E">
              <w:rPr>
                <w:rFonts w:asciiTheme="minorHAnsi" w:hAnsiTheme="minorHAnsi" w:cstheme="minorHAnsi"/>
                <w:noProof w:val="0"/>
              </w:rPr>
              <w:t xml:space="preserve">Does the document </w:t>
            </w:r>
            <w:r w:rsidR="00807550" w:rsidRPr="00397A3E">
              <w:rPr>
                <w:rFonts w:asciiTheme="minorHAnsi" w:hAnsiTheme="minorHAnsi" w:cstheme="minorHAnsi"/>
                <w:noProof w:val="0"/>
              </w:rPr>
              <w:t>contain descriptions of methods or approaches relevant to Australian conditions</w:t>
            </w:r>
            <w:r w:rsidRPr="00397A3E">
              <w:rPr>
                <w:rFonts w:asciiTheme="minorHAnsi" w:hAnsiTheme="minorHAnsi" w:cstheme="minorHAnsi"/>
                <w:noProof w:val="0"/>
              </w:rPr>
              <w:t xml:space="preserve"> (If Yes, list information, No)</w:t>
            </w:r>
          </w:p>
        </w:tc>
      </w:tr>
      <w:tr w:rsidR="00785848" w14:paraId="2665E40E" w14:textId="77777777" w:rsidTr="00785848">
        <w:tc>
          <w:tcPr>
            <w:cnfStyle w:val="001000000000" w:firstRow="0" w:lastRow="0" w:firstColumn="1" w:lastColumn="0" w:oddVBand="0" w:evenVBand="0" w:oddHBand="0" w:evenHBand="0" w:firstRowFirstColumn="0" w:firstRowLastColumn="0" w:lastRowFirstColumn="0" w:lastRowLastColumn="0"/>
            <w:tcW w:w="3539" w:type="dxa"/>
          </w:tcPr>
          <w:p w14:paraId="012F18D3" w14:textId="341553F6" w:rsidR="00816169" w:rsidRPr="00397A3E" w:rsidRDefault="00171C91" w:rsidP="0075369B">
            <w:pPr>
              <w:spacing w:before="20" w:after="20" w:line="240" w:lineRule="auto"/>
              <w:rPr>
                <w:rFonts w:asciiTheme="minorHAnsi" w:hAnsiTheme="minorHAnsi" w:cstheme="minorHAnsi"/>
                <w:noProof w:val="0"/>
              </w:rPr>
            </w:pPr>
            <w:r w:rsidRPr="00397A3E">
              <w:rPr>
                <w:rFonts w:asciiTheme="minorHAnsi" w:hAnsiTheme="minorHAnsi" w:cstheme="minorHAnsi"/>
                <w:noProof w:val="0"/>
              </w:rPr>
              <w:t>Addresses target populations</w:t>
            </w:r>
          </w:p>
        </w:tc>
        <w:tc>
          <w:tcPr>
            <w:tcW w:w="4104" w:type="dxa"/>
          </w:tcPr>
          <w:p w14:paraId="06D7F886" w14:textId="222635F0" w:rsidR="00816169" w:rsidRPr="00397A3E" w:rsidRDefault="00171C91" w:rsidP="0075369B">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rPr>
            </w:pPr>
            <w:r w:rsidRPr="00397A3E">
              <w:rPr>
                <w:rFonts w:asciiTheme="minorHAnsi" w:hAnsiTheme="minorHAnsi" w:cstheme="minorHAnsi"/>
                <w:noProof w:val="0"/>
              </w:rPr>
              <w:t xml:space="preserve">Does the document </w:t>
            </w:r>
            <w:r w:rsidR="00807550" w:rsidRPr="00397A3E">
              <w:rPr>
                <w:rFonts w:asciiTheme="minorHAnsi" w:hAnsiTheme="minorHAnsi" w:cstheme="minorHAnsi"/>
                <w:noProof w:val="0"/>
              </w:rPr>
              <w:t xml:space="preserve">address </w:t>
            </w:r>
            <w:r w:rsidR="00807550" w:rsidRPr="00397A3E">
              <w:rPr>
                <w:rFonts w:asciiTheme="minorHAnsi" w:hAnsiTheme="minorHAnsi" w:cstheme="minorHAnsi"/>
                <w:bCs/>
                <w:noProof w:val="0"/>
              </w:rPr>
              <w:t>specific target populations such as children, immunocompromised or the elderly and describe how they may be impacted</w:t>
            </w:r>
            <w:r w:rsidRPr="00397A3E">
              <w:rPr>
                <w:rFonts w:asciiTheme="minorHAnsi" w:hAnsiTheme="minorHAnsi" w:cstheme="minorHAnsi"/>
                <w:noProof w:val="0"/>
              </w:rPr>
              <w:t xml:space="preserve">? (If Yes, list information, No).  </w:t>
            </w:r>
          </w:p>
        </w:tc>
      </w:tr>
      <w:tr w:rsidR="00785848" w14:paraId="18FAA525" w14:textId="77777777" w:rsidTr="00785848">
        <w:tc>
          <w:tcPr>
            <w:cnfStyle w:val="001000000000" w:firstRow="0" w:lastRow="0" w:firstColumn="1" w:lastColumn="0" w:oddVBand="0" w:evenVBand="0" w:oddHBand="0" w:evenHBand="0" w:firstRowFirstColumn="0" w:firstRowLastColumn="0" w:lastRowFirstColumn="0" w:lastRowLastColumn="0"/>
            <w:tcW w:w="3539" w:type="dxa"/>
          </w:tcPr>
          <w:p w14:paraId="2DEAB4FB" w14:textId="15A0ED50" w:rsidR="00816169" w:rsidRPr="00397A3E" w:rsidRDefault="00171C91" w:rsidP="0075369B">
            <w:pPr>
              <w:spacing w:before="20" w:after="20" w:line="240" w:lineRule="auto"/>
              <w:rPr>
                <w:rFonts w:asciiTheme="minorHAnsi" w:hAnsiTheme="minorHAnsi" w:cstheme="minorHAnsi"/>
                <w:noProof w:val="0"/>
              </w:rPr>
            </w:pPr>
            <w:r w:rsidRPr="00397A3E">
              <w:rPr>
                <w:rFonts w:asciiTheme="minorHAnsi" w:hAnsiTheme="minorHAnsi" w:cstheme="minorHAnsi"/>
                <w:noProof w:val="0"/>
              </w:rPr>
              <w:t>Identifies main factors impacting risk and its prediction</w:t>
            </w:r>
          </w:p>
        </w:tc>
        <w:tc>
          <w:tcPr>
            <w:tcW w:w="4104" w:type="dxa"/>
          </w:tcPr>
          <w:p w14:paraId="202DD2BF" w14:textId="35C6DD0B" w:rsidR="00816169" w:rsidRPr="00397A3E" w:rsidRDefault="00171C91" w:rsidP="0075369B">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rPr>
            </w:pPr>
            <w:r w:rsidRPr="00397A3E">
              <w:rPr>
                <w:rFonts w:asciiTheme="minorHAnsi" w:hAnsiTheme="minorHAnsi" w:cstheme="minorHAnsi"/>
                <w:noProof w:val="0"/>
              </w:rPr>
              <w:t xml:space="preserve">Does the document </w:t>
            </w:r>
            <w:r w:rsidR="00807550" w:rsidRPr="00397A3E">
              <w:rPr>
                <w:rFonts w:asciiTheme="minorHAnsi" w:hAnsiTheme="minorHAnsi" w:cstheme="minorHAnsi"/>
                <w:noProof w:val="0"/>
              </w:rPr>
              <w:t>clearly identify the main factors impacting risk and its prediction</w:t>
            </w:r>
            <w:r w:rsidRPr="00397A3E">
              <w:rPr>
                <w:rFonts w:asciiTheme="minorHAnsi" w:hAnsiTheme="minorHAnsi" w:cstheme="minorHAnsi"/>
                <w:noProof w:val="0"/>
              </w:rPr>
              <w:t>? (If Yes, list information, No)</w:t>
            </w:r>
          </w:p>
        </w:tc>
      </w:tr>
      <w:tr w:rsidR="00785848" w14:paraId="356292BE" w14:textId="77777777" w:rsidTr="00785848">
        <w:tc>
          <w:tcPr>
            <w:cnfStyle w:val="001000000000" w:firstRow="0" w:lastRow="0" w:firstColumn="1" w:lastColumn="0" w:oddVBand="0" w:evenVBand="0" w:oddHBand="0" w:evenHBand="0" w:firstRowFirstColumn="0" w:firstRowLastColumn="0" w:lastRowFirstColumn="0" w:lastRowLastColumn="0"/>
            <w:tcW w:w="3539" w:type="dxa"/>
          </w:tcPr>
          <w:p w14:paraId="7896D076" w14:textId="77777777" w:rsidR="00816169" w:rsidRPr="00397A3E" w:rsidRDefault="00171C91" w:rsidP="0075369B">
            <w:pPr>
              <w:spacing w:before="20" w:after="20" w:line="240" w:lineRule="auto"/>
              <w:rPr>
                <w:rFonts w:asciiTheme="minorHAnsi" w:hAnsiTheme="minorHAnsi" w:cstheme="minorHAnsi"/>
                <w:noProof w:val="0"/>
              </w:rPr>
            </w:pPr>
            <w:r w:rsidRPr="00397A3E">
              <w:rPr>
                <w:rFonts w:asciiTheme="minorHAnsi" w:hAnsiTheme="minorHAnsi" w:cstheme="minorHAnsi"/>
                <w:noProof w:val="0"/>
              </w:rPr>
              <w:t>Reviewer’s comments</w:t>
            </w:r>
          </w:p>
        </w:tc>
        <w:tc>
          <w:tcPr>
            <w:tcW w:w="4104" w:type="dxa"/>
          </w:tcPr>
          <w:p w14:paraId="4CC825E5" w14:textId="77777777" w:rsidR="00816169" w:rsidRPr="00397A3E" w:rsidRDefault="00171C91" w:rsidP="0075369B">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rPr>
            </w:pPr>
            <w:r w:rsidRPr="00397A3E">
              <w:rPr>
                <w:rFonts w:asciiTheme="minorHAnsi" w:hAnsiTheme="minorHAnsi" w:cstheme="minorHAnsi"/>
                <w:noProof w:val="0"/>
              </w:rPr>
              <w:t>Reviewer’s comments on key attributes of the document justifying its inclusion in the review.</w:t>
            </w:r>
          </w:p>
        </w:tc>
      </w:tr>
      <w:tr w:rsidR="00785848" w14:paraId="4CA1AE9D" w14:textId="77777777" w:rsidTr="00785848">
        <w:tc>
          <w:tcPr>
            <w:cnfStyle w:val="001000000000" w:firstRow="0" w:lastRow="0" w:firstColumn="1" w:lastColumn="0" w:oddVBand="0" w:evenVBand="0" w:oddHBand="0" w:evenHBand="0" w:firstRowFirstColumn="0" w:firstRowLastColumn="0" w:lastRowFirstColumn="0" w:lastRowLastColumn="0"/>
            <w:tcW w:w="3539" w:type="dxa"/>
          </w:tcPr>
          <w:p w14:paraId="21A4409E" w14:textId="77777777" w:rsidR="00816169" w:rsidRPr="00397A3E" w:rsidRDefault="00171C91" w:rsidP="0075369B">
            <w:pPr>
              <w:spacing w:before="20" w:after="20" w:line="240" w:lineRule="auto"/>
              <w:rPr>
                <w:rFonts w:asciiTheme="minorHAnsi" w:hAnsiTheme="minorHAnsi" w:cstheme="minorHAnsi"/>
                <w:noProof w:val="0"/>
              </w:rPr>
            </w:pPr>
            <w:r w:rsidRPr="00397A3E">
              <w:rPr>
                <w:rFonts w:asciiTheme="minorHAnsi" w:hAnsiTheme="minorHAnsi" w:cstheme="minorHAnsi"/>
                <w:noProof w:val="0"/>
              </w:rPr>
              <w:t>Overall assessment</w:t>
            </w:r>
          </w:p>
        </w:tc>
        <w:tc>
          <w:tcPr>
            <w:tcW w:w="4104" w:type="dxa"/>
          </w:tcPr>
          <w:p w14:paraId="354FACB7" w14:textId="77777777" w:rsidR="00816169" w:rsidRPr="00397A3E" w:rsidRDefault="00171C91" w:rsidP="0075369B">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rPr>
            </w:pPr>
            <w:r w:rsidRPr="00397A3E">
              <w:rPr>
                <w:rFonts w:asciiTheme="minorHAnsi" w:hAnsiTheme="minorHAnsi" w:cstheme="minorHAnsi"/>
                <w:noProof w:val="0"/>
              </w:rPr>
              <w:t>Reviewer’s concise assessment of the overall contribution made by the document in responding to the primary and secondary questions.</w:t>
            </w:r>
          </w:p>
        </w:tc>
      </w:tr>
    </w:tbl>
    <w:p w14:paraId="4721477F" w14:textId="77777777" w:rsidR="00911633" w:rsidRPr="00397A3E" w:rsidRDefault="00911633" w:rsidP="00911633">
      <w:pPr>
        <w:rPr>
          <w:noProof w:val="0"/>
          <w:highlight w:val="yellow"/>
        </w:rPr>
      </w:pPr>
    </w:p>
    <w:p w14:paraId="2FC82E3B" w14:textId="13FEA904" w:rsidR="00632FED" w:rsidRPr="00397A3E" w:rsidRDefault="00171C91" w:rsidP="005B36E3">
      <w:pPr>
        <w:pStyle w:val="Heading1"/>
        <w:rPr>
          <w:noProof w:val="0"/>
        </w:rPr>
      </w:pPr>
      <w:bookmarkStart w:id="109" w:name="_Toc9259352"/>
      <w:bookmarkStart w:id="110" w:name="_Toc9260186"/>
      <w:bookmarkStart w:id="111" w:name="_Toc9413532"/>
      <w:bookmarkStart w:id="112" w:name="_Toc11410244"/>
      <w:bookmarkStart w:id="113" w:name="_Toc9259353"/>
      <w:bookmarkStart w:id="114" w:name="_Toc9260187"/>
      <w:bookmarkStart w:id="115" w:name="_Toc9413533"/>
      <w:bookmarkStart w:id="116" w:name="_Toc11410245"/>
      <w:bookmarkStart w:id="117" w:name="_Toc9259354"/>
      <w:bookmarkStart w:id="118" w:name="_Toc9260188"/>
      <w:bookmarkStart w:id="119" w:name="_Toc9413534"/>
      <w:bookmarkStart w:id="120" w:name="_Toc11410246"/>
      <w:bookmarkStart w:id="121" w:name="_Toc9259355"/>
      <w:bookmarkStart w:id="122" w:name="_Toc9260189"/>
      <w:bookmarkStart w:id="123" w:name="_Toc9413535"/>
      <w:bookmarkStart w:id="124" w:name="_Toc11410247"/>
      <w:bookmarkStart w:id="125" w:name="_Toc9259356"/>
      <w:bookmarkStart w:id="126" w:name="_Toc9260190"/>
      <w:bookmarkStart w:id="127" w:name="_Toc9413536"/>
      <w:bookmarkStart w:id="128" w:name="_Toc11410248"/>
      <w:bookmarkStart w:id="129" w:name="_Toc9259357"/>
      <w:bookmarkStart w:id="130" w:name="_Toc9260191"/>
      <w:bookmarkStart w:id="131" w:name="_Toc9413537"/>
      <w:bookmarkStart w:id="132" w:name="_Toc11410249"/>
      <w:bookmarkStart w:id="133" w:name="_Toc9259358"/>
      <w:bookmarkStart w:id="134" w:name="_Toc9260192"/>
      <w:bookmarkStart w:id="135" w:name="_Toc9413538"/>
      <w:bookmarkStart w:id="136" w:name="_Toc11410250"/>
      <w:bookmarkStart w:id="137" w:name="_Toc9259359"/>
      <w:bookmarkStart w:id="138" w:name="_Toc9260193"/>
      <w:bookmarkStart w:id="139" w:name="_Toc9413539"/>
      <w:bookmarkStart w:id="140" w:name="_Toc11410251"/>
      <w:bookmarkStart w:id="141" w:name="_Toc9259360"/>
      <w:bookmarkStart w:id="142" w:name="_Toc9260194"/>
      <w:bookmarkStart w:id="143" w:name="_Toc9413540"/>
      <w:bookmarkStart w:id="144" w:name="_Toc11410252"/>
      <w:bookmarkStart w:id="145" w:name="_Toc9259361"/>
      <w:bookmarkStart w:id="146" w:name="_Toc9260195"/>
      <w:bookmarkStart w:id="147" w:name="_Toc9413541"/>
      <w:bookmarkStart w:id="148" w:name="_Toc11410253"/>
      <w:bookmarkStart w:id="149" w:name="_Toc9259362"/>
      <w:bookmarkStart w:id="150" w:name="_Toc9260196"/>
      <w:bookmarkStart w:id="151" w:name="_Toc9413542"/>
      <w:bookmarkStart w:id="152" w:name="_Toc11410254"/>
      <w:bookmarkStart w:id="153" w:name="_Toc9259363"/>
      <w:bookmarkStart w:id="154" w:name="_Toc9260197"/>
      <w:bookmarkStart w:id="155" w:name="_Toc9413543"/>
      <w:bookmarkStart w:id="156" w:name="_Toc11410255"/>
      <w:bookmarkStart w:id="157" w:name="_Toc9259364"/>
      <w:bookmarkStart w:id="158" w:name="_Toc9260198"/>
      <w:bookmarkStart w:id="159" w:name="_Toc9413544"/>
      <w:bookmarkStart w:id="160" w:name="_Toc11410256"/>
      <w:bookmarkStart w:id="161" w:name="_Toc9259365"/>
      <w:bookmarkStart w:id="162" w:name="_Toc9260199"/>
      <w:bookmarkStart w:id="163" w:name="_Toc9413545"/>
      <w:bookmarkStart w:id="164" w:name="_Toc11410257"/>
      <w:bookmarkStart w:id="165" w:name="_Toc9259366"/>
      <w:bookmarkStart w:id="166" w:name="_Toc9260200"/>
      <w:bookmarkStart w:id="167" w:name="_Toc9413546"/>
      <w:bookmarkStart w:id="168" w:name="_Toc11410258"/>
      <w:bookmarkStart w:id="169" w:name="_Toc9259367"/>
      <w:bookmarkStart w:id="170" w:name="_Toc9260201"/>
      <w:bookmarkStart w:id="171" w:name="_Toc9413547"/>
      <w:bookmarkStart w:id="172" w:name="_Toc11410259"/>
      <w:bookmarkStart w:id="173" w:name="_Toc9259368"/>
      <w:bookmarkStart w:id="174" w:name="_Toc9260202"/>
      <w:bookmarkStart w:id="175" w:name="_Toc9413548"/>
      <w:bookmarkStart w:id="176" w:name="_Toc11410260"/>
      <w:bookmarkStart w:id="177" w:name="_Toc9259369"/>
      <w:bookmarkStart w:id="178" w:name="_Toc9260203"/>
      <w:bookmarkStart w:id="179" w:name="_Toc9413549"/>
      <w:bookmarkStart w:id="180" w:name="_Toc11410261"/>
      <w:bookmarkStart w:id="181" w:name="_Toc9259370"/>
      <w:bookmarkStart w:id="182" w:name="_Toc9260204"/>
      <w:bookmarkStart w:id="183" w:name="_Toc9413550"/>
      <w:bookmarkStart w:id="184" w:name="_Toc11410262"/>
      <w:bookmarkStart w:id="185" w:name="_Toc9259371"/>
      <w:bookmarkStart w:id="186" w:name="_Toc9260205"/>
      <w:bookmarkStart w:id="187" w:name="_Toc9413551"/>
      <w:bookmarkStart w:id="188" w:name="_Toc11410263"/>
      <w:bookmarkStart w:id="189" w:name="_Toc9259507"/>
      <w:bookmarkStart w:id="190" w:name="_Toc9260341"/>
      <w:bookmarkStart w:id="191" w:name="_Toc9413687"/>
      <w:bookmarkStart w:id="192" w:name="_Toc11410399"/>
      <w:bookmarkStart w:id="193" w:name="_Toc9259508"/>
      <w:bookmarkStart w:id="194" w:name="_Toc9260342"/>
      <w:bookmarkStart w:id="195" w:name="_Toc9413688"/>
      <w:bookmarkStart w:id="196" w:name="_Toc11410400"/>
      <w:bookmarkStart w:id="197" w:name="_Toc9259509"/>
      <w:bookmarkStart w:id="198" w:name="_Toc9260343"/>
      <w:bookmarkStart w:id="199" w:name="_Toc9413689"/>
      <w:bookmarkStart w:id="200" w:name="_Toc11410401"/>
      <w:bookmarkStart w:id="201" w:name="_Toc9259510"/>
      <w:bookmarkStart w:id="202" w:name="_Toc9260344"/>
      <w:bookmarkStart w:id="203" w:name="_Toc9413690"/>
      <w:bookmarkStart w:id="204" w:name="_Toc11410402"/>
      <w:bookmarkStart w:id="205" w:name="_Toc9259511"/>
      <w:bookmarkStart w:id="206" w:name="_Toc9260345"/>
      <w:bookmarkStart w:id="207" w:name="_Toc9413691"/>
      <w:bookmarkStart w:id="208" w:name="_Toc11410403"/>
      <w:bookmarkStart w:id="209" w:name="_Toc9259512"/>
      <w:bookmarkStart w:id="210" w:name="_Toc9260346"/>
      <w:bookmarkStart w:id="211" w:name="_Toc9413692"/>
      <w:bookmarkStart w:id="212" w:name="_Toc11410404"/>
      <w:bookmarkStart w:id="213" w:name="_Toc9259513"/>
      <w:bookmarkStart w:id="214" w:name="_Toc9260347"/>
      <w:bookmarkStart w:id="215" w:name="_Toc9413693"/>
      <w:bookmarkStart w:id="216" w:name="_Toc11410405"/>
      <w:bookmarkStart w:id="217" w:name="_Toc9259514"/>
      <w:bookmarkStart w:id="218" w:name="_Toc9260348"/>
      <w:bookmarkStart w:id="219" w:name="_Toc9413694"/>
      <w:bookmarkStart w:id="220" w:name="_Toc11410406"/>
      <w:bookmarkStart w:id="221" w:name="_Toc9259515"/>
      <w:bookmarkStart w:id="222" w:name="_Toc9260349"/>
      <w:bookmarkStart w:id="223" w:name="_Toc9413695"/>
      <w:bookmarkStart w:id="224" w:name="_Toc11410407"/>
      <w:bookmarkStart w:id="225" w:name="_Toc9259516"/>
      <w:bookmarkStart w:id="226" w:name="_Toc9260350"/>
      <w:bookmarkStart w:id="227" w:name="_Toc9413696"/>
      <w:bookmarkStart w:id="228" w:name="_Toc11410408"/>
      <w:bookmarkStart w:id="229" w:name="_Toc9259517"/>
      <w:bookmarkStart w:id="230" w:name="_Toc9260351"/>
      <w:bookmarkStart w:id="231" w:name="_Toc9413697"/>
      <w:bookmarkStart w:id="232" w:name="_Toc11410409"/>
      <w:bookmarkStart w:id="233" w:name="_Toc9259518"/>
      <w:bookmarkStart w:id="234" w:name="_Toc9260352"/>
      <w:bookmarkStart w:id="235" w:name="_Toc9413698"/>
      <w:bookmarkStart w:id="236" w:name="_Toc11410410"/>
      <w:bookmarkStart w:id="237" w:name="_Toc9259519"/>
      <w:bookmarkStart w:id="238" w:name="_Toc9260353"/>
      <w:bookmarkStart w:id="239" w:name="_Toc9413699"/>
      <w:bookmarkStart w:id="240" w:name="_Toc11410411"/>
      <w:bookmarkStart w:id="241" w:name="_Toc9259520"/>
      <w:bookmarkStart w:id="242" w:name="_Toc9260354"/>
      <w:bookmarkStart w:id="243" w:name="_Toc9413700"/>
      <w:bookmarkStart w:id="244" w:name="_Toc11410412"/>
      <w:bookmarkStart w:id="245" w:name="_Toc9259521"/>
      <w:bookmarkStart w:id="246" w:name="_Toc9260355"/>
      <w:bookmarkStart w:id="247" w:name="_Toc9413701"/>
      <w:bookmarkStart w:id="248" w:name="_Toc11410413"/>
      <w:bookmarkStart w:id="249" w:name="_Toc9259522"/>
      <w:bookmarkStart w:id="250" w:name="_Toc9260356"/>
      <w:bookmarkStart w:id="251" w:name="_Toc9413702"/>
      <w:bookmarkStart w:id="252" w:name="_Toc11410414"/>
      <w:bookmarkStart w:id="253" w:name="_Toc9259523"/>
      <w:bookmarkStart w:id="254" w:name="_Toc9260357"/>
      <w:bookmarkStart w:id="255" w:name="_Toc9413703"/>
      <w:bookmarkStart w:id="256" w:name="_Toc11410415"/>
      <w:bookmarkStart w:id="257" w:name="_Toc9259524"/>
      <w:bookmarkStart w:id="258" w:name="_Toc9260358"/>
      <w:bookmarkStart w:id="259" w:name="_Toc9413704"/>
      <w:bookmarkStart w:id="260" w:name="_Toc11410416"/>
      <w:bookmarkStart w:id="261" w:name="_Toc9259525"/>
      <w:bookmarkStart w:id="262" w:name="_Toc9260359"/>
      <w:bookmarkStart w:id="263" w:name="_Toc9413705"/>
      <w:bookmarkStart w:id="264" w:name="_Toc11410417"/>
      <w:bookmarkStart w:id="265" w:name="_Toc9259526"/>
      <w:bookmarkStart w:id="266" w:name="_Toc9260360"/>
      <w:bookmarkStart w:id="267" w:name="_Toc9413706"/>
      <w:bookmarkStart w:id="268" w:name="_Toc11410418"/>
      <w:bookmarkStart w:id="269" w:name="_Toc9259527"/>
      <w:bookmarkStart w:id="270" w:name="_Toc9260361"/>
      <w:bookmarkStart w:id="271" w:name="_Toc9413707"/>
      <w:bookmarkStart w:id="272" w:name="_Toc11410419"/>
      <w:bookmarkStart w:id="273" w:name="_Toc9259528"/>
      <w:bookmarkStart w:id="274" w:name="_Toc9260362"/>
      <w:bookmarkStart w:id="275" w:name="_Toc9413708"/>
      <w:bookmarkStart w:id="276" w:name="_Toc11410420"/>
      <w:bookmarkStart w:id="277" w:name="_Toc9259529"/>
      <w:bookmarkStart w:id="278" w:name="_Toc9260363"/>
      <w:bookmarkStart w:id="279" w:name="_Toc9413709"/>
      <w:bookmarkStart w:id="280" w:name="_Toc11410421"/>
      <w:bookmarkStart w:id="281" w:name="_Toc9259530"/>
      <w:bookmarkStart w:id="282" w:name="_Toc9260364"/>
      <w:bookmarkStart w:id="283" w:name="_Toc9413710"/>
      <w:bookmarkStart w:id="284" w:name="_Toc11410422"/>
      <w:bookmarkStart w:id="285" w:name="_Toc9259538"/>
      <w:bookmarkStart w:id="286" w:name="_Toc9260372"/>
      <w:bookmarkStart w:id="287" w:name="_Toc9413718"/>
      <w:bookmarkStart w:id="288" w:name="_Toc11410430"/>
      <w:bookmarkStart w:id="289" w:name="_Toc9259736"/>
      <w:bookmarkStart w:id="290" w:name="_Toc9260570"/>
      <w:bookmarkStart w:id="291" w:name="_Toc9413916"/>
      <w:bookmarkStart w:id="292" w:name="_Toc11410628"/>
      <w:bookmarkStart w:id="293" w:name="_Toc9259737"/>
      <w:bookmarkStart w:id="294" w:name="_Toc9260571"/>
      <w:bookmarkStart w:id="295" w:name="_Toc9413917"/>
      <w:bookmarkStart w:id="296" w:name="_Toc11410629"/>
      <w:bookmarkStart w:id="297" w:name="_Toc9259738"/>
      <w:bookmarkStart w:id="298" w:name="_Toc9260572"/>
      <w:bookmarkStart w:id="299" w:name="_Toc9413918"/>
      <w:bookmarkStart w:id="300" w:name="_Toc11410630"/>
      <w:bookmarkStart w:id="301" w:name="_Toc9259739"/>
      <w:bookmarkStart w:id="302" w:name="_Toc9260573"/>
      <w:bookmarkStart w:id="303" w:name="_Toc9413919"/>
      <w:bookmarkStart w:id="304" w:name="_Toc11410631"/>
      <w:bookmarkStart w:id="305" w:name="_Toc9259740"/>
      <w:bookmarkStart w:id="306" w:name="_Toc9260574"/>
      <w:bookmarkStart w:id="307" w:name="_Toc9413920"/>
      <w:bookmarkStart w:id="308" w:name="_Toc11410632"/>
      <w:bookmarkStart w:id="309" w:name="_Toc106964822"/>
      <w:bookmarkEnd w:id="10"/>
      <w:bookmarkEnd w:id="11"/>
      <w:bookmarkEnd w:id="12"/>
      <w:bookmarkEnd w:id="75"/>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sidRPr="00397A3E">
        <w:rPr>
          <w:noProof w:val="0"/>
        </w:rPr>
        <w:t>Literature search results</w:t>
      </w:r>
      <w:bookmarkEnd w:id="309"/>
    </w:p>
    <w:p w14:paraId="1A273C67" w14:textId="3509D22F" w:rsidR="00D358C6" w:rsidRPr="00397A3E" w:rsidRDefault="00171C91" w:rsidP="00D95B6A">
      <w:pPr>
        <w:pStyle w:val="Heading2"/>
        <w:rPr>
          <w:noProof w:val="0"/>
        </w:rPr>
      </w:pPr>
      <w:bookmarkStart w:id="310" w:name="_Toc106964823"/>
      <w:r w:rsidRPr="00397A3E">
        <w:rPr>
          <w:noProof w:val="0"/>
        </w:rPr>
        <w:t>Grey literature</w:t>
      </w:r>
      <w:bookmarkEnd w:id="310"/>
    </w:p>
    <w:p w14:paraId="00917032" w14:textId="3C5E56EE" w:rsidR="00ED0BF0" w:rsidRPr="00397A3E" w:rsidRDefault="00171C91" w:rsidP="00ED0BF0">
      <w:pPr>
        <w:rPr>
          <w:noProof w:val="0"/>
        </w:rPr>
      </w:pPr>
      <w:bookmarkStart w:id="311" w:name="_Hlk72505418"/>
      <w:r w:rsidRPr="00397A3E">
        <w:rPr>
          <w:noProof w:val="0"/>
        </w:rPr>
        <w:t xml:space="preserve">Searches for </w:t>
      </w:r>
      <w:r w:rsidR="000341EC" w:rsidRPr="00397A3E">
        <w:rPr>
          <w:noProof w:val="0"/>
        </w:rPr>
        <w:t>grey literature</w:t>
      </w:r>
      <w:r>
        <w:rPr>
          <w:noProof w:val="0"/>
          <w:vertAlign w:val="superscript"/>
        </w:rPr>
        <w:footnoteReference w:id="2"/>
      </w:r>
      <w:r w:rsidR="000341EC" w:rsidRPr="00397A3E">
        <w:rPr>
          <w:noProof w:val="0"/>
        </w:rPr>
        <w:t xml:space="preserve"> </w:t>
      </w:r>
      <w:r w:rsidRPr="00397A3E">
        <w:rPr>
          <w:noProof w:val="0"/>
        </w:rPr>
        <w:t>identified 38 documents.  Twelve documents were screened out on the basis that they were non-Australian studies and preceded the agreed cut-off date for inclusion, whilst each of the remaining documents was evaluated for its relevance to the primary and secondary research questions and if not relevant was screened out.</w:t>
      </w:r>
    </w:p>
    <w:p w14:paraId="6689D161" w14:textId="18CA9401" w:rsidR="00ED0BF0" w:rsidRPr="00397A3E" w:rsidRDefault="00171C91" w:rsidP="00ED0BF0">
      <w:pPr>
        <w:rPr>
          <w:noProof w:val="0"/>
        </w:rPr>
      </w:pPr>
      <w:r w:rsidRPr="00397A3E">
        <w:rPr>
          <w:noProof w:val="0"/>
        </w:rPr>
        <w:t xml:space="preserve">This process identified 16 documents relevant to the primary and secondary research questions (i.e., </w:t>
      </w:r>
      <w:r w:rsidR="000341EC" w:rsidRPr="00397A3E">
        <w:rPr>
          <w:noProof w:val="0"/>
        </w:rPr>
        <w:t>microbial risks</w:t>
      </w:r>
      <w:r w:rsidRPr="00397A3E">
        <w:rPr>
          <w:noProof w:val="0"/>
        </w:rPr>
        <w:t xml:space="preserve"> in recreational water).  Each of the 16 shortlisted documents was further assessed for eligibility by a full-text quality assessment process described in Section </w:t>
      </w:r>
      <w:r w:rsidR="00502EE7" w:rsidRPr="00397A3E">
        <w:rPr>
          <w:noProof w:val="0"/>
          <w:highlight w:val="yellow"/>
        </w:rPr>
        <w:fldChar w:fldCharType="begin"/>
      </w:r>
      <w:r w:rsidR="00502EE7" w:rsidRPr="00397A3E">
        <w:rPr>
          <w:noProof w:val="0"/>
        </w:rPr>
        <w:instrText xml:space="preserve"> REF _Ref91086040 \r \h </w:instrText>
      </w:r>
      <w:r w:rsidR="00502EE7" w:rsidRPr="00397A3E">
        <w:rPr>
          <w:noProof w:val="0"/>
          <w:highlight w:val="yellow"/>
        </w:rPr>
      </w:r>
      <w:r w:rsidR="00502EE7" w:rsidRPr="00397A3E">
        <w:rPr>
          <w:noProof w:val="0"/>
          <w:highlight w:val="yellow"/>
        </w:rPr>
        <w:fldChar w:fldCharType="separate"/>
      </w:r>
      <w:r w:rsidR="001A0E9F">
        <w:rPr>
          <w:noProof w:val="0"/>
        </w:rPr>
        <w:t>2.5.2.1</w:t>
      </w:r>
      <w:r w:rsidR="00502EE7" w:rsidRPr="00397A3E">
        <w:rPr>
          <w:noProof w:val="0"/>
          <w:highlight w:val="yellow"/>
        </w:rPr>
        <w:fldChar w:fldCharType="end"/>
      </w:r>
      <w:r w:rsidRPr="00397A3E">
        <w:rPr>
          <w:noProof w:val="0"/>
        </w:rPr>
        <w:t xml:space="preserve"> which resulted in 10 documents being screened out on quality grounds.  The final list of 6 </w:t>
      </w:r>
      <w:bookmarkStart w:id="312" w:name="_Hlk91086204"/>
      <w:r w:rsidR="00502EE7" w:rsidRPr="00397A3E">
        <w:rPr>
          <w:noProof w:val="0"/>
        </w:rPr>
        <w:t>grey literature documents</w:t>
      </w:r>
      <w:bookmarkEnd w:id="312"/>
      <w:r w:rsidRPr="00397A3E">
        <w:rPr>
          <w:noProof w:val="0"/>
        </w:rPr>
        <w:t xml:space="preserve"> retained by meeting the </w:t>
      </w:r>
      <w:r w:rsidR="00502EE7" w:rsidRPr="00397A3E">
        <w:rPr>
          <w:noProof w:val="0"/>
        </w:rPr>
        <w:t xml:space="preserve">eligibility </w:t>
      </w:r>
      <w:r w:rsidRPr="00397A3E">
        <w:rPr>
          <w:noProof w:val="0"/>
        </w:rPr>
        <w:t xml:space="preserve">criteria are </w:t>
      </w:r>
      <w:bookmarkEnd w:id="311"/>
      <w:r w:rsidR="00502EE7" w:rsidRPr="00397A3E">
        <w:rPr>
          <w:noProof w:val="0"/>
        </w:rPr>
        <w:t xml:space="preserve">shown in </w:t>
      </w:r>
      <w:r w:rsidR="00502EE7" w:rsidRPr="00397A3E">
        <w:rPr>
          <w:noProof w:val="0"/>
        </w:rPr>
        <w:fldChar w:fldCharType="begin"/>
      </w:r>
      <w:r w:rsidR="00502EE7" w:rsidRPr="00397A3E">
        <w:rPr>
          <w:noProof w:val="0"/>
        </w:rPr>
        <w:instrText xml:space="preserve"> REF _Ref70947379 \h  \* MERGEFORMAT </w:instrText>
      </w:r>
      <w:r w:rsidR="00502EE7" w:rsidRPr="00397A3E">
        <w:rPr>
          <w:noProof w:val="0"/>
        </w:rPr>
      </w:r>
      <w:r w:rsidR="00502EE7" w:rsidRPr="00397A3E">
        <w:rPr>
          <w:noProof w:val="0"/>
        </w:rPr>
        <w:fldChar w:fldCharType="separate"/>
      </w:r>
      <w:r w:rsidR="001A0E9F" w:rsidRPr="00397A3E">
        <w:rPr>
          <w:noProof w:val="0"/>
        </w:rPr>
        <w:t xml:space="preserve">Table </w:t>
      </w:r>
      <w:r w:rsidR="001A0E9F">
        <w:rPr>
          <w:noProof w:val="0"/>
        </w:rPr>
        <w:t>5</w:t>
      </w:r>
      <w:r w:rsidR="001A0E9F">
        <w:rPr>
          <w:noProof w:val="0"/>
        </w:rPr>
        <w:noBreakHyphen/>
        <w:t>1</w:t>
      </w:r>
      <w:r w:rsidR="00502EE7" w:rsidRPr="00397A3E">
        <w:rPr>
          <w:noProof w:val="0"/>
        </w:rPr>
        <w:fldChar w:fldCharType="end"/>
      </w:r>
      <w:r w:rsidR="00502EE7" w:rsidRPr="00397A3E">
        <w:rPr>
          <w:noProof w:val="0"/>
        </w:rPr>
        <w:t>, Section</w:t>
      </w:r>
      <w:r w:rsidR="00F72EAC" w:rsidRPr="00397A3E">
        <w:rPr>
          <w:noProof w:val="0"/>
        </w:rPr>
        <w:t xml:space="preserve"> </w:t>
      </w:r>
      <w:r w:rsidR="00F72EAC" w:rsidRPr="00397A3E">
        <w:rPr>
          <w:noProof w:val="0"/>
        </w:rPr>
        <w:fldChar w:fldCharType="begin"/>
      </w:r>
      <w:r w:rsidR="00F72EAC" w:rsidRPr="00397A3E">
        <w:rPr>
          <w:noProof w:val="0"/>
        </w:rPr>
        <w:instrText xml:space="preserve"> REF _Ref93927725 \r \h  \* MERGEFORMAT </w:instrText>
      </w:r>
      <w:r w:rsidR="00F72EAC" w:rsidRPr="00397A3E">
        <w:rPr>
          <w:noProof w:val="0"/>
        </w:rPr>
      </w:r>
      <w:r w:rsidR="00F72EAC" w:rsidRPr="00397A3E">
        <w:rPr>
          <w:noProof w:val="0"/>
        </w:rPr>
        <w:fldChar w:fldCharType="separate"/>
      </w:r>
      <w:r w:rsidR="001A0E9F">
        <w:rPr>
          <w:noProof w:val="0"/>
        </w:rPr>
        <w:t>5.1</w:t>
      </w:r>
      <w:r w:rsidR="00F72EAC" w:rsidRPr="00397A3E">
        <w:rPr>
          <w:noProof w:val="0"/>
        </w:rPr>
        <w:fldChar w:fldCharType="end"/>
      </w:r>
      <w:r w:rsidR="00502EE7" w:rsidRPr="00397A3E">
        <w:rPr>
          <w:noProof w:val="0"/>
        </w:rPr>
        <w:t>.</w:t>
      </w:r>
    </w:p>
    <w:p w14:paraId="725125C5" w14:textId="78EE8905" w:rsidR="00ED0BF0" w:rsidRPr="00397A3E" w:rsidRDefault="00171C91" w:rsidP="00ED0BF0">
      <w:pPr>
        <w:rPr>
          <w:noProof w:val="0"/>
        </w:rPr>
      </w:pPr>
      <w:r w:rsidRPr="00397A3E">
        <w:rPr>
          <w:noProof w:val="0"/>
        </w:rPr>
        <w:t>The screening process is summarised graphically in</w:t>
      </w:r>
      <w:r w:rsidR="00502EE7" w:rsidRPr="00397A3E">
        <w:rPr>
          <w:noProof w:val="0"/>
        </w:rPr>
        <w:t xml:space="preserve"> </w:t>
      </w:r>
      <w:r w:rsidR="00502EE7" w:rsidRPr="00397A3E">
        <w:rPr>
          <w:noProof w:val="0"/>
        </w:rPr>
        <w:fldChar w:fldCharType="begin"/>
      </w:r>
      <w:r w:rsidR="00502EE7" w:rsidRPr="00397A3E">
        <w:rPr>
          <w:noProof w:val="0"/>
        </w:rPr>
        <w:instrText xml:space="preserve"> REF _Ref70951831 \h  \* MERGEFORMAT </w:instrText>
      </w:r>
      <w:r w:rsidR="00502EE7" w:rsidRPr="00397A3E">
        <w:rPr>
          <w:noProof w:val="0"/>
        </w:rPr>
      </w:r>
      <w:r w:rsidR="00502EE7" w:rsidRPr="00397A3E">
        <w:rPr>
          <w:noProof w:val="0"/>
        </w:rPr>
        <w:fldChar w:fldCharType="separate"/>
      </w:r>
      <w:r w:rsidR="001A0E9F" w:rsidRPr="00397A3E">
        <w:rPr>
          <w:noProof w:val="0"/>
        </w:rPr>
        <w:t xml:space="preserve">Figure </w:t>
      </w:r>
      <w:r w:rsidR="001A0E9F">
        <w:rPr>
          <w:noProof w:val="0"/>
        </w:rPr>
        <w:t>3</w:t>
      </w:r>
      <w:r w:rsidR="001A0E9F" w:rsidRPr="00397A3E">
        <w:rPr>
          <w:noProof w:val="0"/>
        </w:rPr>
        <w:noBreakHyphen/>
      </w:r>
      <w:r w:rsidR="001A0E9F">
        <w:rPr>
          <w:noProof w:val="0"/>
        </w:rPr>
        <w:t>1</w:t>
      </w:r>
      <w:r w:rsidR="00502EE7" w:rsidRPr="00397A3E">
        <w:rPr>
          <w:noProof w:val="0"/>
        </w:rPr>
        <w:fldChar w:fldCharType="end"/>
      </w:r>
      <w:r w:rsidR="00502EE7" w:rsidRPr="00397A3E">
        <w:rPr>
          <w:noProof w:val="0"/>
        </w:rPr>
        <w:t>.</w:t>
      </w:r>
    </w:p>
    <w:p w14:paraId="6D11AF4D" w14:textId="77777777" w:rsidR="007F1300" w:rsidRPr="00397A3E" w:rsidRDefault="00171C91" w:rsidP="007F1300">
      <w:pPr>
        <w:pStyle w:val="Heading2"/>
        <w:rPr>
          <w:noProof w:val="0"/>
        </w:rPr>
      </w:pPr>
      <w:bookmarkStart w:id="313" w:name="_Toc106964824"/>
      <w:r w:rsidRPr="00397A3E">
        <w:rPr>
          <w:noProof w:val="0"/>
        </w:rPr>
        <w:t>Primary studies</w:t>
      </w:r>
      <w:bookmarkEnd w:id="313"/>
    </w:p>
    <w:p w14:paraId="235896A6" w14:textId="77777777" w:rsidR="00104FA3" w:rsidRPr="00397A3E" w:rsidRDefault="00171C91" w:rsidP="001A48CA">
      <w:pPr>
        <w:rPr>
          <w:noProof w:val="0"/>
        </w:rPr>
      </w:pPr>
      <w:bookmarkStart w:id="314" w:name="_Hlk72505659"/>
      <w:r w:rsidRPr="00397A3E">
        <w:rPr>
          <w:noProof w:val="0"/>
        </w:rPr>
        <w:t>Search results by database yielded 7381 citations initially and after removal of duplicates within each database (i.e. Scopus, Web of Science, PubMed) this number was reduced to 3629 citations.  After combining the lists, further removal of citations that were duplicated between the databases brought the number of citations down to 256</w:t>
      </w:r>
      <w:bookmarkEnd w:id="314"/>
      <w:r w:rsidRPr="00397A3E">
        <w:rPr>
          <w:noProof w:val="0"/>
        </w:rPr>
        <w:t xml:space="preserve">3. Text recognition script in the programming language, R, was used to identify duplicates at this stage, although some duplicate records remained due to minor character differences that the script was not able to detect. These duplicates were removed in later screening using Excel tools.  </w:t>
      </w:r>
    </w:p>
    <w:p w14:paraId="1E4DA78D" w14:textId="2E2D4701" w:rsidR="00104FA3" w:rsidRPr="00397A3E" w:rsidRDefault="00171C91" w:rsidP="001A48CA">
      <w:pPr>
        <w:rPr>
          <w:noProof w:val="0"/>
        </w:rPr>
      </w:pPr>
      <w:r w:rsidRPr="00397A3E">
        <w:rPr>
          <w:noProof w:val="0"/>
        </w:rPr>
        <w:t xml:space="preserve">The combined list of citations from the literature search, after removal of duplicates was subjected to an iterative screening process via a number of steps. The first steps involved screening titles for relevancy and exclusion of non-OECD citations.  At this stage, an additional 29 citations were added from lists supplied by the </w:t>
      </w:r>
      <w:r w:rsidR="00E441DE" w:rsidRPr="00397A3E">
        <w:rPr>
          <w:noProof w:val="0"/>
        </w:rPr>
        <w:t>Committee</w:t>
      </w:r>
      <w:r w:rsidRPr="00397A3E">
        <w:rPr>
          <w:noProof w:val="0"/>
        </w:rPr>
        <w:t xml:space="preserve">.  </w:t>
      </w:r>
      <w:r w:rsidR="001C3846" w:rsidRPr="00397A3E">
        <w:rPr>
          <w:noProof w:val="0"/>
        </w:rPr>
        <w:t xml:space="preserve">These steps left 349 citations for </w:t>
      </w:r>
      <w:r w:rsidRPr="00397A3E">
        <w:rPr>
          <w:noProof w:val="0"/>
        </w:rPr>
        <w:t xml:space="preserve">screening </w:t>
      </w:r>
      <w:r w:rsidR="001C3846" w:rsidRPr="00397A3E">
        <w:rPr>
          <w:noProof w:val="0"/>
        </w:rPr>
        <w:t>via</w:t>
      </w:r>
      <w:r w:rsidR="003B70F2" w:rsidRPr="00397A3E">
        <w:rPr>
          <w:noProof w:val="0"/>
        </w:rPr>
        <w:t>;</w:t>
      </w:r>
      <w:r w:rsidRPr="00397A3E">
        <w:rPr>
          <w:noProof w:val="0"/>
        </w:rPr>
        <w:t xml:space="preserve"> </w:t>
      </w:r>
      <w:r w:rsidR="001C3846" w:rsidRPr="00397A3E">
        <w:rPr>
          <w:noProof w:val="0"/>
        </w:rPr>
        <w:t xml:space="preserve">(i) </w:t>
      </w:r>
      <w:r w:rsidRPr="00397A3E">
        <w:rPr>
          <w:noProof w:val="0"/>
        </w:rPr>
        <w:t>removal of non-Australian studies that were cited in the key reviews</w:t>
      </w:r>
      <w:r w:rsidR="001C3846" w:rsidRPr="00397A3E">
        <w:rPr>
          <w:noProof w:val="0"/>
        </w:rPr>
        <w:t>;</w:t>
      </w:r>
      <w:r w:rsidRPr="00397A3E">
        <w:rPr>
          <w:noProof w:val="0"/>
        </w:rPr>
        <w:t xml:space="preserve"> </w:t>
      </w:r>
      <w:r w:rsidR="001C3846" w:rsidRPr="00397A3E">
        <w:rPr>
          <w:noProof w:val="0"/>
        </w:rPr>
        <w:t>(ii)</w:t>
      </w:r>
      <w:r w:rsidRPr="00397A3E">
        <w:rPr>
          <w:noProof w:val="0"/>
        </w:rPr>
        <w:t xml:space="preserve"> </w:t>
      </w:r>
      <w:r w:rsidR="003B70F2" w:rsidRPr="00397A3E">
        <w:rPr>
          <w:noProof w:val="0"/>
        </w:rPr>
        <w:t>removal of</w:t>
      </w:r>
      <w:r w:rsidRPr="00397A3E">
        <w:rPr>
          <w:noProof w:val="0"/>
        </w:rPr>
        <w:t xml:space="preserve"> non-Australian studies addressing a topic explicitly addressed in the key reviews</w:t>
      </w:r>
      <w:r w:rsidR="001C3846" w:rsidRPr="00397A3E">
        <w:rPr>
          <w:noProof w:val="0"/>
        </w:rPr>
        <w:t xml:space="preserve">, or </w:t>
      </w:r>
      <w:r w:rsidR="003B70F2" w:rsidRPr="00397A3E">
        <w:rPr>
          <w:noProof w:val="0"/>
        </w:rPr>
        <w:t xml:space="preserve">(iii) assessment of abstracts gave other reasons for exclusion (e.g. obsolete methods, out of scope etc. see section 3.2.1 of the Technical Report </w:t>
      </w:r>
      <w:r w:rsidR="00622966">
        <w:rPr>
          <w:bCs/>
          <w:noProof w:val="0"/>
        </w:rPr>
        <w:fldChar w:fldCharType="begin"/>
      </w:r>
      <w:r w:rsidR="00F65EDC">
        <w:rPr>
          <w:bCs/>
          <w:noProof w:val="0"/>
        </w:rPr>
        <w:instrText xml:space="preserve"> ADDIN ZOTERO_ITEM CSL_CITATION {"citationID":"FIGZhgZO","properties":{"formattedCitation":"(O\\uc0\\u8217{}Connor, 2022)","plainCitation":"(O’Connor, 2022)","noteIndex":0},"citationItems":[{"id":17799,"uris":["http://zotero.org/users/148142/items/2LMPM2CQ"],"uri":["http://zotero.org/users/148142/items/2LMPM2CQ"],"itemData":{"id":17799,"type":"report","title":"Technical Report for Narrative Reviews in support of NHMRC Recreational Water Quality Guidelines: Microbial Risks. DRAFT. Ecos Environmental Consulting, February 2022","author":[{"family":"O'Connor","given":"N.A."}],"issued":{"date-parts":[["2022",2]]}}}],"schema":"https://github.com/citation-style-language/schema/raw/master/csl-citation.json"} </w:instrText>
      </w:r>
      <w:r w:rsidR="00622966">
        <w:rPr>
          <w:bCs/>
          <w:noProof w:val="0"/>
        </w:rPr>
        <w:fldChar w:fldCharType="separate"/>
      </w:r>
      <w:r w:rsidR="00F65EDC" w:rsidRPr="00F65EDC">
        <w:rPr>
          <w:rFonts w:cs="Arial"/>
        </w:rPr>
        <w:t>(O’Connor, 2022)</w:t>
      </w:r>
      <w:r w:rsidR="00622966">
        <w:rPr>
          <w:bCs/>
          <w:noProof w:val="0"/>
        </w:rPr>
        <w:fldChar w:fldCharType="end"/>
      </w:r>
      <w:r w:rsidR="00622966">
        <w:rPr>
          <w:bCs/>
          <w:noProof w:val="0"/>
        </w:rPr>
        <w:t xml:space="preserve"> </w:t>
      </w:r>
      <w:r w:rsidR="003B70F2" w:rsidRPr="00397A3E">
        <w:rPr>
          <w:noProof w:val="0"/>
        </w:rPr>
        <w:t xml:space="preserve">for details). </w:t>
      </w:r>
    </w:p>
    <w:p w14:paraId="5A7F21AB" w14:textId="670DA3DD" w:rsidR="007F1300" w:rsidRPr="00397A3E" w:rsidRDefault="00171C91" w:rsidP="007F1300">
      <w:pPr>
        <w:rPr>
          <w:noProof w:val="0"/>
        </w:rPr>
      </w:pPr>
      <w:r w:rsidRPr="00397A3E">
        <w:rPr>
          <w:noProof w:val="0"/>
        </w:rPr>
        <w:t xml:space="preserve">After screening, </w:t>
      </w:r>
      <w:r w:rsidR="00104FA3" w:rsidRPr="00397A3E">
        <w:rPr>
          <w:noProof w:val="0"/>
        </w:rPr>
        <w:t>42</w:t>
      </w:r>
      <w:r w:rsidRPr="00397A3E">
        <w:rPr>
          <w:noProof w:val="0"/>
        </w:rPr>
        <w:t xml:space="preserve"> full text articles were assessed for eligibility (see Section </w:t>
      </w:r>
      <w:r w:rsidR="003B70F2" w:rsidRPr="00397A3E">
        <w:rPr>
          <w:noProof w:val="0"/>
        </w:rPr>
        <w:fldChar w:fldCharType="begin"/>
      </w:r>
      <w:r w:rsidR="003B70F2" w:rsidRPr="00397A3E">
        <w:rPr>
          <w:noProof w:val="0"/>
        </w:rPr>
        <w:instrText xml:space="preserve"> REF _Ref71819937 \r \h </w:instrText>
      </w:r>
      <w:r w:rsidR="003B70F2" w:rsidRPr="00397A3E">
        <w:rPr>
          <w:noProof w:val="0"/>
        </w:rPr>
      </w:r>
      <w:r w:rsidR="003B70F2" w:rsidRPr="00397A3E">
        <w:rPr>
          <w:noProof w:val="0"/>
        </w:rPr>
        <w:fldChar w:fldCharType="separate"/>
      </w:r>
      <w:r w:rsidR="001A0E9F">
        <w:rPr>
          <w:noProof w:val="0"/>
        </w:rPr>
        <w:t>1.1</w:t>
      </w:r>
      <w:r w:rsidR="003B70F2" w:rsidRPr="00397A3E">
        <w:rPr>
          <w:noProof w:val="0"/>
        </w:rPr>
        <w:fldChar w:fldCharType="end"/>
      </w:r>
      <w:r w:rsidRPr="00397A3E">
        <w:rPr>
          <w:noProof w:val="0"/>
        </w:rPr>
        <w:t xml:space="preserve">) of which </w:t>
      </w:r>
      <w:r w:rsidR="00104FA3" w:rsidRPr="00397A3E">
        <w:rPr>
          <w:noProof w:val="0"/>
        </w:rPr>
        <w:t>29</w:t>
      </w:r>
      <w:r w:rsidRPr="00397A3E">
        <w:rPr>
          <w:noProof w:val="0"/>
        </w:rPr>
        <w:t xml:space="preserve"> were excluded on </w:t>
      </w:r>
      <w:r w:rsidR="00214726">
        <w:rPr>
          <w:noProof w:val="0"/>
        </w:rPr>
        <w:t>the basis of quality</w:t>
      </w:r>
      <w:r w:rsidRPr="00397A3E">
        <w:rPr>
          <w:noProof w:val="0"/>
        </w:rPr>
        <w:t xml:space="preserve">. A description of the stepwise screening process is summarised graphically in </w:t>
      </w:r>
      <w:r w:rsidRPr="00397A3E">
        <w:rPr>
          <w:noProof w:val="0"/>
        </w:rPr>
        <w:fldChar w:fldCharType="begin"/>
      </w:r>
      <w:r w:rsidRPr="00397A3E">
        <w:rPr>
          <w:noProof w:val="0"/>
        </w:rPr>
        <w:instrText xml:space="preserve"> REF _Ref70940740 \h </w:instrText>
      </w:r>
      <w:r w:rsidRPr="00397A3E">
        <w:rPr>
          <w:noProof w:val="0"/>
        </w:rPr>
      </w:r>
      <w:r w:rsidRPr="00397A3E">
        <w:rPr>
          <w:noProof w:val="0"/>
        </w:rPr>
        <w:fldChar w:fldCharType="separate"/>
      </w:r>
      <w:r w:rsidR="001A0E9F" w:rsidRPr="00397A3E">
        <w:rPr>
          <w:noProof w:val="0"/>
        </w:rPr>
        <w:t xml:space="preserve">Figure </w:t>
      </w:r>
      <w:r w:rsidR="001A0E9F">
        <w:t>3</w:t>
      </w:r>
      <w:r w:rsidR="001A0E9F" w:rsidRPr="00397A3E">
        <w:rPr>
          <w:noProof w:val="0"/>
        </w:rPr>
        <w:noBreakHyphen/>
      </w:r>
      <w:r w:rsidR="001A0E9F">
        <w:t>2</w:t>
      </w:r>
      <w:r w:rsidRPr="00397A3E">
        <w:rPr>
          <w:noProof w:val="0"/>
        </w:rPr>
        <w:fldChar w:fldCharType="end"/>
      </w:r>
      <w:r w:rsidRPr="00397A3E">
        <w:rPr>
          <w:noProof w:val="0"/>
        </w:rPr>
        <w:t xml:space="preserve">. </w:t>
      </w:r>
    </w:p>
    <w:p w14:paraId="710522B7" w14:textId="77777777" w:rsidR="007F1300" w:rsidRPr="00397A3E" w:rsidRDefault="007F1300" w:rsidP="0079773D">
      <w:pPr>
        <w:rPr>
          <w:noProof w:val="0"/>
        </w:rPr>
      </w:pPr>
    </w:p>
    <w:p w14:paraId="1CCB3D91" w14:textId="1E5865D2" w:rsidR="0093386C" w:rsidRPr="00397A3E" w:rsidRDefault="00171C91" w:rsidP="00D95B6A">
      <w:pPr>
        <w:rPr>
          <w:noProof w:val="0"/>
        </w:rPr>
      </w:pPr>
      <w:r w:rsidRPr="00397A3E">
        <w:drawing>
          <wp:inline distT="0" distB="0" distL="0" distR="0" wp14:anchorId="3A0C7A21" wp14:editId="0BB61F2E">
            <wp:extent cx="5270500" cy="6823997"/>
            <wp:effectExtent l="0" t="0" r="635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Diagram&#10;&#10;Description automatically generated"/>
                    <pic:cNvPicPr/>
                  </pic:nvPicPr>
                  <pic:blipFill>
                    <a:blip r:embed="rId19"/>
                    <a:stretch>
                      <a:fillRect/>
                    </a:stretch>
                  </pic:blipFill>
                  <pic:spPr>
                    <a:xfrm>
                      <a:off x="0" y="0"/>
                      <a:ext cx="5279642" cy="6835833"/>
                    </a:xfrm>
                    <a:prstGeom prst="rect">
                      <a:avLst/>
                    </a:prstGeom>
                  </pic:spPr>
                </pic:pic>
              </a:graphicData>
            </a:graphic>
          </wp:inline>
        </w:drawing>
      </w:r>
    </w:p>
    <w:p w14:paraId="11AB7C77" w14:textId="228FBEB0" w:rsidR="00D95B6A" w:rsidRPr="00397A3E" w:rsidRDefault="00171C91" w:rsidP="00A413FE">
      <w:pPr>
        <w:pStyle w:val="Caption"/>
        <w:spacing w:before="0" w:after="0" w:line="240" w:lineRule="auto"/>
        <w:rPr>
          <w:noProof w:val="0"/>
        </w:rPr>
      </w:pPr>
      <w:bookmarkStart w:id="315" w:name="_Ref70951831"/>
      <w:bookmarkStart w:id="316" w:name="_Toc71717476"/>
      <w:bookmarkStart w:id="317" w:name="_Toc106964878"/>
      <w:r w:rsidRPr="00397A3E">
        <w:rPr>
          <w:noProof w:val="0"/>
        </w:rPr>
        <w:t xml:space="preserve">Figure </w:t>
      </w:r>
      <w:r w:rsidR="008B274C" w:rsidRPr="00397A3E">
        <w:rPr>
          <w:noProof w:val="0"/>
        </w:rPr>
        <w:fldChar w:fldCharType="begin"/>
      </w:r>
      <w:r w:rsidR="008B274C" w:rsidRPr="00397A3E">
        <w:rPr>
          <w:noProof w:val="0"/>
        </w:rPr>
        <w:instrText xml:space="preserve"> STYLEREF 1 \s </w:instrText>
      </w:r>
      <w:r w:rsidR="008B274C" w:rsidRPr="00397A3E">
        <w:rPr>
          <w:noProof w:val="0"/>
        </w:rPr>
        <w:fldChar w:fldCharType="separate"/>
      </w:r>
      <w:r w:rsidR="001A0E9F">
        <w:t>3</w:t>
      </w:r>
      <w:r w:rsidR="008B274C" w:rsidRPr="00397A3E">
        <w:rPr>
          <w:noProof w:val="0"/>
        </w:rPr>
        <w:fldChar w:fldCharType="end"/>
      </w:r>
      <w:r w:rsidRPr="00397A3E">
        <w:rPr>
          <w:noProof w:val="0"/>
        </w:rPr>
        <w:noBreakHyphen/>
      </w:r>
      <w:r w:rsidR="008B274C" w:rsidRPr="00397A3E">
        <w:rPr>
          <w:noProof w:val="0"/>
        </w:rPr>
        <w:fldChar w:fldCharType="begin"/>
      </w:r>
      <w:r w:rsidR="008B274C" w:rsidRPr="00397A3E">
        <w:rPr>
          <w:noProof w:val="0"/>
        </w:rPr>
        <w:instrText xml:space="preserve"> SEQ Figure \* ARABIC \s 1 </w:instrText>
      </w:r>
      <w:r w:rsidR="008B274C" w:rsidRPr="00397A3E">
        <w:rPr>
          <w:noProof w:val="0"/>
        </w:rPr>
        <w:fldChar w:fldCharType="separate"/>
      </w:r>
      <w:r w:rsidR="001A0E9F">
        <w:t>1</w:t>
      </w:r>
      <w:r w:rsidR="008B274C" w:rsidRPr="00397A3E">
        <w:rPr>
          <w:noProof w:val="0"/>
        </w:rPr>
        <w:fldChar w:fldCharType="end"/>
      </w:r>
      <w:bookmarkEnd w:id="315"/>
      <w:r w:rsidRPr="00397A3E">
        <w:rPr>
          <w:noProof w:val="0"/>
        </w:rPr>
        <w:t xml:space="preserve">.  PRISMA summary of the citation review process for </w:t>
      </w:r>
      <w:bookmarkEnd w:id="316"/>
      <w:r w:rsidR="00523A91">
        <w:rPr>
          <w:noProof w:val="0"/>
        </w:rPr>
        <w:t>g</w:t>
      </w:r>
      <w:r w:rsidR="003B70F2" w:rsidRPr="00397A3E">
        <w:rPr>
          <w:noProof w:val="0"/>
        </w:rPr>
        <w:t xml:space="preserve">rey </w:t>
      </w:r>
      <w:r w:rsidR="00523A91">
        <w:rPr>
          <w:noProof w:val="0"/>
        </w:rPr>
        <w:t>l</w:t>
      </w:r>
      <w:r w:rsidR="003B70F2" w:rsidRPr="00397A3E">
        <w:rPr>
          <w:noProof w:val="0"/>
        </w:rPr>
        <w:t>itera</w:t>
      </w:r>
      <w:r w:rsidR="00A73DE4" w:rsidRPr="00397A3E">
        <w:rPr>
          <w:noProof w:val="0"/>
        </w:rPr>
        <w:t>ture</w:t>
      </w:r>
      <w:bookmarkEnd w:id="317"/>
    </w:p>
    <w:p w14:paraId="26601171" w14:textId="014C14EE" w:rsidR="00FC5763" w:rsidRPr="00397A3E" w:rsidRDefault="00171C91" w:rsidP="00FC5763">
      <w:pPr>
        <w:keepNext/>
        <w:rPr>
          <w:noProof w:val="0"/>
        </w:rPr>
      </w:pPr>
      <w:r w:rsidRPr="00397A3E">
        <w:rPr>
          <w:noProof w:val="0"/>
        </w:rPr>
        <w:t xml:space="preserve">.  </w:t>
      </w:r>
      <w:r w:rsidR="00442109" w:rsidRPr="00442109">
        <w:drawing>
          <wp:inline distT="0" distB="0" distL="0" distR="0" wp14:anchorId="5AC5B76F" wp14:editId="6864DB6E">
            <wp:extent cx="4859655" cy="7343775"/>
            <wp:effectExtent l="0" t="0" r="0" b="952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0"/>
                    <a:stretch>
                      <a:fillRect/>
                    </a:stretch>
                  </pic:blipFill>
                  <pic:spPr>
                    <a:xfrm>
                      <a:off x="0" y="0"/>
                      <a:ext cx="4859655" cy="7343775"/>
                    </a:xfrm>
                    <a:prstGeom prst="rect">
                      <a:avLst/>
                    </a:prstGeom>
                  </pic:spPr>
                </pic:pic>
              </a:graphicData>
            </a:graphic>
          </wp:inline>
        </w:drawing>
      </w:r>
    </w:p>
    <w:p w14:paraId="4E89F404" w14:textId="220F405C" w:rsidR="00FC5763" w:rsidRPr="00397A3E" w:rsidRDefault="00171C91" w:rsidP="00FC5763">
      <w:pPr>
        <w:pStyle w:val="Caption"/>
        <w:rPr>
          <w:noProof w:val="0"/>
        </w:rPr>
      </w:pPr>
      <w:bookmarkStart w:id="318" w:name="_Ref70940740"/>
      <w:bookmarkStart w:id="319" w:name="_Toc71717477"/>
      <w:bookmarkStart w:id="320" w:name="_Toc106964879"/>
      <w:r w:rsidRPr="00397A3E">
        <w:rPr>
          <w:noProof w:val="0"/>
        </w:rPr>
        <w:t xml:space="preserve">Figure </w:t>
      </w:r>
      <w:r w:rsidR="008B274C" w:rsidRPr="00397A3E">
        <w:rPr>
          <w:noProof w:val="0"/>
        </w:rPr>
        <w:fldChar w:fldCharType="begin"/>
      </w:r>
      <w:r w:rsidR="008B274C" w:rsidRPr="00397A3E">
        <w:rPr>
          <w:noProof w:val="0"/>
        </w:rPr>
        <w:instrText xml:space="preserve"> STYLEREF 1 \s </w:instrText>
      </w:r>
      <w:r w:rsidR="008B274C" w:rsidRPr="00397A3E">
        <w:rPr>
          <w:noProof w:val="0"/>
        </w:rPr>
        <w:fldChar w:fldCharType="separate"/>
      </w:r>
      <w:r w:rsidR="001A0E9F">
        <w:t>3</w:t>
      </w:r>
      <w:r w:rsidR="008B274C" w:rsidRPr="00397A3E">
        <w:rPr>
          <w:noProof w:val="0"/>
        </w:rPr>
        <w:fldChar w:fldCharType="end"/>
      </w:r>
      <w:r w:rsidRPr="00397A3E">
        <w:rPr>
          <w:noProof w:val="0"/>
        </w:rPr>
        <w:noBreakHyphen/>
      </w:r>
      <w:r w:rsidR="008B274C" w:rsidRPr="00397A3E">
        <w:rPr>
          <w:noProof w:val="0"/>
        </w:rPr>
        <w:fldChar w:fldCharType="begin"/>
      </w:r>
      <w:r w:rsidR="008B274C" w:rsidRPr="00397A3E">
        <w:rPr>
          <w:noProof w:val="0"/>
        </w:rPr>
        <w:instrText xml:space="preserve"> SEQ Figure \* ARABIC \s 1 </w:instrText>
      </w:r>
      <w:r w:rsidR="008B274C" w:rsidRPr="00397A3E">
        <w:rPr>
          <w:noProof w:val="0"/>
        </w:rPr>
        <w:fldChar w:fldCharType="separate"/>
      </w:r>
      <w:r w:rsidR="001A0E9F">
        <w:t>2</w:t>
      </w:r>
      <w:r w:rsidR="008B274C" w:rsidRPr="00397A3E">
        <w:rPr>
          <w:noProof w:val="0"/>
        </w:rPr>
        <w:fldChar w:fldCharType="end"/>
      </w:r>
      <w:bookmarkEnd w:id="318"/>
      <w:r w:rsidRPr="00397A3E">
        <w:rPr>
          <w:noProof w:val="0"/>
        </w:rPr>
        <w:t xml:space="preserve">.  </w:t>
      </w:r>
      <w:bookmarkStart w:id="321" w:name="_Hlk70951131"/>
      <w:r w:rsidRPr="00397A3E">
        <w:rPr>
          <w:noProof w:val="0"/>
        </w:rPr>
        <w:t xml:space="preserve">PRISMA summary of the citation review process for </w:t>
      </w:r>
      <w:r w:rsidR="00D95421">
        <w:rPr>
          <w:noProof w:val="0"/>
        </w:rPr>
        <w:t>p</w:t>
      </w:r>
      <w:r w:rsidR="003B70F2" w:rsidRPr="00397A3E">
        <w:rPr>
          <w:noProof w:val="0"/>
        </w:rPr>
        <w:t xml:space="preserve">rimary </w:t>
      </w:r>
      <w:r w:rsidR="00D95421">
        <w:rPr>
          <w:noProof w:val="0"/>
        </w:rPr>
        <w:t>s</w:t>
      </w:r>
      <w:r w:rsidR="003B70F2" w:rsidRPr="00397A3E">
        <w:rPr>
          <w:noProof w:val="0"/>
        </w:rPr>
        <w:t>tudies</w:t>
      </w:r>
      <w:bookmarkEnd w:id="319"/>
      <w:bookmarkEnd w:id="320"/>
      <w:bookmarkEnd w:id="321"/>
    </w:p>
    <w:p w14:paraId="7E6BF637" w14:textId="72A432F6" w:rsidR="00DE7DC7" w:rsidRPr="00397A3E" w:rsidRDefault="00171C91" w:rsidP="005B5AEC">
      <w:pPr>
        <w:pStyle w:val="Heading1"/>
        <w:pageBreakBefore w:val="0"/>
        <w:rPr>
          <w:noProof w:val="0"/>
        </w:rPr>
      </w:pPr>
      <w:bookmarkStart w:id="322" w:name="_Toc106964825"/>
      <w:r w:rsidRPr="00397A3E">
        <w:rPr>
          <w:noProof w:val="0"/>
        </w:rPr>
        <w:t>Quality of evidence</w:t>
      </w:r>
      <w:bookmarkEnd w:id="322"/>
    </w:p>
    <w:p w14:paraId="6C716196" w14:textId="58D15761" w:rsidR="00823F91" w:rsidRPr="00397A3E" w:rsidRDefault="00171C91" w:rsidP="00D95B6A">
      <w:pPr>
        <w:pStyle w:val="Heading2"/>
        <w:rPr>
          <w:noProof w:val="0"/>
        </w:rPr>
      </w:pPr>
      <w:bookmarkStart w:id="323" w:name="_Toc106964826"/>
      <w:r w:rsidRPr="00397A3E">
        <w:rPr>
          <w:noProof w:val="0"/>
        </w:rPr>
        <w:t>Grey literature</w:t>
      </w:r>
      <w:bookmarkEnd w:id="323"/>
    </w:p>
    <w:p w14:paraId="732DC064" w14:textId="233457F7" w:rsidR="00823F91" w:rsidRPr="00397A3E" w:rsidRDefault="00171C91" w:rsidP="00823F91">
      <w:pPr>
        <w:pStyle w:val="Heading3"/>
        <w:rPr>
          <w:noProof w:val="0"/>
          <w:color w:val="auto"/>
        </w:rPr>
      </w:pPr>
      <w:bookmarkStart w:id="324" w:name="_Toc106964827"/>
      <w:r w:rsidRPr="00397A3E">
        <w:rPr>
          <w:noProof w:val="0"/>
          <w:color w:val="auto"/>
        </w:rPr>
        <w:t>Quality</w:t>
      </w:r>
      <w:r w:rsidR="0093386C" w:rsidRPr="00397A3E">
        <w:rPr>
          <w:noProof w:val="0"/>
          <w:color w:val="auto"/>
        </w:rPr>
        <w:t xml:space="preserve"> of included </w:t>
      </w:r>
      <w:r w:rsidR="00B90990" w:rsidRPr="00397A3E">
        <w:rPr>
          <w:noProof w:val="0"/>
          <w:color w:val="auto"/>
        </w:rPr>
        <w:t>grey literature</w:t>
      </w:r>
      <w:bookmarkEnd w:id="324"/>
    </w:p>
    <w:p w14:paraId="2A567506" w14:textId="61CEC7B4" w:rsidR="00914AD8" w:rsidRDefault="00171C91" w:rsidP="0093386C">
      <w:pPr>
        <w:rPr>
          <w:noProof w:val="0"/>
        </w:rPr>
      </w:pPr>
      <w:r>
        <w:rPr>
          <w:noProof w:val="0"/>
        </w:rPr>
        <w:t>Out of 16 grey literature documents identified from the literature search or suggested by the Committee, six were found to be relevant to answering the research questions</w:t>
      </w:r>
      <w:r w:rsidR="00A742E7">
        <w:rPr>
          <w:noProof w:val="0"/>
        </w:rPr>
        <w:t xml:space="preserve"> and</w:t>
      </w:r>
      <w:r w:rsidR="00FD7D32">
        <w:rPr>
          <w:noProof w:val="0"/>
        </w:rPr>
        <w:t xml:space="preserve"> were</w:t>
      </w:r>
      <w:r w:rsidR="00A742E7">
        <w:rPr>
          <w:noProof w:val="0"/>
        </w:rPr>
        <w:t xml:space="preserve"> inclu</w:t>
      </w:r>
      <w:r w:rsidR="00FD7D32">
        <w:rPr>
          <w:noProof w:val="0"/>
        </w:rPr>
        <w:t>ded</w:t>
      </w:r>
      <w:r w:rsidR="00A742E7">
        <w:rPr>
          <w:noProof w:val="0"/>
        </w:rPr>
        <w:t xml:space="preserve"> in the final synthesis. They were also found</w:t>
      </w:r>
      <w:r>
        <w:rPr>
          <w:noProof w:val="0"/>
        </w:rPr>
        <w:t xml:space="preserve"> suitable for</w:t>
      </w:r>
      <w:r w:rsidR="00A742E7">
        <w:rPr>
          <w:noProof w:val="0"/>
        </w:rPr>
        <w:t xml:space="preserve"> potential adoption/adaption </w:t>
      </w:r>
      <w:r>
        <w:rPr>
          <w:noProof w:val="0"/>
        </w:rPr>
        <w:t>based on their administrative and technical processes</w:t>
      </w:r>
      <w:r w:rsidR="00F178D7">
        <w:rPr>
          <w:noProof w:val="0"/>
        </w:rPr>
        <w:t xml:space="preserve"> (</w:t>
      </w:r>
      <w:r w:rsidR="00EF420A">
        <w:rPr>
          <w:noProof w:val="0"/>
        </w:rPr>
        <w:fldChar w:fldCharType="begin"/>
      </w:r>
      <w:r w:rsidR="00EF420A">
        <w:rPr>
          <w:noProof w:val="0"/>
        </w:rPr>
        <w:instrText xml:space="preserve"> REF _Ref106958331 \h </w:instrText>
      </w:r>
      <w:r w:rsidR="00EF420A">
        <w:rPr>
          <w:noProof w:val="0"/>
        </w:rPr>
      </w:r>
      <w:r w:rsidR="00EF420A">
        <w:rPr>
          <w:noProof w:val="0"/>
        </w:rPr>
        <w:fldChar w:fldCharType="separate"/>
      </w:r>
      <w:r w:rsidR="001A0E9F">
        <w:t>Table</w:t>
      </w:r>
      <w:r w:rsidR="00EF420A">
        <w:rPr>
          <w:noProof w:val="0"/>
        </w:rPr>
        <w:fldChar w:fldCharType="end"/>
      </w:r>
      <w:r w:rsidR="00EF420A">
        <w:rPr>
          <w:noProof w:val="0"/>
        </w:rPr>
        <w:t xml:space="preserve"> 4.1</w:t>
      </w:r>
      <w:r w:rsidR="00F178D7">
        <w:rPr>
          <w:noProof w:val="0"/>
        </w:rPr>
        <w:t xml:space="preserve">). </w:t>
      </w:r>
      <w:r>
        <w:rPr>
          <w:noProof w:val="0"/>
        </w:rPr>
        <w:t xml:space="preserve"> Full details on the c</w:t>
      </w:r>
      <w:r w:rsidR="008B4FA2" w:rsidRPr="00397A3E">
        <w:rPr>
          <w:noProof w:val="0"/>
        </w:rPr>
        <w:t xml:space="preserve">ompleted quality assessment forms for the </w:t>
      </w:r>
      <w:r w:rsidR="00CA530A">
        <w:rPr>
          <w:noProof w:val="0"/>
        </w:rPr>
        <w:t>six</w:t>
      </w:r>
      <w:r w:rsidR="00CA530A" w:rsidRPr="00397A3E">
        <w:rPr>
          <w:noProof w:val="0"/>
        </w:rPr>
        <w:t xml:space="preserve"> </w:t>
      </w:r>
      <w:r w:rsidR="00B90990" w:rsidRPr="00397A3E">
        <w:rPr>
          <w:noProof w:val="0"/>
        </w:rPr>
        <w:t>grey literature</w:t>
      </w:r>
      <w:r w:rsidR="00305DB6" w:rsidRPr="00397A3E">
        <w:rPr>
          <w:noProof w:val="0"/>
        </w:rPr>
        <w:t xml:space="preserve"> documents considered eligible for inclusion in the final </w:t>
      </w:r>
      <w:r w:rsidR="008B4FA2" w:rsidRPr="00397A3E">
        <w:rPr>
          <w:noProof w:val="0"/>
        </w:rPr>
        <w:t>synthesis</w:t>
      </w:r>
      <w:r w:rsidR="00305DB6" w:rsidRPr="00397A3E">
        <w:rPr>
          <w:noProof w:val="0"/>
        </w:rPr>
        <w:t xml:space="preserve"> </w:t>
      </w:r>
      <w:r w:rsidR="008B4FA2" w:rsidRPr="00397A3E">
        <w:rPr>
          <w:noProof w:val="0"/>
        </w:rPr>
        <w:t>can be found in Section 5 of the Technical Report</w:t>
      </w:r>
      <w:r w:rsidR="00364214">
        <w:rPr>
          <w:noProof w:val="0"/>
        </w:rPr>
        <w:t xml:space="preserve"> </w:t>
      </w:r>
      <w:r w:rsidR="00364214">
        <w:rPr>
          <w:noProof w:val="0"/>
        </w:rPr>
        <w:fldChar w:fldCharType="begin"/>
      </w:r>
      <w:r w:rsidR="00364214">
        <w:rPr>
          <w:noProof w:val="0"/>
        </w:rPr>
        <w:instrText xml:space="preserve"> ADDIN ZOTERO_ITEM CSL_CITATION {"citationID":"WmpBe8dW","properties":{"formattedCitation":"(O\\uc0\\u8217{}Connor, 2022)","plainCitation":"(O’Connor, 2022)","noteIndex":0},"citationItems":[{"id":17799,"uris":["http://zotero.org/users/148142/items/2LMPM2CQ"],"uri":["http://zotero.org/users/148142/items/2LMPM2CQ"],"itemData":{"id":17799,"type":"report","title":"Technical Report for Narrative Reviews in support of NHMRC Recreational Water Quality Guidelines: Microbial Risks. DRAFT. Ecos Environmental Consulting, February 2022","author":[{"family":"O'Connor","given":"N.A."}],"issued":{"date-parts":[["2022",2]]}}}],"schema":"https://github.com/citation-style-language/schema/raw/master/csl-citation.json"} </w:instrText>
      </w:r>
      <w:r w:rsidR="00364214">
        <w:rPr>
          <w:noProof w:val="0"/>
        </w:rPr>
        <w:fldChar w:fldCharType="separate"/>
      </w:r>
      <w:r w:rsidR="00364214" w:rsidRPr="00364214">
        <w:rPr>
          <w:rFonts w:cs="Arial"/>
        </w:rPr>
        <w:t>(O’Connor, 2022)</w:t>
      </w:r>
      <w:r w:rsidR="00364214">
        <w:rPr>
          <w:noProof w:val="0"/>
        </w:rPr>
        <w:fldChar w:fldCharType="end"/>
      </w:r>
      <w:r w:rsidR="008B4FA2" w:rsidRPr="00397A3E">
        <w:rPr>
          <w:noProof w:val="0"/>
        </w:rPr>
        <w:t xml:space="preserve">. </w:t>
      </w:r>
    </w:p>
    <w:p w14:paraId="6296BEFB" w14:textId="430AA0AF" w:rsidR="007C0E46" w:rsidRDefault="00171C91" w:rsidP="0093386C">
      <w:pPr>
        <w:rPr>
          <w:noProof w:val="0"/>
        </w:rPr>
      </w:pPr>
      <w:r w:rsidRPr="00397A3E">
        <w:rPr>
          <w:noProof w:val="0"/>
        </w:rPr>
        <w:t xml:space="preserve">When measured for compliance with the </w:t>
      </w:r>
      <w:r w:rsidR="007643E3">
        <w:rPr>
          <w:noProof w:val="0"/>
        </w:rPr>
        <w:t xml:space="preserve">administrative and technical </w:t>
      </w:r>
      <w:r w:rsidRPr="00397A3E">
        <w:rPr>
          <w:noProof w:val="0"/>
        </w:rPr>
        <w:t>assessment criteria</w:t>
      </w:r>
      <w:r w:rsidR="004F4315">
        <w:rPr>
          <w:noProof w:val="0"/>
        </w:rPr>
        <w:t xml:space="preserve"> outlined in the assessment tool</w:t>
      </w:r>
      <w:r w:rsidR="006E74D3" w:rsidRPr="00397A3E">
        <w:rPr>
          <w:noProof w:val="0"/>
        </w:rPr>
        <w:t>,</w:t>
      </w:r>
      <w:r w:rsidRPr="00397A3E">
        <w:rPr>
          <w:noProof w:val="0"/>
        </w:rPr>
        <w:t xml:space="preserve"> the overall quality of the body of literature was </w:t>
      </w:r>
      <w:r w:rsidR="00B90990" w:rsidRPr="00397A3E">
        <w:rPr>
          <w:noProof w:val="0"/>
        </w:rPr>
        <w:t>moderate</w:t>
      </w:r>
      <w:r w:rsidRPr="00397A3E">
        <w:rPr>
          <w:noProof w:val="0"/>
        </w:rPr>
        <w:t xml:space="preserve"> to </w:t>
      </w:r>
      <w:r w:rsidR="00EC4C81">
        <w:rPr>
          <w:noProof w:val="0"/>
        </w:rPr>
        <w:t>low</w:t>
      </w:r>
      <w:r w:rsidR="00EC4C81" w:rsidRPr="00397A3E">
        <w:rPr>
          <w:noProof w:val="0"/>
        </w:rPr>
        <w:t xml:space="preserve"> </w:t>
      </w:r>
      <w:r w:rsidRPr="00397A3E">
        <w:rPr>
          <w:noProof w:val="0"/>
        </w:rPr>
        <w:t>with respect to methodological quality</w:t>
      </w:r>
      <w:r w:rsidR="00CB147C" w:rsidRPr="00397A3E">
        <w:rPr>
          <w:noProof w:val="0"/>
        </w:rPr>
        <w:t xml:space="preserve">. </w:t>
      </w:r>
      <w:r w:rsidRPr="00397A3E">
        <w:rPr>
          <w:noProof w:val="0"/>
        </w:rPr>
        <w:t xml:space="preserve"> </w:t>
      </w:r>
      <w:r w:rsidR="00CB147C" w:rsidRPr="00397A3E">
        <w:rPr>
          <w:noProof w:val="0"/>
        </w:rPr>
        <w:t xml:space="preserve">Such a finding </w:t>
      </w:r>
      <w:r w:rsidRPr="00397A3E">
        <w:rPr>
          <w:noProof w:val="0"/>
        </w:rPr>
        <w:t xml:space="preserve">indicates standards </w:t>
      </w:r>
      <w:r w:rsidR="00AC1476">
        <w:rPr>
          <w:noProof w:val="0"/>
        </w:rPr>
        <w:t xml:space="preserve">and methods </w:t>
      </w:r>
      <w:r w:rsidRPr="00397A3E">
        <w:rPr>
          <w:noProof w:val="0"/>
        </w:rPr>
        <w:t xml:space="preserve">for the development of </w:t>
      </w:r>
      <w:r w:rsidR="00CB147C" w:rsidRPr="00397A3E">
        <w:rPr>
          <w:noProof w:val="0"/>
        </w:rPr>
        <w:t>grey literature produced as</w:t>
      </w:r>
      <w:r w:rsidRPr="00397A3E">
        <w:rPr>
          <w:noProof w:val="0"/>
        </w:rPr>
        <w:t xml:space="preserve"> guidance </w:t>
      </w:r>
      <w:r w:rsidR="00DB0FBD" w:rsidRPr="00397A3E">
        <w:rPr>
          <w:noProof w:val="0"/>
        </w:rPr>
        <w:t xml:space="preserve">in the area of recreational water quality have not kept up with standards in the broader public health technical domain.  In addition, </w:t>
      </w:r>
      <w:r w:rsidR="00ED0934" w:rsidRPr="00397A3E">
        <w:rPr>
          <w:noProof w:val="0"/>
        </w:rPr>
        <w:t>several</w:t>
      </w:r>
      <w:r w:rsidR="00DB0FBD" w:rsidRPr="00397A3E">
        <w:rPr>
          <w:noProof w:val="0"/>
        </w:rPr>
        <w:t xml:space="preserve"> documents </w:t>
      </w:r>
      <w:r w:rsidR="00FD7D32">
        <w:rPr>
          <w:noProof w:val="0"/>
        </w:rPr>
        <w:t>summarised existing information from</w:t>
      </w:r>
      <w:r w:rsidR="00DB0FBD" w:rsidRPr="00397A3E">
        <w:rPr>
          <w:noProof w:val="0"/>
        </w:rPr>
        <w:t xml:space="preserve"> a few leading publications and did not contain new material</w:t>
      </w:r>
      <w:r w:rsidR="00AC1476">
        <w:rPr>
          <w:noProof w:val="0"/>
        </w:rPr>
        <w:t>. O</w:t>
      </w:r>
      <w:r w:rsidR="00ED0934" w:rsidRPr="00397A3E">
        <w:rPr>
          <w:noProof w:val="0"/>
        </w:rPr>
        <w:t>thers had a different focus and</w:t>
      </w:r>
      <w:r w:rsidR="00CB147C" w:rsidRPr="00397A3E">
        <w:rPr>
          <w:noProof w:val="0"/>
        </w:rPr>
        <w:t>,</w:t>
      </w:r>
      <w:r w:rsidR="00ED0934" w:rsidRPr="00397A3E">
        <w:rPr>
          <w:noProof w:val="0"/>
        </w:rPr>
        <w:t xml:space="preserve"> whilst being of good quality, lack</w:t>
      </w:r>
      <w:r w:rsidR="00F7634B">
        <w:rPr>
          <w:noProof w:val="0"/>
        </w:rPr>
        <w:t>ed</w:t>
      </w:r>
      <w:r w:rsidR="00ED0934" w:rsidRPr="00397A3E">
        <w:rPr>
          <w:noProof w:val="0"/>
        </w:rPr>
        <w:t xml:space="preserve"> sufficient relevant and new material to be included</w:t>
      </w:r>
      <w:r w:rsidR="00CB147C" w:rsidRPr="00397A3E">
        <w:rPr>
          <w:noProof w:val="0"/>
        </w:rPr>
        <w:t xml:space="preserve">, </w:t>
      </w:r>
      <w:r w:rsidR="00ED0934" w:rsidRPr="00397A3E">
        <w:rPr>
          <w:noProof w:val="0"/>
        </w:rPr>
        <w:t>e.g</w:t>
      </w:r>
      <w:r w:rsidR="00DB0FBD" w:rsidRPr="00397A3E">
        <w:rPr>
          <w:noProof w:val="0"/>
        </w:rPr>
        <w:t>.</w:t>
      </w:r>
      <w:r w:rsidR="00ED0934" w:rsidRPr="00397A3E">
        <w:rPr>
          <w:noProof w:val="0"/>
        </w:rPr>
        <w:t xml:space="preserve"> </w:t>
      </w:r>
      <w:r w:rsidR="00ED0934" w:rsidRPr="00666D1F">
        <w:rPr>
          <w:i/>
          <w:noProof w:val="0"/>
        </w:rPr>
        <w:t>Australian Guidelines for Water Recycling</w:t>
      </w:r>
      <w:r w:rsidR="00CB147C" w:rsidRPr="00397A3E">
        <w:rPr>
          <w:noProof w:val="0"/>
        </w:rPr>
        <w:t xml:space="preserve"> </w:t>
      </w:r>
      <w:r w:rsidR="00CB147C" w:rsidRPr="00397A3E">
        <w:rPr>
          <w:noProof w:val="0"/>
        </w:rPr>
        <w:fldChar w:fldCharType="begin"/>
      </w:r>
      <w:r w:rsidR="00CB147C" w:rsidRPr="00397A3E">
        <w:rPr>
          <w:noProof w:val="0"/>
        </w:rPr>
        <w:instrText xml:space="preserve"> ADDIN ZOTERO_ITEM CSL_CITATION {"citationID":"7PKJ0pvr","properties":{"formattedCitation":"(NRMMC, EPHC, et al., 2006)","plainCitation":"(NRMMC, EPHC, et al., 2006)","noteIndex":0},"citationItems":[{"id":1341,"uris":["http://zotero.org/users/148142/items/D8JRZKWD"],"uri":["http://zotero.org/users/148142/items/D8JRZKWD"],"itemData":{"id":1341,"type":"report","event-place":"Canberra, Australia","publisher":"Natural Resource Management Ministerial Council. Environment Protection and Heritage Council Australian Health Ministers’ Conference","publisher-place":"Canberra, Australia","title":"Australian Guidelines for Water Recycling: Managing Health and Environmental Risks (Phase 1)","URL":"https://www.nhmrc.gov.au/about-us/publications/australian-guidelines-water-recycling","author":[{"family":"NRMMC","given":""},{"family":"EPHC","given":""},{"family":"AHMC","given":""}],"issued":{"date-parts":[["2006"]]}}}],"schema":"https://github.com/citation-style-language/schema/raw/master/csl-citation.json"} </w:instrText>
      </w:r>
      <w:r w:rsidR="00CB147C" w:rsidRPr="00397A3E">
        <w:rPr>
          <w:noProof w:val="0"/>
        </w:rPr>
        <w:fldChar w:fldCharType="separate"/>
      </w:r>
      <w:r w:rsidR="00CB147C" w:rsidRPr="00397A3E">
        <w:rPr>
          <w:rFonts w:cs="Arial"/>
          <w:noProof w:val="0"/>
        </w:rPr>
        <w:t>(NRMMC, EPHC, et al., 2006)</w:t>
      </w:r>
      <w:r w:rsidR="00CB147C" w:rsidRPr="00397A3E">
        <w:rPr>
          <w:noProof w:val="0"/>
        </w:rPr>
        <w:fldChar w:fldCharType="end"/>
      </w:r>
      <w:r w:rsidR="00ED0934" w:rsidRPr="00397A3E">
        <w:rPr>
          <w:noProof w:val="0"/>
        </w:rPr>
        <w:t xml:space="preserve">. </w:t>
      </w:r>
      <w:r w:rsidR="00DB0FBD" w:rsidRPr="00397A3E">
        <w:rPr>
          <w:noProof w:val="0"/>
        </w:rPr>
        <w:t xml:space="preserve"> The </w:t>
      </w:r>
      <w:r w:rsidR="00CA530A">
        <w:rPr>
          <w:noProof w:val="0"/>
        </w:rPr>
        <w:t xml:space="preserve">six </w:t>
      </w:r>
      <w:r w:rsidR="00DB0FBD" w:rsidRPr="00397A3E">
        <w:rPr>
          <w:noProof w:val="0"/>
        </w:rPr>
        <w:t>documents considered for the final synthesis were among the best resourced</w:t>
      </w:r>
      <w:r w:rsidR="00ED0934" w:rsidRPr="00397A3E">
        <w:rPr>
          <w:noProof w:val="0"/>
        </w:rPr>
        <w:t xml:space="preserve"> and comprehensive</w:t>
      </w:r>
      <w:r w:rsidR="00861939" w:rsidRPr="00397A3E">
        <w:rPr>
          <w:noProof w:val="0"/>
        </w:rPr>
        <w:t>,</w:t>
      </w:r>
      <w:r w:rsidR="00DB0FBD" w:rsidRPr="00397A3E">
        <w:rPr>
          <w:noProof w:val="0"/>
        </w:rPr>
        <w:t xml:space="preserve"> e.g.</w:t>
      </w:r>
      <w:r w:rsidR="00861939" w:rsidRPr="00397A3E">
        <w:rPr>
          <w:noProof w:val="0"/>
        </w:rPr>
        <w:t>,</w:t>
      </w:r>
      <w:r w:rsidR="00DB0FBD" w:rsidRPr="00397A3E">
        <w:rPr>
          <w:noProof w:val="0"/>
        </w:rPr>
        <w:t xml:space="preserve"> </w:t>
      </w:r>
      <w:r w:rsidR="00A50832">
        <w:rPr>
          <w:rFonts w:cs="Arial"/>
          <w:noProof w:val="0"/>
        </w:rPr>
        <w:fldChar w:fldCharType="begin"/>
      </w:r>
      <w:r w:rsidR="00A50832">
        <w:rPr>
          <w:rFonts w:cs="Arial"/>
          <w:noProof w:val="0"/>
        </w:rPr>
        <w:instrText xml:space="preserve"> ADDIN ZOTERO_ITEM CSL_CITATION {"citationID":"TZQO2vqb","properties":{"custom":"US EPA (2017); WHO (2018b)","formattedCitation":"US EPA (2017); WHO (2018b)","plainCitation":"US EPA (2017); WHO (2018b)","noteIndex":0},"citationItems":[{"id":15763,"uris":["http://zotero.org/users/148142/items/BR87QUJ3"],"uri":["http://zotero.org/users/148142/items/BR87QUJ3"],"itemData":{"id":15763,"type":"report","event-place":"Washington, DC, United States","number":"Office of Water 823-R-18-001","publisher":"US Environmental Protection Agency, Office of Water, Office of Science and Technology","publisher-place":"Washington, DC, United States","title":"2017 Five-Year Review of the 2012 Recreational Water Quality Criteria","URL":"https://www.epa.gov/sites/production/files/2018-05/documents/2017-5year-review-rwqc.pdf","author":[{"literal":"US EPA"}],"issued":{"date-parts":[["2017"]]}},"label":"page"},{"id":16342,"uris":["http://zotero.org/users/148142/items/FAQ5QAH6"],"uri":["http://zotero.org/users/148142/items/FAQ5QAH6"],"itemData":{"id":16342,"type":"report","publisher":"World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label":"page"}],"schema":"https://github.com/citation-style-language/schema/raw/master/csl-citation.json"} </w:instrText>
      </w:r>
      <w:r w:rsidR="00A50832">
        <w:rPr>
          <w:rFonts w:cs="Arial"/>
          <w:noProof w:val="0"/>
        </w:rPr>
        <w:fldChar w:fldCharType="separate"/>
      </w:r>
      <w:r w:rsidR="00A50832" w:rsidRPr="00A50832">
        <w:rPr>
          <w:rFonts w:cs="Arial"/>
        </w:rPr>
        <w:t>US EPA (2017); WHO (2018)</w:t>
      </w:r>
      <w:r w:rsidR="00A50832">
        <w:rPr>
          <w:rFonts w:cs="Arial"/>
          <w:noProof w:val="0"/>
        </w:rPr>
        <w:fldChar w:fldCharType="end"/>
      </w:r>
      <w:r w:rsidR="00A50832">
        <w:rPr>
          <w:rFonts w:cs="Arial"/>
          <w:noProof w:val="0"/>
        </w:rPr>
        <w:t xml:space="preserve"> </w:t>
      </w:r>
      <w:r w:rsidR="000E6E0D" w:rsidRPr="00397A3E">
        <w:rPr>
          <w:noProof w:val="0"/>
        </w:rPr>
        <w:t xml:space="preserve">or were well constructed and written documents with a high degree of relevance to the research questions, e.g., </w:t>
      </w:r>
      <w:r w:rsidR="000E6E0D" w:rsidRPr="00397A3E">
        <w:rPr>
          <w:noProof w:val="0"/>
        </w:rPr>
        <w:fldChar w:fldCharType="begin"/>
      </w:r>
      <w:r w:rsidR="000E6E0D" w:rsidRPr="00397A3E">
        <w:rPr>
          <w:noProof w:val="0"/>
        </w:rPr>
        <w:instrText xml:space="preserve"> ADDIN ZOTERO_ITEM CSL_CITATION {"citationID":"hvjz9SrQ","properties":{"custom":"NSW DPIE (2020)","formattedCitation":"NSW DPIE (2020)","plainCitation":"NSW DPIE (2020)","noteIndex":0},"citationItems":[{"id":16395,"uris":["http://zotero.org/users/148142/items/22QWBZGS"],"uri":["http://zotero.org/users/148142/items/22QWBZGS"],"itemData":{"id":16395,"type":"report","page":"88","title":"Protocol for Assessment and Management of Microbial Risks in Recreational Waters. NSW Department of Planning, Industry &amp; Environment","URL":"https://www.environment.nsw.gov.au/research-and-publications/publications-search/protocol-for-assessment-and-management-of-microbial-risks-in-recreational-waters.","author":[{"literal":"NSW DPIE"}],"issued":{"date-parts":[["2020"]]}}}],"schema":"https://github.com/citation-style-language/schema/raw/master/csl-citation.json"} </w:instrText>
      </w:r>
      <w:r w:rsidR="000E6E0D" w:rsidRPr="00397A3E">
        <w:rPr>
          <w:noProof w:val="0"/>
        </w:rPr>
        <w:fldChar w:fldCharType="separate"/>
      </w:r>
      <w:r w:rsidR="000E6E0D" w:rsidRPr="00397A3E">
        <w:rPr>
          <w:rFonts w:cs="Arial"/>
          <w:noProof w:val="0"/>
        </w:rPr>
        <w:t>NSW DPIE (2020)</w:t>
      </w:r>
      <w:r w:rsidR="000E6E0D" w:rsidRPr="00397A3E">
        <w:rPr>
          <w:noProof w:val="0"/>
        </w:rPr>
        <w:fldChar w:fldCharType="end"/>
      </w:r>
      <w:r w:rsidR="00A959FC" w:rsidRPr="00397A3E">
        <w:rPr>
          <w:noProof w:val="0"/>
        </w:rPr>
        <w:t>.</w:t>
      </w:r>
    </w:p>
    <w:p w14:paraId="610138F6" w14:textId="77777777" w:rsidR="00F178D7" w:rsidRDefault="00F178D7" w:rsidP="0093386C">
      <w:pPr>
        <w:rPr>
          <w:noProof w:val="0"/>
        </w:rPr>
      </w:pPr>
    </w:p>
    <w:p w14:paraId="1AAA991E" w14:textId="77777777" w:rsidR="00136181" w:rsidRDefault="00136181" w:rsidP="0093386C">
      <w:pPr>
        <w:rPr>
          <w:noProof w:val="0"/>
        </w:rPr>
        <w:sectPr w:rsidR="00136181" w:rsidSect="00111E63">
          <w:headerReference w:type="default" r:id="rId21"/>
          <w:footerReference w:type="default" r:id="rId22"/>
          <w:pgSz w:w="11906" w:h="16838"/>
          <w:pgMar w:top="1588" w:right="1418" w:bottom="1418" w:left="2835" w:header="680" w:footer="709" w:gutter="0"/>
          <w:cols w:space="708"/>
          <w:titlePg/>
          <w:docGrid w:linePitch="360"/>
        </w:sectPr>
      </w:pPr>
    </w:p>
    <w:p w14:paraId="07807111" w14:textId="299C567C" w:rsidR="00136181" w:rsidRPr="00136181" w:rsidRDefault="00F178D7" w:rsidP="00FA0192">
      <w:pPr>
        <w:pStyle w:val="Caption"/>
        <w:rPr>
          <w:i w:val="0"/>
          <w:noProof w:val="0"/>
          <w:szCs w:val="18"/>
          <w:shd w:val="clear" w:color="auto" w:fill="C2D69B" w:themeFill="accent3" w:themeFillTint="99"/>
        </w:rPr>
      </w:pPr>
      <w:bookmarkStart w:id="325" w:name="_Ref106958331"/>
      <w:bookmarkStart w:id="326" w:name="_Toc95148082"/>
      <w:bookmarkStart w:id="327" w:name="_Toc106964862"/>
      <w:r>
        <w:t>Table</w:t>
      </w:r>
      <w:bookmarkEnd w:id="325"/>
      <w:r>
        <w:t xml:space="preserve"> </w:t>
      </w:r>
      <w:r>
        <w:fldChar w:fldCharType="begin"/>
      </w:r>
      <w:r>
        <w:instrText xml:space="preserve"> STYLEREF 1 \s </w:instrText>
      </w:r>
      <w:r>
        <w:fldChar w:fldCharType="separate"/>
      </w:r>
      <w:r w:rsidR="001A0E9F">
        <w:t>4</w:t>
      </w:r>
      <w:r>
        <w:fldChar w:fldCharType="end"/>
      </w:r>
      <w:r>
        <w:noBreakHyphen/>
      </w:r>
      <w:r>
        <w:fldChar w:fldCharType="begin"/>
      </w:r>
      <w:r>
        <w:instrText xml:space="preserve"> SEQ Table \* ARABIC \s 1 </w:instrText>
      </w:r>
      <w:r>
        <w:fldChar w:fldCharType="separate"/>
      </w:r>
      <w:r w:rsidR="001A0E9F">
        <w:t>1</w:t>
      </w:r>
      <w:r>
        <w:fldChar w:fldCharType="end"/>
      </w:r>
      <w:r>
        <w:t xml:space="preserve">. </w:t>
      </w:r>
      <w:r w:rsidR="00171C91" w:rsidRPr="00136181">
        <w:rPr>
          <w:noProof w:val="0"/>
        </w:rPr>
        <w:t xml:space="preserve">Form for administrative and technical criteria for assessing existing guidance or reviews. </w:t>
      </w:r>
      <w:r w:rsidR="00171C91" w:rsidRPr="00136181">
        <w:rPr>
          <w:noProof w:val="0"/>
          <w:szCs w:val="18"/>
        </w:rPr>
        <w:t xml:space="preserve">Criteria have been colour-coded to assess minimum requirements as follows: </w:t>
      </w:r>
      <w:r w:rsidR="00171C91" w:rsidRPr="00136181">
        <w:rPr>
          <w:noProof w:val="0"/>
          <w:szCs w:val="18"/>
          <w:shd w:val="clear" w:color="auto" w:fill="92D050"/>
        </w:rPr>
        <w:t>‘Must have’</w:t>
      </w:r>
      <w:r w:rsidR="00171C91" w:rsidRPr="00136181">
        <w:rPr>
          <w:noProof w:val="0"/>
          <w:szCs w:val="18"/>
        </w:rPr>
        <w:t xml:space="preserve">, </w:t>
      </w:r>
      <w:r w:rsidR="00171C91" w:rsidRPr="00136181">
        <w:rPr>
          <w:noProof w:val="0"/>
          <w:szCs w:val="18"/>
          <w:shd w:val="clear" w:color="auto" w:fill="FFFF00"/>
        </w:rPr>
        <w:t>‘Should have’</w:t>
      </w:r>
      <w:r w:rsidR="00171C91" w:rsidRPr="00136181">
        <w:rPr>
          <w:noProof w:val="0"/>
          <w:szCs w:val="18"/>
        </w:rPr>
        <w:t xml:space="preserve"> or </w:t>
      </w:r>
      <w:r w:rsidR="00171C91" w:rsidRPr="00136181">
        <w:rPr>
          <w:noProof w:val="0"/>
          <w:szCs w:val="18"/>
          <w:shd w:val="clear" w:color="auto" w:fill="BFBFBF" w:themeFill="background1" w:themeFillShade="BF"/>
        </w:rPr>
        <w:t>‘</w:t>
      </w:r>
      <w:r w:rsidR="00171C91" w:rsidRPr="00136181">
        <w:rPr>
          <w:noProof w:val="0"/>
          <w:szCs w:val="18"/>
          <w:shd w:val="clear" w:color="auto" w:fill="92CDDC" w:themeFill="accent5" w:themeFillTint="99"/>
        </w:rPr>
        <w:t xml:space="preserve">May have’. </w:t>
      </w:r>
      <w:r w:rsidR="00171C91" w:rsidRPr="00136181">
        <w:rPr>
          <w:noProof w:val="0"/>
          <w:szCs w:val="18"/>
        </w:rPr>
        <w:t>Y</w:t>
      </w:r>
      <w:r w:rsidR="009B43EE">
        <w:rPr>
          <w:noProof w:val="0"/>
          <w:szCs w:val="18"/>
        </w:rPr>
        <w:t xml:space="preserve">, </w:t>
      </w:r>
      <w:r w:rsidR="00171C91" w:rsidRPr="00136181">
        <w:rPr>
          <w:noProof w:val="0"/>
          <w:szCs w:val="18"/>
        </w:rPr>
        <w:t>N</w:t>
      </w:r>
      <w:r w:rsidR="009B43EE">
        <w:rPr>
          <w:noProof w:val="0"/>
          <w:szCs w:val="18"/>
        </w:rPr>
        <w:t>, n/a</w:t>
      </w:r>
      <w:r w:rsidR="00A070DD">
        <w:rPr>
          <w:noProof w:val="0"/>
          <w:szCs w:val="18"/>
        </w:rPr>
        <w:t>, NR</w:t>
      </w:r>
      <w:r w:rsidR="00171C91" w:rsidRPr="00136181">
        <w:rPr>
          <w:noProof w:val="0"/>
          <w:szCs w:val="18"/>
        </w:rPr>
        <w:t xml:space="preserve"> =Yes, No, or Not Applicable</w:t>
      </w:r>
      <w:r w:rsidR="00A070DD">
        <w:rPr>
          <w:noProof w:val="0"/>
          <w:szCs w:val="18"/>
        </w:rPr>
        <w:t>, Not Reported</w:t>
      </w:r>
      <w:r w:rsidR="00171C91" w:rsidRPr="00136181">
        <w:rPr>
          <w:noProof w:val="0"/>
          <w:szCs w:val="18"/>
        </w:rPr>
        <w:t>.</w:t>
      </w:r>
      <w:bookmarkEnd w:id="326"/>
      <w:r w:rsidR="001D3FEF">
        <w:rPr>
          <w:noProof w:val="0"/>
          <w:szCs w:val="18"/>
        </w:rPr>
        <w:t xml:space="preserve"> Individual assessments are available in the Technical Report</w:t>
      </w:r>
      <w:r w:rsidR="00E51788">
        <w:rPr>
          <w:noProof w:val="0"/>
          <w:szCs w:val="18"/>
        </w:rPr>
        <w:t xml:space="preserve"> (O’Connor 2022)</w:t>
      </w:r>
      <w:r w:rsidR="001D3FEF">
        <w:rPr>
          <w:noProof w:val="0"/>
          <w:szCs w:val="18"/>
        </w:rPr>
        <w:t>.</w:t>
      </w:r>
      <w:bookmarkEnd w:id="327"/>
    </w:p>
    <w:tbl>
      <w:tblPr>
        <w:tblStyle w:val="TableGrid"/>
        <w:tblW w:w="5437" w:type="pct"/>
        <w:tblInd w:w="-157" w:type="dxa"/>
        <w:tblBorders>
          <w:top w:val="single" w:sz="12" w:space="0" w:color="B5DDDC"/>
          <w:left w:val="single" w:sz="12" w:space="0" w:color="B5DDDC"/>
          <w:bottom w:val="single" w:sz="12" w:space="0" w:color="B5DDDC"/>
          <w:right w:val="single" w:sz="12" w:space="0" w:color="B5DDDC"/>
          <w:insideH w:val="single" w:sz="12" w:space="0" w:color="B5DDDC"/>
          <w:insideV w:val="single" w:sz="12" w:space="0" w:color="B5DDDC"/>
        </w:tblBorders>
        <w:tblCellMar>
          <w:left w:w="57" w:type="dxa"/>
          <w:right w:w="57" w:type="dxa"/>
        </w:tblCellMar>
        <w:tblLook w:val="04A0" w:firstRow="1" w:lastRow="0" w:firstColumn="1" w:lastColumn="0" w:noHBand="0" w:noVBand="1"/>
      </w:tblPr>
      <w:tblGrid>
        <w:gridCol w:w="421"/>
        <w:gridCol w:w="5659"/>
        <w:gridCol w:w="577"/>
        <w:gridCol w:w="577"/>
        <w:gridCol w:w="577"/>
        <w:gridCol w:w="577"/>
        <w:gridCol w:w="577"/>
        <w:gridCol w:w="577"/>
        <w:gridCol w:w="576"/>
        <w:gridCol w:w="576"/>
        <w:gridCol w:w="576"/>
        <w:gridCol w:w="576"/>
        <w:gridCol w:w="576"/>
        <w:gridCol w:w="576"/>
        <w:gridCol w:w="576"/>
        <w:gridCol w:w="576"/>
        <w:gridCol w:w="435"/>
        <w:gridCol w:w="423"/>
      </w:tblGrid>
      <w:tr w:rsidR="00785848" w14:paraId="69F52FF7" w14:textId="77777777" w:rsidTr="00B36774">
        <w:trPr>
          <w:cantSplit/>
          <w:tblHeader/>
        </w:trPr>
        <w:tc>
          <w:tcPr>
            <w:tcW w:w="2025" w:type="pct"/>
            <w:gridSpan w:val="2"/>
            <w:tcBorders>
              <w:top w:val="single" w:sz="12" w:space="0" w:color="B5DDDC"/>
              <w:left w:val="single" w:sz="12" w:space="0" w:color="B5DDDC"/>
              <w:bottom w:val="nil"/>
              <w:right w:val="single" w:sz="12" w:space="0" w:color="B5DDDC"/>
            </w:tcBorders>
            <w:shd w:val="clear" w:color="auto" w:fill="B5DDDC"/>
            <w:vAlign w:val="center"/>
          </w:tcPr>
          <w:p w14:paraId="657E4D8C" w14:textId="5A0DB87B" w:rsidR="00B36774" w:rsidRPr="00136181" w:rsidRDefault="00171C91" w:rsidP="00136181">
            <w:pPr>
              <w:spacing w:line="240" w:lineRule="auto"/>
              <w:jc w:val="center"/>
              <w:rPr>
                <w:rFonts w:asciiTheme="minorHAnsi" w:hAnsiTheme="minorHAnsi" w:cstheme="minorHAnsi"/>
                <w:noProof w:val="0"/>
                <w:color w:val="008000"/>
                <w:sz w:val="16"/>
                <w:szCs w:val="16"/>
                <w:vertAlign w:val="superscript"/>
              </w:rPr>
            </w:pPr>
            <w:r>
              <w:rPr>
                <w:rFonts w:asciiTheme="minorHAnsi" w:hAnsiTheme="minorHAnsi" w:cstheme="minorHAnsi"/>
                <w:b/>
                <w:noProof w:val="0"/>
                <w:color w:val="008000"/>
                <w:sz w:val="16"/>
                <w:szCs w:val="16"/>
              </w:rPr>
              <w:t xml:space="preserve">Administrative and Technical </w:t>
            </w:r>
            <w:r w:rsidRPr="00136181">
              <w:rPr>
                <w:rFonts w:asciiTheme="minorHAnsi" w:hAnsiTheme="minorHAnsi" w:cstheme="minorHAnsi"/>
                <w:b/>
                <w:noProof w:val="0"/>
                <w:color w:val="008000"/>
                <w:sz w:val="16"/>
                <w:szCs w:val="16"/>
              </w:rPr>
              <w:t>Criteria</w:t>
            </w:r>
          </w:p>
        </w:tc>
        <w:tc>
          <w:tcPr>
            <w:tcW w:w="192" w:type="pct"/>
            <w:tcBorders>
              <w:top w:val="single" w:sz="12" w:space="0" w:color="B5DDDC"/>
              <w:left w:val="single" w:sz="12" w:space="0" w:color="B5DDDC"/>
              <w:bottom w:val="nil"/>
              <w:right w:val="single" w:sz="12" w:space="0" w:color="B5DDDC"/>
            </w:tcBorders>
            <w:shd w:val="clear" w:color="auto" w:fill="B5DDDC"/>
            <w:vAlign w:val="center"/>
          </w:tcPr>
          <w:p w14:paraId="62D3C0C5" w14:textId="58229572" w:rsidR="00B36774" w:rsidRDefault="00171C91" w:rsidP="00D026EE">
            <w:pPr>
              <w:spacing w:line="240" w:lineRule="auto"/>
              <w:jc w:val="center"/>
              <w:rPr>
                <w:rFonts w:asciiTheme="minorHAnsi" w:hAnsiTheme="minorHAnsi" w:cstheme="minorHAnsi"/>
                <w:b/>
                <w:noProof w:val="0"/>
                <w:color w:val="008000"/>
                <w:sz w:val="16"/>
                <w:szCs w:val="16"/>
              </w:rPr>
            </w:pPr>
            <w:r>
              <w:rPr>
                <w:rFonts w:asciiTheme="minorHAnsi" w:hAnsiTheme="minorHAnsi" w:cstheme="minorHAnsi"/>
                <w:b/>
                <w:noProof w:val="0"/>
                <w:color w:val="008000"/>
                <w:sz w:val="16"/>
                <w:szCs w:val="16"/>
              </w:rPr>
              <w:t>G1</w:t>
            </w:r>
          </w:p>
        </w:tc>
        <w:tc>
          <w:tcPr>
            <w:tcW w:w="192" w:type="pct"/>
            <w:tcBorders>
              <w:top w:val="single" w:sz="12" w:space="0" w:color="B5DDDC"/>
              <w:left w:val="single" w:sz="12" w:space="0" w:color="B5DDDC"/>
              <w:bottom w:val="nil"/>
              <w:right w:val="single" w:sz="12" w:space="0" w:color="B5DDDC"/>
            </w:tcBorders>
            <w:shd w:val="clear" w:color="auto" w:fill="B5DDDC"/>
            <w:vAlign w:val="center"/>
          </w:tcPr>
          <w:p w14:paraId="061896A1" w14:textId="259C344A" w:rsidR="00B36774" w:rsidRDefault="00171C91" w:rsidP="00D026EE">
            <w:pPr>
              <w:spacing w:line="240" w:lineRule="auto"/>
              <w:jc w:val="center"/>
              <w:rPr>
                <w:rFonts w:asciiTheme="minorHAnsi" w:hAnsiTheme="minorHAnsi" w:cstheme="minorHAnsi"/>
                <w:b/>
                <w:noProof w:val="0"/>
                <w:color w:val="008000"/>
                <w:sz w:val="16"/>
                <w:szCs w:val="16"/>
              </w:rPr>
            </w:pPr>
            <w:r>
              <w:rPr>
                <w:rFonts w:asciiTheme="minorHAnsi" w:hAnsiTheme="minorHAnsi" w:cstheme="minorHAnsi"/>
                <w:b/>
                <w:noProof w:val="0"/>
                <w:color w:val="008000"/>
                <w:sz w:val="16"/>
                <w:szCs w:val="16"/>
              </w:rPr>
              <w:t>G2</w:t>
            </w:r>
          </w:p>
        </w:tc>
        <w:tc>
          <w:tcPr>
            <w:tcW w:w="192" w:type="pct"/>
            <w:tcBorders>
              <w:top w:val="single" w:sz="12" w:space="0" w:color="B5DDDC"/>
              <w:left w:val="single" w:sz="12" w:space="0" w:color="B5DDDC"/>
              <w:bottom w:val="nil"/>
              <w:right w:val="single" w:sz="12" w:space="0" w:color="B5DDDC"/>
            </w:tcBorders>
            <w:shd w:val="clear" w:color="auto" w:fill="B5DDDC"/>
            <w:vAlign w:val="center"/>
          </w:tcPr>
          <w:p w14:paraId="3FE18128" w14:textId="0B819AB4" w:rsidR="00B36774" w:rsidRPr="00136181" w:rsidRDefault="00171C91" w:rsidP="00F640FF">
            <w:pPr>
              <w:spacing w:line="240" w:lineRule="auto"/>
              <w:jc w:val="center"/>
              <w:rPr>
                <w:rFonts w:asciiTheme="minorHAnsi" w:hAnsiTheme="minorHAnsi" w:cstheme="minorHAnsi"/>
                <w:b/>
                <w:noProof w:val="0"/>
                <w:color w:val="008000"/>
                <w:sz w:val="16"/>
                <w:szCs w:val="16"/>
              </w:rPr>
            </w:pPr>
            <w:r>
              <w:rPr>
                <w:rFonts w:asciiTheme="minorHAnsi" w:hAnsiTheme="minorHAnsi" w:cstheme="minorHAnsi"/>
                <w:b/>
                <w:noProof w:val="0"/>
                <w:color w:val="008000"/>
                <w:sz w:val="16"/>
                <w:szCs w:val="16"/>
              </w:rPr>
              <w:t>G3</w:t>
            </w:r>
          </w:p>
        </w:tc>
        <w:tc>
          <w:tcPr>
            <w:tcW w:w="192" w:type="pct"/>
            <w:tcBorders>
              <w:top w:val="single" w:sz="12" w:space="0" w:color="B5DDDC"/>
              <w:left w:val="single" w:sz="12" w:space="0" w:color="B5DDDC"/>
              <w:bottom w:val="nil"/>
              <w:right w:val="single" w:sz="12" w:space="0" w:color="B5DDDC"/>
            </w:tcBorders>
            <w:shd w:val="clear" w:color="auto" w:fill="B5DDDC"/>
            <w:vAlign w:val="center"/>
          </w:tcPr>
          <w:p w14:paraId="4924AD0E" w14:textId="4AFD889C" w:rsidR="00B36774" w:rsidRPr="00136181" w:rsidRDefault="00171C91" w:rsidP="00F640FF">
            <w:pPr>
              <w:spacing w:line="240" w:lineRule="auto"/>
              <w:jc w:val="center"/>
              <w:rPr>
                <w:rFonts w:asciiTheme="minorHAnsi" w:hAnsiTheme="minorHAnsi" w:cstheme="minorHAnsi"/>
                <w:b/>
                <w:noProof w:val="0"/>
                <w:color w:val="008000"/>
                <w:sz w:val="16"/>
                <w:szCs w:val="16"/>
              </w:rPr>
            </w:pPr>
            <w:r>
              <w:rPr>
                <w:rFonts w:asciiTheme="minorHAnsi" w:hAnsiTheme="minorHAnsi" w:cstheme="minorHAnsi"/>
                <w:b/>
                <w:noProof w:val="0"/>
                <w:color w:val="008000"/>
                <w:sz w:val="16"/>
                <w:szCs w:val="16"/>
              </w:rPr>
              <w:t>G4</w:t>
            </w:r>
          </w:p>
        </w:tc>
        <w:tc>
          <w:tcPr>
            <w:tcW w:w="192" w:type="pct"/>
            <w:tcBorders>
              <w:top w:val="single" w:sz="12" w:space="0" w:color="B5DDDC"/>
              <w:left w:val="single" w:sz="12" w:space="0" w:color="B5DDDC"/>
              <w:bottom w:val="nil"/>
              <w:right w:val="single" w:sz="12" w:space="0" w:color="B5DDDC"/>
            </w:tcBorders>
            <w:shd w:val="clear" w:color="auto" w:fill="B5DDDC"/>
            <w:vAlign w:val="center"/>
          </w:tcPr>
          <w:p w14:paraId="2045671C" w14:textId="45259AF8" w:rsidR="00B36774" w:rsidRDefault="00171C91" w:rsidP="00B36774">
            <w:pPr>
              <w:spacing w:line="240" w:lineRule="auto"/>
              <w:jc w:val="center"/>
              <w:rPr>
                <w:rFonts w:asciiTheme="minorHAnsi" w:hAnsiTheme="minorHAnsi" w:cstheme="minorHAnsi"/>
                <w:b/>
                <w:noProof w:val="0"/>
                <w:color w:val="008000"/>
                <w:sz w:val="16"/>
                <w:szCs w:val="16"/>
              </w:rPr>
            </w:pPr>
            <w:r>
              <w:rPr>
                <w:rFonts w:asciiTheme="minorHAnsi" w:hAnsiTheme="minorHAnsi" w:cstheme="minorHAnsi"/>
                <w:b/>
                <w:noProof w:val="0"/>
                <w:color w:val="008000"/>
                <w:sz w:val="16"/>
                <w:szCs w:val="16"/>
              </w:rPr>
              <w:t>G5</w:t>
            </w:r>
          </w:p>
        </w:tc>
        <w:tc>
          <w:tcPr>
            <w:tcW w:w="192" w:type="pct"/>
            <w:tcBorders>
              <w:top w:val="single" w:sz="12" w:space="0" w:color="B5DDDC"/>
              <w:left w:val="single" w:sz="12" w:space="0" w:color="B5DDDC"/>
              <w:bottom w:val="nil"/>
              <w:right w:val="single" w:sz="12" w:space="0" w:color="B5DDDC"/>
            </w:tcBorders>
            <w:shd w:val="clear" w:color="auto" w:fill="B5DDDC"/>
            <w:vAlign w:val="center"/>
          </w:tcPr>
          <w:p w14:paraId="0F883628" w14:textId="4B94C82F" w:rsidR="00B36774" w:rsidRDefault="00171C91" w:rsidP="00B36774">
            <w:pPr>
              <w:spacing w:line="240" w:lineRule="auto"/>
              <w:jc w:val="center"/>
              <w:rPr>
                <w:rFonts w:asciiTheme="minorHAnsi" w:hAnsiTheme="minorHAnsi" w:cstheme="minorHAnsi"/>
                <w:b/>
                <w:noProof w:val="0"/>
                <w:color w:val="008000"/>
                <w:sz w:val="16"/>
                <w:szCs w:val="16"/>
              </w:rPr>
            </w:pPr>
            <w:r>
              <w:rPr>
                <w:rFonts w:asciiTheme="minorHAnsi" w:hAnsiTheme="minorHAnsi" w:cstheme="minorHAnsi"/>
                <w:b/>
                <w:noProof w:val="0"/>
                <w:color w:val="008000"/>
                <w:sz w:val="16"/>
                <w:szCs w:val="16"/>
              </w:rPr>
              <w:t>G6</w:t>
            </w:r>
          </w:p>
        </w:tc>
        <w:tc>
          <w:tcPr>
            <w:tcW w:w="192" w:type="pct"/>
            <w:tcBorders>
              <w:top w:val="single" w:sz="12" w:space="0" w:color="B5DDDC"/>
              <w:left w:val="single" w:sz="12" w:space="0" w:color="B5DDDC"/>
              <w:bottom w:val="nil"/>
              <w:right w:val="single" w:sz="12" w:space="0" w:color="B5DDDC"/>
            </w:tcBorders>
            <w:shd w:val="clear" w:color="auto" w:fill="B5DDDC"/>
            <w:vAlign w:val="center"/>
          </w:tcPr>
          <w:p w14:paraId="61896909" w14:textId="7DE76870" w:rsidR="00B36774" w:rsidRDefault="00171C91" w:rsidP="00B36774">
            <w:pPr>
              <w:spacing w:line="240" w:lineRule="auto"/>
              <w:jc w:val="center"/>
              <w:rPr>
                <w:rFonts w:asciiTheme="minorHAnsi" w:hAnsiTheme="minorHAnsi" w:cstheme="minorHAnsi"/>
                <w:b/>
                <w:noProof w:val="0"/>
                <w:color w:val="008000"/>
                <w:sz w:val="16"/>
                <w:szCs w:val="16"/>
              </w:rPr>
            </w:pPr>
            <w:r>
              <w:rPr>
                <w:rFonts w:asciiTheme="minorHAnsi" w:hAnsiTheme="minorHAnsi" w:cstheme="minorHAnsi"/>
                <w:b/>
                <w:noProof w:val="0"/>
                <w:color w:val="008000"/>
                <w:sz w:val="16"/>
                <w:szCs w:val="16"/>
              </w:rPr>
              <w:t>G7</w:t>
            </w:r>
          </w:p>
        </w:tc>
        <w:tc>
          <w:tcPr>
            <w:tcW w:w="192" w:type="pct"/>
            <w:tcBorders>
              <w:top w:val="single" w:sz="12" w:space="0" w:color="B5DDDC"/>
              <w:left w:val="single" w:sz="12" w:space="0" w:color="B5DDDC"/>
              <w:bottom w:val="nil"/>
              <w:right w:val="single" w:sz="12" w:space="0" w:color="B5DDDC"/>
            </w:tcBorders>
            <w:shd w:val="clear" w:color="auto" w:fill="B5DDDC"/>
            <w:vAlign w:val="center"/>
          </w:tcPr>
          <w:p w14:paraId="1F0FBD8B" w14:textId="7F7C605A" w:rsidR="00B36774" w:rsidRPr="00136181" w:rsidRDefault="00171C91" w:rsidP="00F640FF">
            <w:pPr>
              <w:spacing w:line="240" w:lineRule="auto"/>
              <w:jc w:val="center"/>
              <w:rPr>
                <w:rFonts w:asciiTheme="minorHAnsi" w:hAnsiTheme="minorHAnsi" w:cstheme="minorHAnsi"/>
                <w:b/>
                <w:noProof w:val="0"/>
                <w:color w:val="008000"/>
                <w:sz w:val="16"/>
                <w:szCs w:val="16"/>
              </w:rPr>
            </w:pPr>
            <w:r>
              <w:rPr>
                <w:rFonts w:asciiTheme="minorHAnsi" w:hAnsiTheme="minorHAnsi" w:cstheme="minorHAnsi"/>
                <w:b/>
                <w:noProof w:val="0"/>
                <w:color w:val="008000"/>
                <w:sz w:val="16"/>
                <w:szCs w:val="16"/>
              </w:rPr>
              <w:t>G8</w:t>
            </w:r>
          </w:p>
        </w:tc>
        <w:tc>
          <w:tcPr>
            <w:tcW w:w="192" w:type="pct"/>
            <w:tcBorders>
              <w:top w:val="single" w:sz="12" w:space="0" w:color="B5DDDC"/>
              <w:left w:val="single" w:sz="12" w:space="0" w:color="B5DDDC"/>
              <w:bottom w:val="nil"/>
              <w:right w:val="single" w:sz="12" w:space="0" w:color="B5DDDC"/>
            </w:tcBorders>
            <w:shd w:val="clear" w:color="auto" w:fill="B5DDDC"/>
            <w:vAlign w:val="center"/>
          </w:tcPr>
          <w:p w14:paraId="5F1022AA" w14:textId="48CBBCE0" w:rsidR="00B36774" w:rsidRDefault="00171C91" w:rsidP="00B36774">
            <w:pPr>
              <w:spacing w:line="240" w:lineRule="auto"/>
              <w:jc w:val="center"/>
              <w:rPr>
                <w:rFonts w:asciiTheme="minorHAnsi" w:hAnsiTheme="minorHAnsi" w:cstheme="minorHAnsi"/>
                <w:b/>
                <w:noProof w:val="0"/>
                <w:color w:val="008000"/>
                <w:sz w:val="16"/>
                <w:szCs w:val="16"/>
              </w:rPr>
            </w:pPr>
            <w:r>
              <w:rPr>
                <w:rFonts w:asciiTheme="minorHAnsi" w:hAnsiTheme="minorHAnsi" w:cstheme="minorHAnsi"/>
                <w:b/>
                <w:noProof w:val="0"/>
                <w:color w:val="008000"/>
                <w:sz w:val="16"/>
                <w:szCs w:val="16"/>
              </w:rPr>
              <w:t>G9</w:t>
            </w:r>
          </w:p>
        </w:tc>
        <w:tc>
          <w:tcPr>
            <w:tcW w:w="192" w:type="pct"/>
            <w:tcBorders>
              <w:top w:val="single" w:sz="12" w:space="0" w:color="B5DDDC"/>
              <w:left w:val="single" w:sz="12" w:space="0" w:color="B5DDDC"/>
              <w:bottom w:val="nil"/>
              <w:right w:val="single" w:sz="12" w:space="0" w:color="B5DDDC"/>
            </w:tcBorders>
            <w:shd w:val="clear" w:color="auto" w:fill="B5DDDC"/>
            <w:vAlign w:val="center"/>
          </w:tcPr>
          <w:p w14:paraId="5E6B8951" w14:textId="7441D55F" w:rsidR="00B36774" w:rsidRDefault="00171C91" w:rsidP="00B36774">
            <w:pPr>
              <w:spacing w:line="240" w:lineRule="auto"/>
              <w:jc w:val="center"/>
              <w:rPr>
                <w:rFonts w:asciiTheme="minorHAnsi" w:hAnsiTheme="minorHAnsi" w:cstheme="minorHAnsi"/>
                <w:b/>
                <w:noProof w:val="0"/>
                <w:color w:val="008000"/>
                <w:sz w:val="16"/>
                <w:szCs w:val="16"/>
              </w:rPr>
            </w:pPr>
            <w:r>
              <w:rPr>
                <w:rFonts w:asciiTheme="minorHAnsi" w:hAnsiTheme="minorHAnsi" w:cstheme="minorHAnsi"/>
                <w:b/>
                <w:noProof w:val="0"/>
                <w:color w:val="008000"/>
                <w:sz w:val="16"/>
                <w:szCs w:val="16"/>
              </w:rPr>
              <w:t>G10</w:t>
            </w:r>
          </w:p>
        </w:tc>
        <w:tc>
          <w:tcPr>
            <w:tcW w:w="192" w:type="pct"/>
            <w:tcBorders>
              <w:top w:val="single" w:sz="12" w:space="0" w:color="B5DDDC"/>
              <w:left w:val="single" w:sz="12" w:space="0" w:color="B5DDDC"/>
              <w:bottom w:val="nil"/>
              <w:right w:val="single" w:sz="12" w:space="0" w:color="B5DDDC"/>
            </w:tcBorders>
            <w:shd w:val="clear" w:color="auto" w:fill="B5DDDC"/>
            <w:vAlign w:val="center"/>
          </w:tcPr>
          <w:p w14:paraId="39E72D9A" w14:textId="2973E6D7" w:rsidR="00B36774" w:rsidRPr="00136181" w:rsidRDefault="00171C91" w:rsidP="00F640FF">
            <w:pPr>
              <w:spacing w:line="240" w:lineRule="auto"/>
              <w:jc w:val="center"/>
              <w:rPr>
                <w:rFonts w:asciiTheme="minorHAnsi" w:hAnsiTheme="minorHAnsi" w:cstheme="minorHAnsi"/>
                <w:b/>
                <w:noProof w:val="0"/>
                <w:color w:val="008000"/>
                <w:sz w:val="16"/>
                <w:szCs w:val="16"/>
              </w:rPr>
            </w:pPr>
            <w:r>
              <w:rPr>
                <w:rFonts w:asciiTheme="minorHAnsi" w:hAnsiTheme="minorHAnsi" w:cstheme="minorHAnsi"/>
                <w:b/>
                <w:noProof w:val="0"/>
                <w:color w:val="008000"/>
                <w:sz w:val="16"/>
                <w:szCs w:val="16"/>
              </w:rPr>
              <w:t>G11</w:t>
            </w:r>
          </w:p>
        </w:tc>
        <w:tc>
          <w:tcPr>
            <w:tcW w:w="192" w:type="pct"/>
            <w:tcBorders>
              <w:top w:val="single" w:sz="12" w:space="0" w:color="B5DDDC"/>
              <w:left w:val="single" w:sz="12" w:space="0" w:color="B5DDDC"/>
              <w:bottom w:val="nil"/>
              <w:right w:val="single" w:sz="12" w:space="0" w:color="B5DDDC"/>
            </w:tcBorders>
            <w:shd w:val="clear" w:color="auto" w:fill="B5DDDC"/>
          </w:tcPr>
          <w:p w14:paraId="2C62DBDA" w14:textId="0A0F172A" w:rsidR="00B36774" w:rsidRDefault="00171C91" w:rsidP="00F640FF">
            <w:pPr>
              <w:spacing w:line="240" w:lineRule="auto"/>
              <w:jc w:val="center"/>
              <w:rPr>
                <w:rFonts w:asciiTheme="minorHAnsi" w:hAnsiTheme="minorHAnsi" w:cstheme="minorHAnsi"/>
                <w:b/>
                <w:noProof w:val="0"/>
                <w:color w:val="008000"/>
                <w:sz w:val="16"/>
                <w:szCs w:val="16"/>
              </w:rPr>
            </w:pPr>
            <w:r>
              <w:rPr>
                <w:rFonts w:asciiTheme="minorHAnsi" w:hAnsiTheme="minorHAnsi" w:cstheme="minorHAnsi"/>
                <w:b/>
                <w:noProof w:val="0"/>
                <w:color w:val="008000"/>
                <w:sz w:val="16"/>
                <w:szCs w:val="16"/>
              </w:rPr>
              <w:t>G12</w:t>
            </w:r>
          </w:p>
        </w:tc>
        <w:tc>
          <w:tcPr>
            <w:tcW w:w="192" w:type="pct"/>
            <w:tcBorders>
              <w:top w:val="single" w:sz="12" w:space="0" w:color="B5DDDC"/>
              <w:left w:val="single" w:sz="12" w:space="0" w:color="B5DDDC"/>
              <w:bottom w:val="nil"/>
              <w:right w:val="single" w:sz="12" w:space="0" w:color="B5DDDC"/>
            </w:tcBorders>
            <w:shd w:val="clear" w:color="auto" w:fill="B5DDDC"/>
            <w:vAlign w:val="center"/>
          </w:tcPr>
          <w:p w14:paraId="74CD37F2" w14:textId="41F9EF6C" w:rsidR="00B36774" w:rsidRPr="00136181" w:rsidRDefault="00171C91" w:rsidP="00F640FF">
            <w:pPr>
              <w:spacing w:line="240" w:lineRule="auto"/>
              <w:jc w:val="center"/>
              <w:rPr>
                <w:rFonts w:asciiTheme="minorHAnsi" w:hAnsiTheme="minorHAnsi" w:cstheme="minorHAnsi"/>
                <w:b/>
                <w:noProof w:val="0"/>
                <w:color w:val="008000"/>
                <w:sz w:val="16"/>
                <w:szCs w:val="16"/>
              </w:rPr>
            </w:pPr>
            <w:r>
              <w:rPr>
                <w:rFonts w:asciiTheme="minorHAnsi" w:hAnsiTheme="minorHAnsi" w:cstheme="minorHAnsi"/>
                <w:b/>
                <w:noProof w:val="0"/>
                <w:color w:val="008000"/>
                <w:sz w:val="16"/>
                <w:szCs w:val="16"/>
              </w:rPr>
              <w:t>G13</w:t>
            </w:r>
          </w:p>
        </w:tc>
        <w:tc>
          <w:tcPr>
            <w:tcW w:w="192" w:type="pct"/>
            <w:tcBorders>
              <w:top w:val="single" w:sz="12" w:space="0" w:color="B5DDDC"/>
              <w:left w:val="single" w:sz="12" w:space="0" w:color="B5DDDC"/>
              <w:bottom w:val="nil"/>
              <w:right w:val="single" w:sz="12" w:space="0" w:color="B5DDDC"/>
            </w:tcBorders>
            <w:shd w:val="clear" w:color="auto" w:fill="B5DDDC"/>
            <w:vAlign w:val="center"/>
          </w:tcPr>
          <w:p w14:paraId="4EB6F40F" w14:textId="5594E84A" w:rsidR="00B36774" w:rsidRPr="00136181" w:rsidRDefault="00171C91" w:rsidP="00F640FF">
            <w:pPr>
              <w:spacing w:line="240" w:lineRule="auto"/>
              <w:jc w:val="center"/>
              <w:rPr>
                <w:rFonts w:asciiTheme="minorHAnsi" w:hAnsiTheme="minorHAnsi" w:cstheme="minorHAnsi"/>
                <w:b/>
                <w:noProof w:val="0"/>
                <w:color w:val="008000"/>
                <w:sz w:val="16"/>
                <w:szCs w:val="16"/>
              </w:rPr>
            </w:pPr>
            <w:r>
              <w:rPr>
                <w:rFonts w:asciiTheme="minorHAnsi" w:hAnsiTheme="minorHAnsi" w:cstheme="minorHAnsi"/>
                <w:b/>
                <w:noProof w:val="0"/>
                <w:color w:val="008000"/>
                <w:sz w:val="16"/>
                <w:szCs w:val="16"/>
              </w:rPr>
              <w:t>G14</w:t>
            </w:r>
          </w:p>
        </w:tc>
        <w:tc>
          <w:tcPr>
            <w:tcW w:w="145" w:type="pct"/>
            <w:tcBorders>
              <w:top w:val="single" w:sz="12" w:space="0" w:color="B5DDDC"/>
              <w:left w:val="single" w:sz="12" w:space="0" w:color="B5DDDC"/>
              <w:bottom w:val="nil"/>
              <w:right w:val="single" w:sz="12" w:space="0" w:color="B5DDDC"/>
            </w:tcBorders>
            <w:shd w:val="clear" w:color="auto" w:fill="B5DDDC"/>
            <w:vAlign w:val="center"/>
          </w:tcPr>
          <w:p w14:paraId="637BFDAE" w14:textId="4AC77FD8" w:rsidR="00B36774" w:rsidRPr="00136181" w:rsidRDefault="00171C91" w:rsidP="00F640FF">
            <w:pPr>
              <w:spacing w:line="240" w:lineRule="auto"/>
              <w:jc w:val="center"/>
              <w:rPr>
                <w:rFonts w:asciiTheme="minorHAnsi" w:hAnsiTheme="minorHAnsi" w:cstheme="minorHAnsi"/>
                <w:b/>
                <w:noProof w:val="0"/>
                <w:color w:val="008000"/>
                <w:sz w:val="16"/>
                <w:szCs w:val="16"/>
              </w:rPr>
            </w:pPr>
            <w:r>
              <w:rPr>
                <w:rFonts w:asciiTheme="minorHAnsi" w:hAnsiTheme="minorHAnsi" w:cstheme="minorHAnsi"/>
                <w:b/>
                <w:noProof w:val="0"/>
                <w:color w:val="008000"/>
                <w:sz w:val="16"/>
                <w:szCs w:val="16"/>
              </w:rPr>
              <w:t>G15</w:t>
            </w:r>
          </w:p>
        </w:tc>
        <w:tc>
          <w:tcPr>
            <w:tcW w:w="141" w:type="pct"/>
            <w:tcBorders>
              <w:top w:val="single" w:sz="12" w:space="0" w:color="B5DDDC"/>
              <w:left w:val="single" w:sz="12" w:space="0" w:color="B5DDDC"/>
              <w:bottom w:val="nil"/>
              <w:right w:val="single" w:sz="12" w:space="0" w:color="B5DDDC"/>
            </w:tcBorders>
            <w:shd w:val="clear" w:color="auto" w:fill="B5DDDC"/>
          </w:tcPr>
          <w:p w14:paraId="3122B6CE" w14:textId="11DFB1B0" w:rsidR="00B36774" w:rsidRDefault="00171C91" w:rsidP="00F640FF">
            <w:pPr>
              <w:spacing w:line="240" w:lineRule="auto"/>
              <w:jc w:val="center"/>
              <w:rPr>
                <w:rFonts w:asciiTheme="minorHAnsi" w:hAnsiTheme="minorHAnsi" w:cstheme="minorHAnsi"/>
                <w:b/>
                <w:noProof w:val="0"/>
                <w:color w:val="008000"/>
                <w:sz w:val="16"/>
                <w:szCs w:val="16"/>
              </w:rPr>
            </w:pPr>
            <w:r>
              <w:rPr>
                <w:rFonts w:asciiTheme="minorHAnsi" w:hAnsiTheme="minorHAnsi" w:cstheme="minorHAnsi"/>
                <w:b/>
                <w:noProof w:val="0"/>
                <w:color w:val="008000"/>
                <w:sz w:val="16"/>
                <w:szCs w:val="16"/>
              </w:rPr>
              <w:t>G16</w:t>
            </w:r>
          </w:p>
        </w:tc>
      </w:tr>
      <w:tr w:rsidR="00785848" w14:paraId="4D751C82" w14:textId="77777777" w:rsidTr="00B36774">
        <w:trPr>
          <w:cantSplit/>
        </w:trPr>
        <w:tc>
          <w:tcPr>
            <w:tcW w:w="140" w:type="pct"/>
            <w:tcBorders>
              <w:top w:val="nil"/>
            </w:tcBorders>
            <w:shd w:val="clear" w:color="auto" w:fill="D6EAEB"/>
            <w:vAlign w:val="center"/>
          </w:tcPr>
          <w:p w14:paraId="0153D60A" w14:textId="1AF8E26A" w:rsidR="00B36774" w:rsidRPr="00136181" w:rsidRDefault="00B36774" w:rsidP="00136181">
            <w:pPr>
              <w:keepNext/>
              <w:spacing w:before="0" w:after="0" w:line="240" w:lineRule="auto"/>
              <w:rPr>
                <w:rFonts w:asciiTheme="minorHAnsi" w:hAnsiTheme="minorHAnsi" w:cstheme="minorHAnsi"/>
                <w:b/>
                <w:noProof w:val="0"/>
                <w:sz w:val="16"/>
                <w:szCs w:val="16"/>
              </w:rPr>
            </w:pPr>
          </w:p>
        </w:tc>
        <w:tc>
          <w:tcPr>
            <w:tcW w:w="1884" w:type="pct"/>
            <w:tcBorders>
              <w:top w:val="nil"/>
            </w:tcBorders>
            <w:shd w:val="clear" w:color="auto" w:fill="D6EAEB"/>
            <w:vAlign w:val="center"/>
          </w:tcPr>
          <w:p w14:paraId="0846E8B8" w14:textId="5912CCC1" w:rsidR="00B36774" w:rsidRPr="00136181" w:rsidRDefault="00171C91" w:rsidP="00136181">
            <w:pPr>
              <w:keepNext/>
              <w:spacing w:before="0" w:after="0" w:line="240" w:lineRule="auto"/>
              <w:rPr>
                <w:rFonts w:asciiTheme="minorHAnsi" w:hAnsiTheme="minorHAnsi" w:cstheme="minorHAnsi"/>
                <w:b/>
                <w:noProof w:val="0"/>
                <w:sz w:val="16"/>
                <w:szCs w:val="16"/>
              </w:rPr>
            </w:pPr>
            <w:r w:rsidRPr="00136181">
              <w:rPr>
                <w:rFonts w:asciiTheme="minorHAnsi" w:hAnsiTheme="minorHAnsi" w:cstheme="minorHAnsi"/>
                <w:b/>
                <w:noProof w:val="0"/>
                <w:sz w:val="16"/>
                <w:szCs w:val="16"/>
              </w:rPr>
              <w:t>Overall guidance/advice development process</w:t>
            </w:r>
          </w:p>
        </w:tc>
        <w:tc>
          <w:tcPr>
            <w:tcW w:w="192" w:type="pct"/>
            <w:tcBorders>
              <w:top w:val="nil"/>
            </w:tcBorders>
            <w:shd w:val="clear" w:color="auto" w:fill="D6EAEB"/>
            <w:vAlign w:val="center"/>
          </w:tcPr>
          <w:p w14:paraId="7190FF75" w14:textId="77777777" w:rsidR="00B36774" w:rsidRPr="00136181" w:rsidRDefault="00B36774" w:rsidP="00D026EE">
            <w:pPr>
              <w:keepNext/>
              <w:spacing w:before="0" w:after="0" w:line="240" w:lineRule="auto"/>
              <w:jc w:val="center"/>
              <w:rPr>
                <w:rFonts w:asciiTheme="minorHAnsi" w:hAnsiTheme="minorHAnsi" w:cstheme="minorHAnsi"/>
                <w:b/>
                <w:noProof w:val="0"/>
                <w:sz w:val="16"/>
                <w:szCs w:val="16"/>
              </w:rPr>
            </w:pPr>
          </w:p>
        </w:tc>
        <w:tc>
          <w:tcPr>
            <w:tcW w:w="192" w:type="pct"/>
            <w:tcBorders>
              <w:top w:val="nil"/>
            </w:tcBorders>
            <w:shd w:val="clear" w:color="auto" w:fill="D6EAEB"/>
            <w:vAlign w:val="center"/>
          </w:tcPr>
          <w:p w14:paraId="47D3AF35" w14:textId="77777777" w:rsidR="00B36774" w:rsidRPr="00136181" w:rsidRDefault="00B36774" w:rsidP="00D026EE">
            <w:pPr>
              <w:keepNext/>
              <w:spacing w:before="0" w:after="0" w:line="240" w:lineRule="auto"/>
              <w:jc w:val="center"/>
              <w:rPr>
                <w:rFonts w:asciiTheme="minorHAnsi" w:hAnsiTheme="minorHAnsi" w:cstheme="minorHAnsi"/>
                <w:b/>
                <w:noProof w:val="0"/>
                <w:sz w:val="16"/>
                <w:szCs w:val="16"/>
              </w:rPr>
            </w:pPr>
          </w:p>
        </w:tc>
        <w:tc>
          <w:tcPr>
            <w:tcW w:w="192" w:type="pct"/>
            <w:tcBorders>
              <w:top w:val="nil"/>
            </w:tcBorders>
            <w:shd w:val="clear" w:color="auto" w:fill="D6EAEB"/>
            <w:vAlign w:val="center"/>
          </w:tcPr>
          <w:p w14:paraId="27D55841" w14:textId="78574A8B" w:rsidR="00B36774" w:rsidRPr="00136181" w:rsidRDefault="00B36774" w:rsidP="00F640FF">
            <w:pPr>
              <w:keepNext/>
              <w:spacing w:before="0" w:after="0" w:line="240" w:lineRule="auto"/>
              <w:jc w:val="center"/>
              <w:rPr>
                <w:rFonts w:asciiTheme="minorHAnsi" w:hAnsiTheme="minorHAnsi" w:cstheme="minorHAnsi"/>
                <w:b/>
                <w:noProof w:val="0"/>
                <w:sz w:val="16"/>
                <w:szCs w:val="16"/>
              </w:rPr>
            </w:pPr>
          </w:p>
        </w:tc>
        <w:tc>
          <w:tcPr>
            <w:tcW w:w="192" w:type="pct"/>
            <w:tcBorders>
              <w:top w:val="nil"/>
            </w:tcBorders>
            <w:shd w:val="clear" w:color="auto" w:fill="D6EAEB"/>
            <w:vAlign w:val="center"/>
          </w:tcPr>
          <w:p w14:paraId="3EA78ABB" w14:textId="77777777" w:rsidR="00B36774" w:rsidRPr="00136181" w:rsidRDefault="00B36774" w:rsidP="00F640FF">
            <w:pPr>
              <w:keepNext/>
              <w:spacing w:before="0" w:after="0" w:line="240" w:lineRule="auto"/>
              <w:jc w:val="center"/>
              <w:rPr>
                <w:rFonts w:asciiTheme="minorHAnsi" w:hAnsiTheme="minorHAnsi" w:cstheme="minorHAnsi"/>
                <w:b/>
                <w:noProof w:val="0"/>
                <w:sz w:val="16"/>
                <w:szCs w:val="16"/>
              </w:rPr>
            </w:pPr>
          </w:p>
        </w:tc>
        <w:tc>
          <w:tcPr>
            <w:tcW w:w="192" w:type="pct"/>
            <w:tcBorders>
              <w:top w:val="nil"/>
            </w:tcBorders>
            <w:shd w:val="clear" w:color="auto" w:fill="D6EAEB"/>
            <w:vAlign w:val="center"/>
          </w:tcPr>
          <w:p w14:paraId="600ED39F"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tcBorders>
              <w:top w:val="nil"/>
            </w:tcBorders>
            <w:shd w:val="clear" w:color="auto" w:fill="D6EAEB"/>
            <w:vAlign w:val="center"/>
          </w:tcPr>
          <w:p w14:paraId="462D8AB4"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tcBorders>
              <w:top w:val="nil"/>
            </w:tcBorders>
            <w:shd w:val="clear" w:color="auto" w:fill="D6EAEB"/>
            <w:vAlign w:val="center"/>
          </w:tcPr>
          <w:p w14:paraId="6A702D9E"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tcBorders>
              <w:top w:val="nil"/>
            </w:tcBorders>
            <w:shd w:val="clear" w:color="auto" w:fill="D6EAEB"/>
            <w:vAlign w:val="center"/>
          </w:tcPr>
          <w:p w14:paraId="3C820EF6" w14:textId="6F8F6059" w:rsidR="00B36774" w:rsidRPr="00136181" w:rsidRDefault="00B36774" w:rsidP="00F640FF">
            <w:pPr>
              <w:keepNext/>
              <w:spacing w:before="0" w:after="0" w:line="240" w:lineRule="auto"/>
              <w:jc w:val="center"/>
              <w:rPr>
                <w:rFonts w:asciiTheme="minorHAnsi" w:hAnsiTheme="minorHAnsi" w:cstheme="minorHAnsi"/>
                <w:b/>
                <w:noProof w:val="0"/>
                <w:sz w:val="16"/>
                <w:szCs w:val="16"/>
              </w:rPr>
            </w:pPr>
          </w:p>
        </w:tc>
        <w:tc>
          <w:tcPr>
            <w:tcW w:w="192" w:type="pct"/>
            <w:tcBorders>
              <w:top w:val="nil"/>
            </w:tcBorders>
            <w:shd w:val="clear" w:color="auto" w:fill="D6EAEB"/>
            <w:vAlign w:val="center"/>
          </w:tcPr>
          <w:p w14:paraId="1617B660"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tcBorders>
              <w:top w:val="nil"/>
            </w:tcBorders>
            <w:shd w:val="clear" w:color="auto" w:fill="D6EAEB"/>
            <w:vAlign w:val="center"/>
          </w:tcPr>
          <w:p w14:paraId="65E7E0E6"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tcBorders>
              <w:top w:val="nil"/>
            </w:tcBorders>
            <w:shd w:val="clear" w:color="auto" w:fill="D6EAEB"/>
            <w:vAlign w:val="center"/>
          </w:tcPr>
          <w:p w14:paraId="6484C3D7" w14:textId="5E7FBFA4" w:rsidR="00B36774" w:rsidRPr="00136181" w:rsidRDefault="00B36774" w:rsidP="00F640FF">
            <w:pPr>
              <w:keepNext/>
              <w:spacing w:before="0" w:after="0" w:line="240" w:lineRule="auto"/>
              <w:jc w:val="center"/>
              <w:rPr>
                <w:rFonts w:asciiTheme="minorHAnsi" w:hAnsiTheme="minorHAnsi" w:cstheme="minorHAnsi"/>
                <w:b/>
                <w:noProof w:val="0"/>
                <w:sz w:val="16"/>
                <w:szCs w:val="16"/>
              </w:rPr>
            </w:pPr>
          </w:p>
        </w:tc>
        <w:tc>
          <w:tcPr>
            <w:tcW w:w="192" w:type="pct"/>
            <w:tcBorders>
              <w:top w:val="nil"/>
            </w:tcBorders>
            <w:shd w:val="clear" w:color="auto" w:fill="D6EAEB"/>
          </w:tcPr>
          <w:p w14:paraId="7247211E" w14:textId="77777777" w:rsidR="00B36774" w:rsidRPr="00136181" w:rsidRDefault="00B36774" w:rsidP="00F640FF">
            <w:pPr>
              <w:keepNext/>
              <w:spacing w:before="0" w:after="0" w:line="240" w:lineRule="auto"/>
              <w:jc w:val="center"/>
              <w:rPr>
                <w:rFonts w:asciiTheme="minorHAnsi" w:hAnsiTheme="minorHAnsi" w:cstheme="minorHAnsi"/>
                <w:b/>
                <w:noProof w:val="0"/>
                <w:sz w:val="16"/>
                <w:szCs w:val="16"/>
              </w:rPr>
            </w:pPr>
          </w:p>
        </w:tc>
        <w:tc>
          <w:tcPr>
            <w:tcW w:w="192" w:type="pct"/>
            <w:tcBorders>
              <w:top w:val="nil"/>
            </w:tcBorders>
            <w:shd w:val="clear" w:color="auto" w:fill="D6EAEB"/>
            <w:vAlign w:val="center"/>
          </w:tcPr>
          <w:p w14:paraId="5459EC17" w14:textId="6798F6F6" w:rsidR="00B36774" w:rsidRPr="00136181" w:rsidRDefault="00B36774" w:rsidP="00F640FF">
            <w:pPr>
              <w:keepNext/>
              <w:spacing w:before="0" w:after="0" w:line="240" w:lineRule="auto"/>
              <w:jc w:val="center"/>
              <w:rPr>
                <w:rFonts w:asciiTheme="minorHAnsi" w:hAnsiTheme="minorHAnsi" w:cstheme="minorHAnsi"/>
                <w:b/>
                <w:noProof w:val="0"/>
                <w:sz w:val="16"/>
                <w:szCs w:val="16"/>
              </w:rPr>
            </w:pPr>
          </w:p>
        </w:tc>
        <w:tc>
          <w:tcPr>
            <w:tcW w:w="192" w:type="pct"/>
            <w:tcBorders>
              <w:top w:val="nil"/>
            </w:tcBorders>
            <w:shd w:val="clear" w:color="auto" w:fill="D6EAEB"/>
            <w:vAlign w:val="center"/>
          </w:tcPr>
          <w:p w14:paraId="09BE265B" w14:textId="77777777" w:rsidR="00B36774" w:rsidRPr="00136181" w:rsidRDefault="00B36774" w:rsidP="00F640FF">
            <w:pPr>
              <w:keepNext/>
              <w:spacing w:before="0" w:after="0" w:line="240" w:lineRule="auto"/>
              <w:jc w:val="center"/>
              <w:rPr>
                <w:rFonts w:asciiTheme="minorHAnsi" w:hAnsiTheme="minorHAnsi" w:cstheme="minorHAnsi"/>
                <w:b/>
                <w:noProof w:val="0"/>
                <w:sz w:val="16"/>
                <w:szCs w:val="16"/>
              </w:rPr>
            </w:pPr>
          </w:p>
        </w:tc>
        <w:tc>
          <w:tcPr>
            <w:tcW w:w="145" w:type="pct"/>
            <w:tcBorders>
              <w:top w:val="nil"/>
            </w:tcBorders>
            <w:shd w:val="clear" w:color="auto" w:fill="D6EAEB"/>
            <w:vAlign w:val="center"/>
          </w:tcPr>
          <w:p w14:paraId="2D322C78" w14:textId="1BB5C864" w:rsidR="00B36774" w:rsidRPr="00136181" w:rsidRDefault="00B36774" w:rsidP="00F640FF">
            <w:pPr>
              <w:keepNext/>
              <w:spacing w:before="0" w:after="0" w:line="240" w:lineRule="auto"/>
              <w:jc w:val="center"/>
              <w:rPr>
                <w:rFonts w:asciiTheme="minorHAnsi" w:hAnsiTheme="minorHAnsi" w:cstheme="minorHAnsi"/>
                <w:b/>
                <w:noProof w:val="0"/>
                <w:sz w:val="16"/>
                <w:szCs w:val="16"/>
              </w:rPr>
            </w:pPr>
          </w:p>
        </w:tc>
        <w:tc>
          <w:tcPr>
            <w:tcW w:w="141" w:type="pct"/>
            <w:tcBorders>
              <w:top w:val="nil"/>
            </w:tcBorders>
            <w:shd w:val="clear" w:color="auto" w:fill="D6EAEB"/>
          </w:tcPr>
          <w:p w14:paraId="74793938" w14:textId="77777777" w:rsidR="00B36774" w:rsidRPr="00136181" w:rsidRDefault="00B36774" w:rsidP="00F640FF">
            <w:pPr>
              <w:keepNext/>
              <w:spacing w:before="0" w:after="0" w:line="240" w:lineRule="auto"/>
              <w:jc w:val="center"/>
              <w:rPr>
                <w:rFonts w:asciiTheme="minorHAnsi" w:hAnsiTheme="minorHAnsi" w:cstheme="minorHAnsi"/>
                <w:b/>
                <w:noProof w:val="0"/>
                <w:sz w:val="16"/>
                <w:szCs w:val="16"/>
              </w:rPr>
            </w:pPr>
          </w:p>
        </w:tc>
      </w:tr>
      <w:tr w:rsidR="00785848" w14:paraId="1C927436" w14:textId="77777777" w:rsidTr="00B36774">
        <w:trPr>
          <w:cantSplit/>
        </w:trPr>
        <w:tc>
          <w:tcPr>
            <w:tcW w:w="140" w:type="pct"/>
            <w:shd w:val="clear" w:color="auto" w:fill="92D050"/>
            <w:vAlign w:val="center"/>
          </w:tcPr>
          <w:p w14:paraId="5F2C3668" w14:textId="77777777" w:rsidR="00B36774" w:rsidRPr="00136181" w:rsidRDefault="00B36774" w:rsidP="00B36774">
            <w:pPr>
              <w:spacing w:before="0" w:after="0" w:line="240" w:lineRule="auto"/>
              <w:rPr>
                <w:rFonts w:asciiTheme="minorHAnsi" w:hAnsiTheme="minorHAnsi" w:cstheme="minorHAnsi"/>
                <w:b/>
                <w:noProof w:val="0"/>
                <w:sz w:val="16"/>
                <w:szCs w:val="16"/>
              </w:rPr>
            </w:pPr>
          </w:p>
        </w:tc>
        <w:tc>
          <w:tcPr>
            <w:tcW w:w="1884" w:type="pct"/>
          </w:tcPr>
          <w:p w14:paraId="3E301B42" w14:textId="77777777" w:rsidR="00B36774" w:rsidRPr="00136181" w:rsidRDefault="00171C91" w:rsidP="00B36774">
            <w:pPr>
              <w:spacing w:before="0" w:after="0" w:line="240" w:lineRule="auto"/>
              <w:rPr>
                <w:rFonts w:asciiTheme="minorHAnsi" w:hAnsiTheme="minorHAnsi" w:cstheme="minorHAnsi"/>
                <w:noProof w:val="0"/>
                <w:sz w:val="16"/>
                <w:szCs w:val="16"/>
              </w:rPr>
            </w:pPr>
            <w:r w:rsidRPr="00136181">
              <w:rPr>
                <w:rFonts w:asciiTheme="minorHAnsi" w:hAnsiTheme="minorHAnsi" w:cstheme="minorHAnsi"/>
                <w:noProof w:val="0"/>
                <w:sz w:val="16"/>
                <w:szCs w:val="16"/>
              </w:rPr>
              <w:t>Are the key stages of the organisation’s advice development processes compatible with Australian processes?</w:t>
            </w:r>
          </w:p>
        </w:tc>
        <w:tc>
          <w:tcPr>
            <w:tcW w:w="192" w:type="pct"/>
            <w:shd w:val="clear" w:color="auto" w:fill="92D050"/>
            <w:vAlign w:val="center"/>
          </w:tcPr>
          <w:p w14:paraId="74BB99CF" w14:textId="62A7E025" w:rsidR="00B36774" w:rsidRPr="00D026EE"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shd w:val="clear" w:color="auto" w:fill="92D050"/>
            <w:vAlign w:val="center"/>
          </w:tcPr>
          <w:p w14:paraId="43FFA939" w14:textId="794837B9" w:rsidR="00B36774" w:rsidRPr="00D026EE"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shd w:val="clear" w:color="auto" w:fill="92D050"/>
            <w:vAlign w:val="center"/>
          </w:tcPr>
          <w:p w14:paraId="03A3B794" w14:textId="1EF54FB6" w:rsidR="00B36774" w:rsidRPr="00EA14B3"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Y</w:t>
            </w:r>
          </w:p>
        </w:tc>
        <w:tc>
          <w:tcPr>
            <w:tcW w:w="192" w:type="pct"/>
            <w:shd w:val="clear" w:color="auto" w:fill="92D050"/>
            <w:vAlign w:val="center"/>
          </w:tcPr>
          <w:p w14:paraId="3AC64F34" w14:textId="204F916F" w:rsidR="00B36774" w:rsidRPr="00EA14B3"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Y</w:t>
            </w:r>
          </w:p>
        </w:tc>
        <w:tc>
          <w:tcPr>
            <w:tcW w:w="192" w:type="pct"/>
            <w:shd w:val="clear" w:color="auto" w:fill="92D050"/>
            <w:vAlign w:val="center"/>
          </w:tcPr>
          <w:p w14:paraId="33EE455A" w14:textId="3B4E5A52"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vAlign w:val="center"/>
          </w:tcPr>
          <w:p w14:paraId="127C9359" w14:textId="3327E312"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5AAE4A73" w14:textId="479CEFCD"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shd w:val="clear" w:color="auto" w:fill="92D050"/>
            <w:vAlign w:val="center"/>
          </w:tcPr>
          <w:p w14:paraId="64D95EB2" w14:textId="6C92E6D4" w:rsidR="00B36774" w:rsidRPr="0029112B"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Y</w:t>
            </w:r>
          </w:p>
        </w:tc>
        <w:tc>
          <w:tcPr>
            <w:tcW w:w="192" w:type="pct"/>
            <w:shd w:val="clear" w:color="auto" w:fill="92D050"/>
            <w:vAlign w:val="center"/>
          </w:tcPr>
          <w:p w14:paraId="1C4B3CB7" w14:textId="2755D4E3"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shd w:val="clear" w:color="auto" w:fill="92D050"/>
            <w:vAlign w:val="center"/>
          </w:tcPr>
          <w:p w14:paraId="590E2FD5" w14:textId="251B6DF7"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shd w:val="clear" w:color="auto" w:fill="92D050"/>
            <w:vAlign w:val="center"/>
          </w:tcPr>
          <w:p w14:paraId="0212C695" w14:textId="0BABCE18" w:rsidR="00B36774" w:rsidRPr="00EA14B3"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Y</w:t>
            </w:r>
          </w:p>
        </w:tc>
        <w:tc>
          <w:tcPr>
            <w:tcW w:w="192" w:type="pct"/>
            <w:vAlign w:val="center"/>
          </w:tcPr>
          <w:p w14:paraId="6393192D" w14:textId="18390F2E"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shd w:val="clear" w:color="auto" w:fill="92D050"/>
            <w:vAlign w:val="center"/>
          </w:tcPr>
          <w:p w14:paraId="2558F588" w14:textId="2DCE6F5D" w:rsidR="00B36774" w:rsidRPr="0029112B"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Y</w:t>
            </w:r>
          </w:p>
        </w:tc>
        <w:tc>
          <w:tcPr>
            <w:tcW w:w="192" w:type="pct"/>
            <w:shd w:val="clear" w:color="auto" w:fill="92D050"/>
            <w:vAlign w:val="center"/>
          </w:tcPr>
          <w:p w14:paraId="507E6356" w14:textId="4E0360BA"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45" w:type="pct"/>
            <w:vAlign w:val="center"/>
          </w:tcPr>
          <w:p w14:paraId="4E4DE9D0" w14:textId="5AF02B4F"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1" w:type="pct"/>
            <w:shd w:val="clear" w:color="auto" w:fill="92D050"/>
            <w:vAlign w:val="center"/>
          </w:tcPr>
          <w:p w14:paraId="16096845" w14:textId="019D95B3" w:rsidR="00B36774" w:rsidRDefault="00171C91" w:rsidP="00B36774">
            <w:pPr>
              <w:spacing w:before="0" w:after="0" w:line="240" w:lineRule="auto"/>
              <w:jc w:val="center"/>
              <w:rPr>
                <w:rFonts w:asciiTheme="minorHAnsi" w:hAnsiTheme="minorHAnsi" w:cstheme="minorHAnsi"/>
                <w:noProof w:val="0"/>
                <w:sz w:val="16"/>
                <w:szCs w:val="16"/>
              </w:rPr>
            </w:pPr>
            <w:r w:rsidRPr="001B320B">
              <w:rPr>
                <w:rFonts w:asciiTheme="minorHAnsi" w:hAnsiTheme="minorHAnsi" w:cstheme="minorHAnsi"/>
                <w:noProof w:val="0"/>
                <w:sz w:val="16"/>
                <w:szCs w:val="16"/>
              </w:rPr>
              <w:t>Y</w:t>
            </w:r>
          </w:p>
        </w:tc>
      </w:tr>
      <w:tr w:rsidR="00785848" w14:paraId="5A4EAC9E" w14:textId="77777777" w:rsidTr="00B36774">
        <w:trPr>
          <w:cantSplit/>
        </w:trPr>
        <w:tc>
          <w:tcPr>
            <w:tcW w:w="140" w:type="pct"/>
            <w:shd w:val="clear" w:color="auto" w:fill="92D050"/>
            <w:vAlign w:val="center"/>
          </w:tcPr>
          <w:p w14:paraId="5CC383AA" w14:textId="77777777" w:rsidR="00B36774" w:rsidRPr="00136181" w:rsidRDefault="00B36774" w:rsidP="00B36774">
            <w:pPr>
              <w:spacing w:before="0" w:after="0" w:line="240" w:lineRule="auto"/>
              <w:rPr>
                <w:rFonts w:asciiTheme="minorHAnsi" w:hAnsiTheme="minorHAnsi" w:cstheme="minorHAnsi"/>
                <w:b/>
                <w:noProof w:val="0"/>
                <w:sz w:val="16"/>
                <w:szCs w:val="16"/>
              </w:rPr>
            </w:pPr>
          </w:p>
        </w:tc>
        <w:tc>
          <w:tcPr>
            <w:tcW w:w="1884" w:type="pct"/>
          </w:tcPr>
          <w:p w14:paraId="539EE62D" w14:textId="77777777" w:rsidR="00B36774" w:rsidRPr="00136181" w:rsidRDefault="00171C91" w:rsidP="00B36774">
            <w:pPr>
              <w:spacing w:before="0" w:after="0" w:line="240" w:lineRule="auto"/>
              <w:rPr>
                <w:rFonts w:asciiTheme="minorHAnsi" w:hAnsiTheme="minorHAnsi" w:cstheme="minorHAnsi"/>
                <w:noProof w:val="0"/>
                <w:sz w:val="16"/>
                <w:szCs w:val="16"/>
              </w:rPr>
            </w:pPr>
            <w:r w:rsidRPr="00136181">
              <w:rPr>
                <w:rFonts w:asciiTheme="minorHAnsi" w:hAnsiTheme="minorHAnsi" w:cstheme="minorHAnsi"/>
                <w:noProof w:val="0"/>
                <w:sz w:val="16"/>
                <w:szCs w:val="16"/>
              </w:rPr>
              <w:t>Are the administrative processes documented and publicly available?</w:t>
            </w:r>
          </w:p>
        </w:tc>
        <w:tc>
          <w:tcPr>
            <w:tcW w:w="192" w:type="pct"/>
            <w:vAlign w:val="center"/>
          </w:tcPr>
          <w:p w14:paraId="508B5993" w14:textId="6F195EF9"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5706AB23" w14:textId="2B9C2E5A"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4DAE5CE1" w14:textId="420BBAB6"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352DFBB5" w14:textId="5563B952"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0348894E" w14:textId="5932A91A"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7AC64170" w14:textId="5113127A"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04C39661" w14:textId="1EDFB1C0"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shd w:val="clear" w:color="auto" w:fill="92D050"/>
            <w:vAlign w:val="center"/>
          </w:tcPr>
          <w:p w14:paraId="401E0BAC" w14:textId="6B6B0C4B" w:rsidR="00B36774" w:rsidRPr="001C135D" w:rsidRDefault="00171C91" w:rsidP="00B36774">
            <w:pPr>
              <w:spacing w:before="0" w:after="0" w:line="240" w:lineRule="auto"/>
              <w:jc w:val="center"/>
              <w:rPr>
                <w:rFonts w:asciiTheme="minorHAnsi" w:hAnsiTheme="minorHAnsi" w:cstheme="minorHAnsi"/>
                <w:noProof w:val="0"/>
                <w:sz w:val="16"/>
                <w:szCs w:val="16"/>
                <w:highlight w:val="green"/>
              </w:rPr>
            </w:pPr>
            <w:r w:rsidRPr="0029112B">
              <w:rPr>
                <w:rFonts w:asciiTheme="minorHAnsi" w:hAnsiTheme="minorHAnsi" w:cstheme="minorHAnsi"/>
                <w:noProof w:val="0"/>
                <w:sz w:val="16"/>
                <w:szCs w:val="16"/>
              </w:rPr>
              <w:t>Partly</w:t>
            </w:r>
          </w:p>
        </w:tc>
        <w:tc>
          <w:tcPr>
            <w:tcW w:w="192" w:type="pct"/>
            <w:vAlign w:val="center"/>
          </w:tcPr>
          <w:p w14:paraId="77158122" w14:textId="4ECADF66"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1489983C" w14:textId="0E1C0000"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vAlign w:val="center"/>
          </w:tcPr>
          <w:p w14:paraId="5BB292CF" w14:textId="104DD24D"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4B311F87" w14:textId="600817C6"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shd w:val="clear" w:color="auto" w:fill="92D050"/>
            <w:vAlign w:val="center"/>
          </w:tcPr>
          <w:p w14:paraId="6CB6FA6B" w14:textId="1D39BDC0" w:rsidR="00B36774" w:rsidRPr="00927720" w:rsidRDefault="00171C91" w:rsidP="00B36774">
            <w:pPr>
              <w:spacing w:before="0" w:after="0" w:line="240" w:lineRule="auto"/>
              <w:jc w:val="center"/>
              <w:rPr>
                <w:rFonts w:asciiTheme="minorHAnsi" w:hAnsiTheme="minorHAnsi" w:cstheme="minorHAnsi"/>
                <w:noProof w:val="0"/>
                <w:sz w:val="16"/>
                <w:szCs w:val="16"/>
                <w:highlight w:val="green"/>
              </w:rPr>
            </w:pPr>
            <w:r w:rsidRPr="0029112B">
              <w:rPr>
                <w:rFonts w:asciiTheme="minorHAnsi" w:hAnsiTheme="minorHAnsi" w:cstheme="minorHAnsi"/>
                <w:noProof w:val="0"/>
                <w:sz w:val="16"/>
                <w:szCs w:val="16"/>
              </w:rPr>
              <w:t>Y</w:t>
            </w:r>
          </w:p>
        </w:tc>
        <w:tc>
          <w:tcPr>
            <w:tcW w:w="192" w:type="pct"/>
            <w:vAlign w:val="center"/>
          </w:tcPr>
          <w:p w14:paraId="4E12B2D4" w14:textId="7ABE928A"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5" w:type="pct"/>
            <w:vAlign w:val="center"/>
          </w:tcPr>
          <w:p w14:paraId="6BBA4C74" w14:textId="4ABA68CA"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1" w:type="pct"/>
            <w:vAlign w:val="center"/>
          </w:tcPr>
          <w:p w14:paraId="34C254B2" w14:textId="1584B345"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r>
      <w:tr w:rsidR="00785848" w14:paraId="7F46086D" w14:textId="77777777" w:rsidTr="00B36774">
        <w:trPr>
          <w:cantSplit/>
          <w:trHeight w:val="195"/>
        </w:trPr>
        <w:tc>
          <w:tcPr>
            <w:tcW w:w="140" w:type="pct"/>
            <w:vMerge w:val="restart"/>
            <w:shd w:val="clear" w:color="auto" w:fill="92D050"/>
            <w:vAlign w:val="center"/>
          </w:tcPr>
          <w:p w14:paraId="4603C1EA" w14:textId="77777777" w:rsidR="00B36774" w:rsidRPr="00136181" w:rsidRDefault="00B36774" w:rsidP="00B36774">
            <w:pPr>
              <w:spacing w:before="0" w:after="0" w:line="240" w:lineRule="auto"/>
              <w:rPr>
                <w:rFonts w:asciiTheme="minorHAnsi" w:hAnsiTheme="minorHAnsi" w:cstheme="minorHAnsi"/>
                <w:b/>
                <w:noProof w:val="0"/>
                <w:sz w:val="16"/>
                <w:szCs w:val="16"/>
              </w:rPr>
            </w:pPr>
          </w:p>
        </w:tc>
        <w:tc>
          <w:tcPr>
            <w:tcW w:w="1884" w:type="pct"/>
            <w:vMerge w:val="restart"/>
          </w:tcPr>
          <w:p w14:paraId="1932F50B" w14:textId="77777777" w:rsidR="00B36774" w:rsidRPr="00136181" w:rsidRDefault="00171C91" w:rsidP="00B36774">
            <w:pPr>
              <w:spacing w:before="0" w:after="0" w:line="240" w:lineRule="auto"/>
              <w:rPr>
                <w:rFonts w:asciiTheme="minorHAnsi" w:hAnsiTheme="minorHAnsi" w:cstheme="minorHAnsi"/>
                <w:noProof w:val="0"/>
                <w:sz w:val="16"/>
                <w:szCs w:val="16"/>
              </w:rPr>
            </w:pPr>
            <w:r w:rsidRPr="00136181">
              <w:rPr>
                <w:rFonts w:asciiTheme="minorHAnsi" w:hAnsiTheme="minorHAnsi" w:cstheme="minorHAnsi"/>
                <w:noProof w:val="0"/>
                <w:sz w:val="16"/>
                <w:szCs w:val="16"/>
              </w:rPr>
              <w:t>Was the work overseen by an expert advisory committee? Are potential conflicts of interest of committee members declared, managed and/or reported?</w:t>
            </w:r>
          </w:p>
        </w:tc>
        <w:tc>
          <w:tcPr>
            <w:tcW w:w="192" w:type="pct"/>
            <w:vMerge w:val="restart"/>
            <w:vAlign w:val="center"/>
          </w:tcPr>
          <w:p w14:paraId="2CCF3176" w14:textId="36769454"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shd w:val="clear" w:color="auto" w:fill="92D050"/>
            <w:vAlign w:val="center"/>
          </w:tcPr>
          <w:p w14:paraId="773B832F" w14:textId="78BA10FE"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vMerge w:val="restart"/>
            <w:vAlign w:val="center"/>
          </w:tcPr>
          <w:p w14:paraId="57632985" w14:textId="35E04172"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Merge w:val="restart"/>
            <w:vAlign w:val="center"/>
          </w:tcPr>
          <w:p w14:paraId="123CA837" w14:textId="7E1F5EFC"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Merge w:val="restart"/>
            <w:vAlign w:val="center"/>
          </w:tcPr>
          <w:p w14:paraId="678AFF7D" w14:textId="6E33E05D"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Merge w:val="restart"/>
            <w:vAlign w:val="center"/>
          </w:tcPr>
          <w:p w14:paraId="2054503D" w14:textId="2D02E28C"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Merge w:val="restart"/>
            <w:vAlign w:val="center"/>
          </w:tcPr>
          <w:p w14:paraId="0E3DB965" w14:textId="5A55A2E4"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shd w:val="clear" w:color="auto" w:fill="92D050"/>
            <w:vAlign w:val="center"/>
          </w:tcPr>
          <w:p w14:paraId="3C0DF1BD" w14:textId="5E6CC7E6" w:rsidR="00B36774" w:rsidRPr="001C135D" w:rsidRDefault="00171C91" w:rsidP="00B36774">
            <w:pPr>
              <w:spacing w:before="0" w:after="0" w:line="240" w:lineRule="auto"/>
              <w:jc w:val="center"/>
              <w:rPr>
                <w:rFonts w:asciiTheme="minorHAnsi" w:hAnsiTheme="minorHAnsi" w:cstheme="minorHAnsi"/>
                <w:noProof w:val="0"/>
                <w:sz w:val="16"/>
                <w:szCs w:val="16"/>
                <w:highlight w:val="green"/>
              </w:rPr>
            </w:pPr>
            <w:r w:rsidRPr="0029112B">
              <w:rPr>
                <w:rFonts w:asciiTheme="minorHAnsi" w:hAnsiTheme="minorHAnsi" w:cstheme="minorHAnsi"/>
                <w:noProof w:val="0"/>
                <w:sz w:val="16"/>
                <w:szCs w:val="16"/>
              </w:rPr>
              <w:t>Y</w:t>
            </w:r>
          </w:p>
        </w:tc>
        <w:tc>
          <w:tcPr>
            <w:tcW w:w="192" w:type="pct"/>
            <w:vMerge w:val="restart"/>
            <w:shd w:val="clear" w:color="auto" w:fill="92D050"/>
            <w:vAlign w:val="center"/>
          </w:tcPr>
          <w:p w14:paraId="3F419BE3" w14:textId="68909B1E"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vMerge w:val="restart"/>
            <w:shd w:val="clear" w:color="auto" w:fill="92D050"/>
            <w:vAlign w:val="center"/>
          </w:tcPr>
          <w:p w14:paraId="4A3974AD" w14:textId="19C74299"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vMerge w:val="restart"/>
            <w:vAlign w:val="center"/>
          </w:tcPr>
          <w:p w14:paraId="7DFFBC7E" w14:textId="7DA1FB7A"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Merge w:val="restart"/>
            <w:shd w:val="clear" w:color="auto" w:fill="92D050"/>
            <w:vAlign w:val="center"/>
          </w:tcPr>
          <w:p w14:paraId="4F0C5A59" w14:textId="3184EC62"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vMerge w:val="restart"/>
            <w:vAlign w:val="center"/>
          </w:tcPr>
          <w:p w14:paraId="56EF2FFF" w14:textId="36936166"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Can’t tell</w:t>
            </w:r>
          </w:p>
        </w:tc>
        <w:tc>
          <w:tcPr>
            <w:tcW w:w="192" w:type="pct"/>
            <w:vMerge w:val="restart"/>
            <w:vAlign w:val="center"/>
          </w:tcPr>
          <w:p w14:paraId="750830A5" w14:textId="0ACA0474"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Can’t tell</w:t>
            </w:r>
          </w:p>
        </w:tc>
        <w:tc>
          <w:tcPr>
            <w:tcW w:w="145" w:type="pct"/>
            <w:vMerge w:val="restart"/>
            <w:vAlign w:val="center"/>
          </w:tcPr>
          <w:p w14:paraId="448E18B2" w14:textId="6C52E738"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1" w:type="pct"/>
            <w:shd w:val="clear" w:color="auto" w:fill="92D050"/>
            <w:vAlign w:val="center"/>
          </w:tcPr>
          <w:p w14:paraId="65851038" w14:textId="1EDE1D3C" w:rsidR="00B36774" w:rsidRDefault="00171C91" w:rsidP="00B36774">
            <w:pPr>
              <w:spacing w:before="0" w:after="0" w:line="240" w:lineRule="auto"/>
              <w:jc w:val="center"/>
              <w:rPr>
                <w:rFonts w:asciiTheme="minorHAnsi" w:hAnsiTheme="minorHAnsi" w:cstheme="minorHAnsi"/>
                <w:noProof w:val="0"/>
                <w:sz w:val="16"/>
                <w:szCs w:val="16"/>
              </w:rPr>
            </w:pPr>
            <w:r w:rsidRPr="001B320B">
              <w:rPr>
                <w:rFonts w:asciiTheme="minorHAnsi" w:hAnsiTheme="minorHAnsi" w:cstheme="minorHAnsi"/>
                <w:noProof w:val="0"/>
                <w:sz w:val="16"/>
                <w:szCs w:val="16"/>
              </w:rPr>
              <w:t>Y</w:t>
            </w:r>
          </w:p>
        </w:tc>
      </w:tr>
      <w:tr w:rsidR="00785848" w14:paraId="00F5634C" w14:textId="77777777" w:rsidTr="00B36774">
        <w:trPr>
          <w:cantSplit/>
          <w:trHeight w:val="195"/>
        </w:trPr>
        <w:tc>
          <w:tcPr>
            <w:tcW w:w="140" w:type="pct"/>
            <w:vMerge/>
            <w:shd w:val="clear" w:color="auto" w:fill="92D050"/>
            <w:vAlign w:val="center"/>
          </w:tcPr>
          <w:p w14:paraId="79959C8F" w14:textId="77777777" w:rsidR="00B36774" w:rsidRPr="00136181" w:rsidRDefault="00B36774" w:rsidP="00B36774">
            <w:pPr>
              <w:spacing w:before="0" w:after="0" w:line="240" w:lineRule="auto"/>
              <w:rPr>
                <w:rFonts w:asciiTheme="minorHAnsi" w:hAnsiTheme="minorHAnsi" w:cstheme="minorHAnsi"/>
                <w:b/>
                <w:noProof w:val="0"/>
                <w:sz w:val="16"/>
                <w:szCs w:val="16"/>
              </w:rPr>
            </w:pPr>
          </w:p>
        </w:tc>
        <w:tc>
          <w:tcPr>
            <w:tcW w:w="1884" w:type="pct"/>
            <w:vMerge/>
          </w:tcPr>
          <w:p w14:paraId="7BA41ABF" w14:textId="77777777" w:rsidR="00B36774" w:rsidRPr="00136181" w:rsidRDefault="00B36774" w:rsidP="00B36774">
            <w:pPr>
              <w:spacing w:before="0" w:after="0" w:line="240" w:lineRule="auto"/>
              <w:rPr>
                <w:rFonts w:asciiTheme="minorHAnsi" w:hAnsiTheme="minorHAnsi" w:cstheme="minorHAnsi"/>
                <w:noProof w:val="0"/>
                <w:sz w:val="16"/>
                <w:szCs w:val="16"/>
              </w:rPr>
            </w:pPr>
          </w:p>
        </w:tc>
        <w:tc>
          <w:tcPr>
            <w:tcW w:w="192" w:type="pct"/>
            <w:vMerge/>
            <w:vAlign w:val="center"/>
          </w:tcPr>
          <w:p w14:paraId="2D676AAF" w14:textId="77777777" w:rsid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Align w:val="center"/>
          </w:tcPr>
          <w:p w14:paraId="34589C37" w14:textId="6BA034E9"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Merge/>
            <w:vAlign w:val="center"/>
          </w:tcPr>
          <w:p w14:paraId="61A31AE1" w14:textId="41249AEF" w:rsid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Merge/>
            <w:vAlign w:val="center"/>
          </w:tcPr>
          <w:p w14:paraId="494B0F91" w14:textId="77777777" w:rsid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Merge/>
            <w:vAlign w:val="center"/>
          </w:tcPr>
          <w:p w14:paraId="535766CC" w14:textId="77777777" w:rsidR="00B36774" w:rsidRP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Merge/>
            <w:vAlign w:val="center"/>
          </w:tcPr>
          <w:p w14:paraId="0104CC9B" w14:textId="77777777" w:rsidR="00B36774" w:rsidRP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Merge/>
            <w:vAlign w:val="center"/>
          </w:tcPr>
          <w:p w14:paraId="5D77FCDC" w14:textId="77777777" w:rsidR="00B36774" w:rsidRP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Align w:val="center"/>
          </w:tcPr>
          <w:p w14:paraId="5FA101BE" w14:textId="70FE0E50" w:rsidR="00B36774" w:rsidRPr="001C135D" w:rsidRDefault="00171C91" w:rsidP="00B36774">
            <w:pPr>
              <w:spacing w:before="0" w:after="0" w:line="240" w:lineRule="auto"/>
              <w:jc w:val="center"/>
              <w:rPr>
                <w:rFonts w:asciiTheme="minorHAnsi" w:hAnsiTheme="minorHAnsi" w:cstheme="minorHAnsi"/>
                <w:noProof w:val="0"/>
                <w:sz w:val="16"/>
                <w:szCs w:val="16"/>
                <w:highlight w:val="green"/>
              </w:rPr>
            </w:pPr>
            <w:r w:rsidRPr="0029112B">
              <w:rPr>
                <w:rFonts w:asciiTheme="minorHAnsi" w:hAnsiTheme="minorHAnsi" w:cstheme="minorHAnsi"/>
                <w:noProof w:val="0"/>
                <w:sz w:val="16"/>
                <w:szCs w:val="16"/>
              </w:rPr>
              <w:t>N</w:t>
            </w:r>
          </w:p>
        </w:tc>
        <w:tc>
          <w:tcPr>
            <w:tcW w:w="192" w:type="pct"/>
            <w:vMerge/>
            <w:shd w:val="clear" w:color="auto" w:fill="92D050"/>
            <w:vAlign w:val="center"/>
          </w:tcPr>
          <w:p w14:paraId="2BE89ED5" w14:textId="77777777" w:rsid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Merge/>
            <w:shd w:val="clear" w:color="auto" w:fill="92D050"/>
            <w:vAlign w:val="center"/>
          </w:tcPr>
          <w:p w14:paraId="76BA7B1B" w14:textId="77777777" w:rsid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Merge/>
            <w:vAlign w:val="center"/>
          </w:tcPr>
          <w:p w14:paraId="3ECCCE95" w14:textId="193DE658" w:rsid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Merge/>
            <w:shd w:val="clear" w:color="auto" w:fill="92D050"/>
            <w:vAlign w:val="center"/>
          </w:tcPr>
          <w:p w14:paraId="2DD84CC4" w14:textId="77777777" w:rsid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Merge/>
            <w:vAlign w:val="center"/>
          </w:tcPr>
          <w:p w14:paraId="521E0DEF" w14:textId="27F2EF6F" w:rsid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Merge/>
            <w:vAlign w:val="center"/>
          </w:tcPr>
          <w:p w14:paraId="104568BF" w14:textId="77777777" w:rsidR="00B36774" w:rsidRPr="00136181" w:rsidRDefault="00B36774" w:rsidP="00B36774">
            <w:pPr>
              <w:spacing w:before="0" w:after="0" w:line="240" w:lineRule="auto"/>
              <w:jc w:val="center"/>
              <w:rPr>
                <w:rFonts w:asciiTheme="minorHAnsi" w:hAnsiTheme="minorHAnsi" w:cstheme="minorHAnsi"/>
                <w:noProof w:val="0"/>
                <w:sz w:val="16"/>
                <w:szCs w:val="16"/>
              </w:rPr>
            </w:pPr>
          </w:p>
        </w:tc>
        <w:tc>
          <w:tcPr>
            <w:tcW w:w="145" w:type="pct"/>
            <w:vMerge/>
            <w:vAlign w:val="center"/>
          </w:tcPr>
          <w:p w14:paraId="51D0104C" w14:textId="77777777" w:rsidR="00B36774" w:rsidRPr="00136181" w:rsidRDefault="00B36774" w:rsidP="00B36774">
            <w:pPr>
              <w:spacing w:before="0" w:after="0" w:line="240" w:lineRule="auto"/>
              <w:jc w:val="center"/>
              <w:rPr>
                <w:rFonts w:asciiTheme="minorHAnsi" w:hAnsiTheme="minorHAnsi" w:cstheme="minorHAnsi"/>
                <w:noProof w:val="0"/>
                <w:sz w:val="16"/>
                <w:szCs w:val="16"/>
              </w:rPr>
            </w:pPr>
          </w:p>
        </w:tc>
        <w:tc>
          <w:tcPr>
            <w:tcW w:w="141" w:type="pct"/>
            <w:vAlign w:val="center"/>
          </w:tcPr>
          <w:p w14:paraId="7EC9CA65" w14:textId="4A144A7F" w:rsidR="00B36774" w:rsidRPr="00136181" w:rsidRDefault="00171C91" w:rsidP="00B36774">
            <w:pPr>
              <w:spacing w:before="0" w:after="0" w:line="240" w:lineRule="auto"/>
              <w:jc w:val="center"/>
              <w:rPr>
                <w:rFonts w:asciiTheme="minorHAnsi" w:hAnsiTheme="minorHAnsi" w:cstheme="minorHAnsi"/>
                <w:noProof w:val="0"/>
                <w:sz w:val="16"/>
                <w:szCs w:val="16"/>
              </w:rPr>
            </w:pPr>
            <w:r w:rsidRPr="001B320B">
              <w:rPr>
                <w:rFonts w:asciiTheme="minorHAnsi" w:hAnsiTheme="minorHAnsi" w:cstheme="minorHAnsi"/>
                <w:noProof w:val="0"/>
                <w:sz w:val="16"/>
                <w:szCs w:val="16"/>
              </w:rPr>
              <w:t>N</w:t>
            </w:r>
          </w:p>
        </w:tc>
      </w:tr>
      <w:tr w:rsidR="00785848" w14:paraId="23839AF0" w14:textId="77777777" w:rsidTr="00B36774">
        <w:trPr>
          <w:cantSplit/>
        </w:trPr>
        <w:tc>
          <w:tcPr>
            <w:tcW w:w="140" w:type="pct"/>
            <w:shd w:val="clear" w:color="auto" w:fill="92D050"/>
            <w:vAlign w:val="center"/>
          </w:tcPr>
          <w:p w14:paraId="7B12DC3D" w14:textId="77777777" w:rsidR="00B36774" w:rsidRPr="00136181" w:rsidRDefault="00B36774" w:rsidP="00B36774">
            <w:pPr>
              <w:spacing w:before="0" w:after="0" w:line="240" w:lineRule="auto"/>
              <w:rPr>
                <w:rFonts w:asciiTheme="minorHAnsi" w:hAnsiTheme="minorHAnsi" w:cstheme="minorHAnsi"/>
                <w:b/>
                <w:noProof w:val="0"/>
                <w:sz w:val="16"/>
                <w:szCs w:val="16"/>
              </w:rPr>
            </w:pPr>
          </w:p>
        </w:tc>
        <w:tc>
          <w:tcPr>
            <w:tcW w:w="1884" w:type="pct"/>
          </w:tcPr>
          <w:p w14:paraId="1D97FB63" w14:textId="77777777" w:rsidR="00B36774" w:rsidRPr="00136181" w:rsidRDefault="00171C91" w:rsidP="00B36774">
            <w:pPr>
              <w:spacing w:before="0" w:after="0" w:line="240" w:lineRule="auto"/>
              <w:rPr>
                <w:rFonts w:asciiTheme="minorHAnsi" w:hAnsiTheme="minorHAnsi" w:cstheme="minorHAnsi"/>
                <w:noProof w:val="0"/>
                <w:sz w:val="16"/>
                <w:szCs w:val="16"/>
              </w:rPr>
            </w:pPr>
            <w:r w:rsidRPr="00136181">
              <w:rPr>
                <w:rFonts w:asciiTheme="minorHAnsi" w:hAnsiTheme="minorHAnsi" w:cstheme="minorHAnsi"/>
                <w:noProof w:val="0"/>
                <w:sz w:val="16"/>
                <w:szCs w:val="16"/>
              </w:rPr>
              <w:t>Are funding sources declared?</w:t>
            </w:r>
          </w:p>
        </w:tc>
        <w:tc>
          <w:tcPr>
            <w:tcW w:w="192" w:type="pct"/>
            <w:vAlign w:val="center"/>
          </w:tcPr>
          <w:p w14:paraId="58F407EE" w14:textId="7F5275BA"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7A409501" w14:textId="10E00F62"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604ACE48" w14:textId="466DB835"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30D894BF" w14:textId="56928D69"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7D6F9DCE" w14:textId="7CE8BB6D"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592D8587" w14:textId="49D28235"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46D333F5" w14:textId="631FB1E8"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7FCF2F23" w14:textId="5F2C700B"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366845F5" w14:textId="447AC87F"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2382255B" w14:textId="31AB6B53"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4A50440E" w14:textId="6B11C367"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20A57A5A" w14:textId="536D4331"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044FAE1F" w14:textId="5E05D411"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42CAC6A2" w14:textId="32FB085D"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5" w:type="pct"/>
            <w:vAlign w:val="center"/>
          </w:tcPr>
          <w:p w14:paraId="3FB01D61" w14:textId="437D4761"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1" w:type="pct"/>
            <w:vAlign w:val="center"/>
          </w:tcPr>
          <w:p w14:paraId="5AFCF9DB" w14:textId="077AB51B"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r>
      <w:tr w:rsidR="00785848" w14:paraId="7B0F6360" w14:textId="77777777" w:rsidTr="00B36774">
        <w:trPr>
          <w:cantSplit/>
        </w:trPr>
        <w:tc>
          <w:tcPr>
            <w:tcW w:w="140" w:type="pct"/>
            <w:shd w:val="clear" w:color="auto" w:fill="FFFF00"/>
            <w:vAlign w:val="center"/>
          </w:tcPr>
          <w:p w14:paraId="2D8FD682" w14:textId="77777777" w:rsidR="00B36774" w:rsidRPr="00136181" w:rsidRDefault="00B36774" w:rsidP="00B36774">
            <w:pPr>
              <w:spacing w:before="0" w:after="0" w:line="240" w:lineRule="auto"/>
              <w:rPr>
                <w:rFonts w:asciiTheme="minorHAnsi" w:hAnsiTheme="minorHAnsi" w:cstheme="minorHAnsi"/>
                <w:b/>
                <w:noProof w:val="0"/>
                <w:sz w:val="16"/>
                <w:szCs w:val="16"/>
              </w:rPr>
            </w:pPr>
          </w:p>
        </w:tc>
        <w:tc>
          <w:tcPr>
            <w:tcW w:w="1884" w:type="pct"/>
          </w:tcPr>
          <w:p w14:paraId="022510AC" w14:textId="77777777" w:rsidR="00B36774" w:rsidRPr="00136181" w:rsidRDefault="00171C91" w:rsidP="00B36774">
            <w:pPr>
              <w:spacing w:before="0" w:after="0" w:line="240" w:lineRule="auto"/>
              <w:rPr>
                <w:rFonts w:asciiTheme="minorHAnsi" w:hAnsiTheme="minorHAnsi" w:cstheme="minorHAnsi"/>
                <w:noProof w:val="0"/>
                <w:sz w:val="16"/>
                <w:szCs w:val="16"/>
              </w:rPr>
            </w:pPr>
            <w:r w:rsidRPr="00136181">
              <w:rPr>
                <w:rFonts w:asciiTheme="minorHAnsi" w:hAnsiTheme="minorHAnsi" w:cstheme="minorHAnsi"/>
                <w:noProof w:val="0"/>
                <w:sz w:val="16"/>
                <w:szCs w:val="16"/>
              </w:rPr>
              <w:t>Was there public consultation on this work? If so, provide details.</w:t>
            </w:r>
          </w:p>
        </w:tc>
        <w:tc>
          <w:tcPr>
            <w:tcW w:w="192" w:type="pct"/>
            <w:vAlign w:val="center"/>
          </w:tcPr>
          <w:p w14:paraId="6C566923" w14:textId="108310F8"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362F8F6C" w14:textId="3010F13B"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Can’t tell</w:t>
            </w:r>
          </w:p>
        </w:tc>
        <w:tc>
          <w:tcPr>
            <w:tcW w:w="192" w:type="pct"/>
            <w:vAlign w:val="center"/>
          </w:tcPr>
          <w:p w14:paraId="4D579929" w14:textId="1AA139B5"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349BA604" w14:textId="654230E6"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0427D36F" w14:textId="084FEB21" w:rsidR="00B36774" w:rsidRPr="0029112B"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N</w:t>
            </w:r>
          </w:p>
        </w:tc>
        <w:tc>
          <w:tcPr>
            <w:tcW w:w="192" w:type="pct"/>
            <w:vAlign w:val="center"/>
          </w:tcPr>
          <w:p w14:paraId="394BD9FC" w14:textId="428F5F41"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6BC0D9E2" w14:textId="3DCE9A67"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shd w:val="clear" w:color="auto" w:fill="FFFF00"/>
            <w:vAlign w:val="center"/>
          </w:tcPr>
          <w:p w14:paraId="523CC56A" w14:textId="2F7D0F4D" w:rsidR="00B36774" w:rsidRPr="00B36774"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Y</w:t>
            </w:r>
          </w:p>
        </w:tc>
        <w:tc>
          <w:tcPr>
            <w:tcW w:w="192" w:type="pct"/>
            <w:vAlign w:val="center"/>
          </w:tcPr>
          <w:p w14:paraId="05B6C923" w14:textId="2440D3B2"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Can’t tell</w:t>
            </w:r>
          </w:p>
        </w:tc>
        <w:tc>
          <w:tcPr>
            <w:tcW w:w="192" w:type="pct"/>
            <w:vAlign w:val="center"/>
          </w:tcPr>
          <w:p w14:paraId="6EC59B21" w14:textId="663E34E6"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Can’t tell</w:t>
            </w:r>
          </w:p>
        </w:tc>
        <w:tc>
          <w:tcPr>
            <w:tcW w:w="192" w:type="pct"/>
            <w:vAlign w:val="center"/>
          </w:tcPr>
          <w:p w14:paraId="006E44CF" w14:textId="52DFCCEE"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2BEBEA2E" w14:textId="21B7959B" w:rsidR="00B36774" w:rsidRPr="00927720" w:rsidRDefault="00171C91" w:rsidP="00B36774">
            <w:pPr>
              <w:spacing w:before="0" w:after="0" w:line="240" w:lineRule="auto"/>
              <w:jc w:val="center"/>
              <w:rPr>
                <w:rFonts w:asciiTheme="minorHAnsi" w:hAnsiTheme="minorHAnsi" w:cstheme="minorHAnsi"/>
                <w:noProof w:val="0"/>
                <w:sz w:val="16"/>
                <w:szCs w:val="16"/>
                <w:highlight w:val="yellow"/>
              </w:rPr>
            </w:pPr>
            <w:r>
              <w:rPr>
                <w:rFonts w:asciiTheme="minorHAnsi" w:hAnsiTheme="minorHAnsi" w:cstheme="minorHAnsi"/>
                <w:noProof w:val="0"/>
                <w:sz w:val="16"/>
                <w:szCs w:val="16"/>
              </w:rPr>
              <w:t>N</w:t>
            </w:r>
          </w:p>
        </w:tc>
        <w:tc>
          <w:tcPr>
            <w:tcW w:w="192" w:type="pct"/>
            <w:shd w:val="clear" w:color="auto" w:fill="FFFF00"/>
            <w:vAlign w:val="center"/>
          </w:tcPr>
          <w:p w14:paraId="21526FC0" w14:textId="075390F0" w:rsidR="00B36774" w:rsidRPr="00136181"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Y</w:t>
            </w:r>
          </w:p>
        </w:tc>
        <w:tc>
          <w:tcPr>
            <w:tcW w:w="192" w:type="pct"/>
            <w:vAlign w:val="center"/>
          </w:tcPr>
          <w:p w14:paraId="39DBB6A1" w14:textId="754C3B13"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Can’t tell</w:t>
            </w:r>
          </w:p>
        </w:tc>
        <w:tc>
          <w:tcPr>
            <w:tcW w:w="145" w:type="pct"/>
            <w:vAlign w:val="center"/>
          </w:tcPr>
          <w:p w14:paraId="29E5D5B9" w14:textId="38282DC7"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1" w:type="pct"/>
            <w:shd w:val="clear" w:color="auto" w:fill="FFFF00"/>
            <w:vAlign w:val="center"/>
          </w:tcPr>
          <w:p w14:paraId="3E898F38" w14:textId="09828934" w:rsidR="00B36774"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Y</w:t>
            </w:r>
          </w:p>
        </w:tc>
      </w:tr>
      <w:tr w:rsidR="00785848" w14:paraId="019194FE" w14:textId="77777777" w:rsidTr="00B36774">
        <w:trPr>
          <w:cantSplit/>
          <w:trHeight w:val="195"/>
        </w:trPr>
        <w:tc>
          <w:tcPr>
            <w:tcW w:w="140" w:type="pct"/>
            <w:vMerge w:val="restart"/>
            <w:shd w:val="clear" w:color="auto" w:fill="FFFF00"/>
            <w:vAlign w:val="center"/>
          </w:tcPr>
          <w:p w14:paraId="7D3C4310" w14:textId="77777777" w:rsidR="00B36774" w:rsidRPr="00136181" w:rsidRDefault="00B36774" w:rsidP="00B36774">
            <w:pPr>
              <w:spacing w:before="0" w:after="0" w:line="240" w:lineRule="auto"/>
              <w:rPr>
                <w:rFonts w:asciiTheme="minorHAnsi" w:hAnsiTheme="minorHAnsi" w:cstheme="minorHAnsi"/>
                <w:b/>
                <w:noProof w:val="0"/>
                <w:sz w:val="16"/>
                <w:szCs w:val="16"/>
              </w:rPr>
            </w:pPr>
          </w:p>
        </w:tc>
        <w:tc>
          <w:tcPr>
            <w:tcW w:w="1884" w:type="pct"/>
            <w:vMerge w:val="restart"/>
          </w:tcPr>
          <w:p w14:paraId="0BE5B753" w14:textId="77777777" w:rsidR="00B36774" w:rsidRPr="00136181" w:rsidRDefault="00171C91" w:rsidP="00B36774">
            <w:pPr>
              <w:spacing w:before="0" w:after="0" w:line="240" w:lineRule="auto"/>
              <w:rPr>
                <w:rFonts w:asciiTheme="minorHAnsi" w:hAnsiTheme="minorHAnsi" w:cstheme="minorHAnsi"/>
                <w:noProof w:val="0"/>
                <w:sz w:val="16"/>
                <w:szCs w:val="16"/>
              </w:rPr>
            </w:pPr>
            <w:r w:rsidRPr="00136181">
              <w:rPr>
                <w:rFonts w:asciiTheme="minorHAnsi" w:hAnsiTheme="minorHAnsi" w:cstheme="minorHAnsi"/>
                <w:noProof w:val="0"/>
                <w:sz w:val="16"/>
                <w:szCs w:val="16"/>
              </w:rPr>
              <w:t>Is the advice peer reviewed? If so, is the peer review outcome documented and/or published?</w:t>
            </w:r>
          </w:p>
        </w:tc>
        <w:tc>
          <w:tcPr>
            <w:tcW w:w="192" w:type="pct"/>
            <w:vMerge w:val="restart"/>
            <w:vAlign w:val="center"/>
          </w:tcPr>
          <w:p w14:paraId="57708AFB" w14:textId="5D314B93"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shd w:val="clear" w:color="auto" w:fill="FFFF00"/>
            <w:vAlign w:val="center"/>
          </w:tcPr>
          <w:p w14:paraId="1E26C7B4" w14:textId="37FB29D2"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vMerge w:val="restart"/>
            <w:vAlign w:val="center"/>
          </w:tcPr>
          <w:p w14:paraId="04DA63A0" w14:textId="599E04B0"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n/a</w:t>
            </w:r>
          </w:p>
        </w:tc>
        <w:tc>
          <w:tcPr>
            <w:tcW w:w="192" w:type="pct"/>
            <w:vMerge w:val="restart"/>
            <w:vAlign w:val="center"/>
          </w:tcPr>
          <w:p w14:paraId="492C98E9" w14:textId="53FA398F"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Merge w:val="restart"/>
            <w:vAlign w:val="center"/>
          </w:tcPr>
          <w:p w14:paraId="67CD6703" w14:textId="170B62F8"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Merge w:val="restart"/>
            <w:vAlign w:val="center"/>
          </w:tcPr>
          <w:p w14:paraId="60222D92" w14:textId="1AC55E5C"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Merge w:val="restart"/>
            <w:vAlign w:val="center"/>
          </w:tcPr>
          <w:p w14:paraId="4D4BBBC7" w14:textId="7F5FB61B"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shd w:val="clear" w:color="auto" w:fill="FFFF00"/>
            <w:vAlign w:val="center"/>
          </w:tcPr>
          <w:p w14:paraId="4EF30DCB" w14:textId="607395EE" w:rsidR="00B36774" w:rsidRPr="00EA14B3"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Y</w:t>
            </w:r>
          </w:p>
        </w:tc>
        <w:tc>
          <w:tcPr>
            <w:tcW w:w="192" w:type="pct"/>
            <w:vMerge w:val="restart"/>
            <w:vAlign w:val="center"/>
          </w:tcPr>
          <w:p w14:paraId="7E76DB1A" w14:textId="660608B6"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Can’t tell</w:t>
            </w:r>
          </w:p>
        </w:tc>
        <w:tc>
          <w:tcPr>
            <w:tcW w:w="192" w:type="pct"/>
            <w:vMerge w:val="restart"/>
            <w:vAlign w:val="center"/>
          </w:tcPr>
          <w:p w14:paraId="17D0B7F4" w14:textId="7B803DC8"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Can’t tell</w:t>
            </w:r>
          </w:p>
        </w:tc>
        <w:tc>
          <w:tcPr>
            <w:tcW w:w="192" w:type="pct"/>
            <w:vMerge w:val="restart"/>
            <w:vAlign w:val="center"/>
          </w:tcPr>
          <w:p w14:paraId="5D64F4D8" w14:textId="2DDD2492"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Merge w:val="restart"/>
            <w:vAlign w:val="center"/>
          </w:tcPr>
          <w:p w14:paraId="1C7EDE68" w14:textId="1AF316E1"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Merge w:val="restart"/>
            <w:vAlign w:val="center"/>
          </w:tcPr>
          <w:p w14:paraId="0511E2FB" w14:textId="1483B9E2"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Can’t tell</w:t>
            </w:r>
          </w:p>
        </w:tc>
        <w:tc>
          <w:tcPr>
            <w:tcW w:w="192" w:type="pct"/>
            <w:shd w:val="clear" w:color="auto" w:fill="FFFF00"/>
            <w:vAlign w:val="center"/>
          </w:tcPr>
          <w:p w14:paraId="4DD795C9" w14:textId="450F5EB4"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45" w:type="pct"/>
            <w:vMerge w:val="restart"/>
            <w:vAlign w:val="center"/>
          </w:tcPr>
          <w:p w14:paraId="26D95932" w14:textId="78710774"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1" w:type="pct"/>
            <w:vMerge w:val="restart"/>
            <w:vAlign w:val="center"/>
          </w:tcPr>
          <w:p w14:paraId="6F496FA3" w14:textId="6FD652CD"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Can’t tell</w:t>
            </w:r>
          </w:p>
        </w:tc>
      </w:tr>
      <w:tr w:rsidR="00785848" w14:paraId="4DE331EB" w14:textId="77777777" w:rsidTr="00B36774">
        <w:trPr>
          <w:cantSplit/>
          <w:trHeight w:val="195"/>
        </w:trPr>
        <w:tc>
          <w:tcPr>
            <w:tcW w:w="140" w:type="pct"/>
            <w:vMerge/>
            <w:shd w:val="clear" w:color="auto" w:fill="FFFF00"/>
            <w:vAlign w:val="center"/>
          </w:tcPr>
          <w:p w14:paraId="0BD0FDC2" w14:textId="77777777" w:rsidR="00B36774" w:rsidRPr="00136181" w:rsidRDefault="00B36774" w:rsidP="00B36774">
            <w:pPr>
              <w:spacing w:before="0" w:after="0" w:line="240" w:lineRule="auto"/>
              <w:rPr>
                <w:rFonts w:asciiTheme="minorHAnsi" w:hAnsiTheme="minorHAnsi" w:cstheme="minorHAnsi"/>
                <w:b/>
                <w:noProof w:val="0"/>
                <w:sz w:val="16"/>
                <w:szCs w:val="16"/>
              </w:rPr>
            </w:pPr>
          </w:p>
        </w:tc>
        <w:tc>
          <w:tcPr>
            <w:tcW w:w="1884" w:type="pct"/>
            <w:vMerge/>
          </w:tcPr>
          <w:p w14:paraId="6BA3A416" w14:textId="77777777" w:rsidR="00B36774" w:rsidRPr="00136181" w:rsidRDefault="00B36774" w:rsidP="00B36774">
            <w:pPr>
              <w:spacing w:before="0" w:after="0" w:line="240" w:lineRule="auto"/>
              <w:rPr>
                <w:rFonts w:asciiTheme="minorHAnsi" w:hAnsiTheme="minorHAnsi" w:cstheme="minorHAnsi"/>
                <w:noProof w:val="0"/>
                <w:sz w:val="16"/>
                <w:szCs w:val="16"/>
              </w:rPr>
            </w:pPr>
          </w:p>
        </w:tc>
        <w:tc>
          <w:tcPr>
            <w:tcW w:w="192" w:type="pct"/>
            <w:vMerge/>
            <w:vAlign w:val="center"/>
          </w:tcPr>
          <w:p w14:paraId="2E67E00D" w14:textId="77777777" w:rsid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Align w:val="center"/>
          </w:tcPr>
          <w:p w14:paraId="2623074B" w14:textId="6DAAF000"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Merge/>
            <w:vAlign w:val="center"/>
          </w:tcPr>
          <w:p w14:paraId="7FDACB10" w14:textId="50C81038" w:rsid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Merge/>
            <w:vAlign w:val="center"/>
          </w:tcPr>
          <w:p w14:paraId="07AD1462" w14:textId="77777777" w:rsid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Merge/>
            <w:vAlign w:val="center"/>
          </w:tcPr>
          <w:p w14:paraId="6907FB53" w14:textId="77777777" w:rsidR="00B36774" w:rsidRP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Merge/>
            <w:vAlign w:val="center"/>
          </w:tcPr>
          <w:p w14:paraId="689023BC" w14:textId="77777777" w:rsidR="00B36774" w:rsidRP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Merge/>
            <w:vAlign w:val="center"/>
          </w:tcPr>
          <w:p w14:paraId="6F3A4687" w14:textId="77777777" w:rsidR="00B36774" w:rsidRP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Align w:val="center"/>
          </w:tcPr>
          <w:p w14:paraId="15F3B8EA" w14:textId="6D6FA5D8" w:rsidR="00B36774" w:rsidRPr="0029112B"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N</w:t>
            </w:r>
          </w:p>
        </w:tc>
        <w:tc>
          <w:tcPr>
            <w:tcW w:w="192" w:type="pct"/>
            <w:vMerge/>
            <w:vAlign w:val="center"/>
          </w:tcPr>
          <w:p w14:paraId="610E8439" w14:textId="77777777" w:rsid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Merge/>
            <w:vAlign w:val="center"/>
          </w:tcPr>
          <w:p w14:paraId="203785FE" w14:textId="77777777" w:rsid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Merge/>
            <w:vAlign w:val="center"/>
          </w:tcPr>
          <w:p w14:paraId="42099D28" w14:textId="3D2DC6FC" w:rsid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Merge/>
            <w:vAlign w:val="center"/>
          </w:tcPr>
          <w:p w14:paraId="55DD444F" w14:textId="77777777" w:rsid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Merge/>
            <w:vAlign w:val="center"/>
          </w:tcPr>
          <w:p w14:paraId="05DEF18F" w14:textId="4A270450" w:rsidR="00B36774" w:rsidRDefault="00B36774" w:rsidP="00B36774">
            <w:pPr>
              <w:spacing w:before="0" w:after="0" w:line="240" w:lineRule="auto"/>
              <w:jc w:val="center"/>
              <w:rPr>
                <w:rFonts w:asciiTheme="minorHAnsi" w:hAnsiTheme="minorHAnsi" w:cstheme="minorHAnsi"/>
                <w:noProof w:val="0"/>
                <w:sz w:val="16"/>
                <w:szCs w:val="16"/>
              </w:rPr>
            </w:pPr>
          </w:p>
        </w:tc>
        <w:tc>
          <w:tcPr>
            <w:tcW w:w="192" w:type="pct"/>
            <w:vAlign w:val="center"/>
          </w:tcPr>
          <w:p w14:paraId="0B8483CD" w14:textId="4F5F34D5"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5" w:type="pct"/>
            <w:vMerge/>
            <w:vAlign w:val="center"/>
          </w:tcPr>
          <w:p w14:paraId="75C10591" w14:textId="77777777" w:rsidR="00B36774" w:rsidRPr="00136181" w:rsidRDefault="00B36774" w:rsidP="00B36774">
            <w:pPr>
              <w:spacing w:before="0" w:after="0" w:line="240" w:lineRule="auto"/>
              <w:jc w:val="center"/>
              <w:rPr>
                <w:rFonts w:asciiTheme="minorHAnsi" w:hAnsiTheme="minorHAnsi" w:cstheme="minorHAnsi"/>
                <w:noProof w:val="0"/>
                <w:sz w:val="16"/>
                <w:szCs w:val="16"/>
              </w:rPr>
            </w:pPr>
          </w:p>
        </w:tc>
        <w:tc>
          <w:tcPr>
            <w:tcW w:w="141" w:type="pct"/>
            <w:vMerge/>
            <w:vAlign w:val="center"/>
          </w:tcPr>
          <w:p w14:paraId="6B681E1B" w14:textId="77777777" w:rsidR="00B36774" w:rsidRPr="00136181" w:rsidRDefault="00B36774" w:rsidP="00B36774">
            <w:pPr>
              <w:spacing w:before="0" w:after="0" w:line="240" w:lineRule="auto"/>
              <w:jc w:val="center"/>
              <w:rPr>
                <w:rFonts w:asciiTheme="minorHAnsi" w:hAnsiTheme="minorHAnsi" w:cstheme="minorHAnsi"/>
                <w:noProof w:val="0"/>
                <w:sz w:val="16"/>
                <w:szCs w:val="16"/>
              </w:rPr>
            </w:pPr>
          </w:p>
        </w:tc>
      </w:tr>
      <w:tr w:rsidR="00785848" w14:paraId="5C9D4FA4" w14:textId="77777777" w:rsidTr="00B36774">
        <w:trPr>
          <w:cantSplit/>
        </w:trPr>
        <w:tc>
          <w:tcPr>
            <w:tcW w:w="140" w:type="pct"/>
            <w:shd w:val="clear" w:color="auto" w:fill="FFFF00"/>
            <w:vAlign w:val="center"/>
          </w:tcPr>
          <w:p w14:paraId="53FC9B1F" w14:textId="77777777" w:rsidR="00B36774" w:rsidRPr="00136181" w:rsidRDefault="00B36774" w:rsidP="00B36774">
            <w:pPr>
              <w:spacing w:before="0" w:after="0" w:line="240" w:lineRule="auto"/>
              <w:rPr>
                <w:rFonts w:asciiTheme="minorHAnsi" w:hAnsiTheme="minorHAnsi" w:cstheme="minorHAnsi"/>
                <w:b/>
                <w:noProof w:val="0"/>
                <w:sz w:val="16"/>
                <w:szCs w:val="16"/>
              </w:rPr>
            </w:pPr>
          </w:p>
        </w:tc>
        <w:tc>
          <w:tcPr>
            <w:tcW w:w="1884" w:type="pct"/>
          </w:tcPr>
          <w:p w14:paraId="1CD7DC31" w14:textId="77777777" w:rsidR="00B36774" w:rsidRPr="00136181" w:rsidRDefault="00171C91" w:rsidP="00B36774">
            <w:pPr>
              <w:spacing w:before="0" w:after="0" w:line="240" w:lineRule="auto"/>
              <w:rPr>
                <w:rFonts w:asciiTheme="minorHAnsi" w:hAnsiTheme="minorHAnsi" w:cstheme="minorHAnsi"/>
                <w:noProof w:val="0"/>
                <w:sz w:val="16"/>
                <w:szCs w:val="16"/>
              </w:rPr>
            </w:pPr>
            <w:r w:rsidRPr="00136181">
              <w:rPr>
                <w:rFonts w:asciiTheme="minorHAnsi" w:hAnsiTheme="minorHAnsi" w:cstheme="minorHAnsi"/>
                <w:noProof w:val="0"/>
                <w:sz w:val="16"/>
                <w:szCs w:val="16"/>
              </w:rPr>
              <w:t>Was the guidance/advice developed or updated recently? Provide details.</w:t>
            </w:r>
          </w:p>
        </w:tc>
        <w:tc>
          <w:tcPr>
            <w:tcW w:w="192" w:type="pct"/>
            <w:vAlign w:val="center"/>
          </w:tcPr>
          <w:p w14:paraId="5E01ECCA" w14:textId="3F2779FB" w:rsidR="00B36774" w:rsidRPr="00044510" w:rsidRDefault="00171C91" w:rsidP="00B36774">
            <w:pPr>
              <w:spacing w:before="0" w:after="0" w:line="240" w:lineRule="auto"/>
              <w:jc w:val="center"/>
              <w:rPr>
                <w:rFonts w:asciiTheme="minorHAnsi" w:hAnsiTheme="minorHAnsi" w:cstheme="minorHAnsi"/>
                <w:noProof w:val="0"/>
                <w:sz w:val="16"/>
                <w:szCs w:val="16"/>
                <w:highlight w:val="yellow"/>
              </w:rPr>
            </w:pPr>
            <w:r w:rsidRPr="0029112B">
              <w:rPr>
                <w:rFonts w:asciiTheme="minorHAnsi" w:hAnsiTheme="minorHAnsi" w:cstheme="minorHAnsi"/>
                <w:noProof w:val="0"/>
                <w:sz w:val="16"/>
                <w:szCs w:val="16"/>
              </w:rPr>
              <w:t>N</w:t>
            </w:r>
          </w:p>
        </w:tc>
        <w:tc>
          <w:tcPr>
            <w:tcW w:w="192" w:type="pct"/>
            <w:vAlign w:val="center"/>
          </w:tcPr>
          <w:p w14:paraId="079654D7" w14:textId="6D8B5AC5" w:rsidR="00B36774" w:rsidRPr="00044510" w:rsidRDefault="00171C91" w:rsidP="00B36774">
            <w:pPr>
              <w:spacing w:before="0" w:after="0" w:line="240" w:lineRule="auto"/>
              <w:jc w:val="center"/>
              <w:rPr>
                <w:rFonts w:asciiTheme="minorHAnsi" w:hAnsiTheme="minorHAnsi" w:cstheme="minorHAnsi"/>
                <w:noProof w:val="0"/>
                <w:sz w:val="16"/>
                <w:szCs w:val="16"/>
                <w:highlight w:val="yellow"/>
              </w:rPr>
            </w:pPr>
            <w:r w:rsidRPr="0029112B">
              <w:rPr>
                <w:rFonts w:asciiTheme="minorHAnsi" w:hAnsiTheme="minorHAnsi" w:cstheme="minorHAnsi"/>
                <w:noProof w:val="0"/>
                <w:sz w:val="16"/>
                <w:szCs w:val="16"/>
              </w:rPr>
              <w:t>N</w:t>
            </w:r>
          </w:p>
        </w:tc>
        <w:tc>
          <w:tcPr>
            <w:tcW w:w="192" w:type="pct"/>
            <w:shd w:val="clear" w:color="auto" w:fill="FFFF00"/>
            <w:vAlign w:val="center"/>
          </w:tcPr>
          <w:p w14:paraId="06C90A99" w14:textId="28DB7EA5" w:rsidR="00B36774" w:rsidRPr="00136181"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Y</w:t>
            </w:r>
          </w:p>
        </w:tc>
        <w:tc>
          <w:tcPr>
            <w:tcW w:w="192" w:type="pct"/>
            <w:vAlign w:val="center"/>
          </w:tcPr>
          <w:p w14:paraId="69A8412F" w14:textId="15E4BF48"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shd w:val="clear" w:color="auto" w:fill="FFFF00"/>
            <w:vAlign w:val="center"/>
          </w:tcPr>
          <w:p w14:paraId="59ED1ED8" w14:textId="0EBEE73B"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vAlign w:val="center"/>
          </w:tcPr>
          <w:p w14:paraId="32861ADE" w14:textId="2B60C5F9"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77378034" w14:textId="06328B5C"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76D98B5A" w14:textId="29B09B03"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06F1E087" w14:textId="52D9FA2A"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0D684C7B" w14:textId="01CF26E2"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12C3EF63" w14:textId="0D1C2FF4"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1E0580DE" w14:textId="7AC178B9"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01C36DD4" w14:textId="24925CF9"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shd w:val="clear" w:color="auto" w:fill="FFFF00"/>
            <w:vAlign w:val="center"/>
          </w:tcPr>
          <w:p w14:paraId="4BBD06D0" w14:textId="0423E4F0"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45" w:type="pct"/>
            <w:vAlign w:val="center"/>
          </w:tcPr>
          <w:p w14:paraId="118A54BC" w14:textId="2337D704"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1" w:type="pct"/>
            <w:shd w:val="clear" w:color="auto" w:fill="FFFF00"/>
            <w:vAlign w:val="center"/>
          </w:tcPr>
          <w:p w14:paraId="0A3A4DE1" w14:textId="0C33642F" w:rsidR="00B36774"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Y</w:t>
            </w:r>
          </w:p>
        </w:tc>
      </w:tr>
      <w:tr w:rsidR="00785848" w14:paraId="5C0BDB6E" w14:textId="77777777" w:rsidTr="00B36774">
        <w:trPr>
          <w:cantSplit/>
        </w:trPr>
        <w:tc>
          <w:tcPr>
            <w:tcW w:w="140" w:type="pct"/>
            <w:shd w:val="clear" w:color="auto" w:fill="D6EAEB"/>
            <w:vAlign w:val="center"/>
          </w:tcPr>
          <w:p w14:paraId="2C9E8AE1" w14:textId="79E91410" w:rsidR="00B36774" w:rsidRPr="00136181" w:rsidRDefault="00B36774" w:rsidP="00B36774">
            <w:pPr>
              <w:keepNext/>
              <w:spacing w:before="0" w:after="0" w:line="240" w:lineRule="auto"/>
              <w:rPr>
                <w:rFonts w:asciiTheme="minorHAnsi" w:hAnsiTheme="minorHAnsi" w:cstheme="minorHAnsi"/>
                <w:b/>
                <w:noProof w:val="0"/>
                <w:sz w:val="16"/>
                <w:szCs w:val="16"/>
              </w:rPr>
            </w:pPr>
            <w:bookmarkStart w:id="328" w:name="_Hlk97642952"/>
          </w:p>
        </w:tc>
        <w:tc>
          <w:tcPr>
            <w:tcW w:w="1884" w:type="pct"/>
            <w:shd w:val="clear" w:color="auto" w:fill="D6EAEB"/>
            <w:vAlign w:val="center"/>
          </w:tcPr>
          <w:p w14:paraId="5942B1C7" w14:textId="7DB39A93" w:rsidR="00B36774" w:rsidRPr="00136181" w:rsidRDefault="00171C91" w:rsidP="00B36774">
            <w:pPr>
              <w:keepNext/>
              <w:spacing w:before="0" w:after="0" w:line="240" w:lineRule="auto"/>
              <w:rPr>
                <w:rFonts w:asciiTheme="minorHAnsi" w:hAnsiTheme="minorHAnsi" w:cstheme="minorHAnsi"/>
                <w:b/>
                <w:noProof w:val="0"/>
                <w:sz w:val="16"/>
                <w:szCs w:val="16"/>
              </w:rPr>
            </w:pPr>
            <w:r w:rsidRPr="00136181">
              <w:rPr>
                <w:rFonts w:asciiTheme="minorHAnsi" w:hAnsiTheme="minorHAnsi" w:cstheme="minorHAnsi"/>
                <w:b/>
                <w:noProof w:val="0"/>
                <w:sz w:val="16"/>
                <w:szCs w:val="16"/>
              </w:rPr>
              <w:t>Evidence review parameters</w:t>
            </w:r>
          </w:p>
        </w:tc>
        <w:tc>
          <w:tcPr>
            <w:tcW w:w="192" w:type="pct"/>
            <w:shd w:val="clear" w:color="auto" w:fill="D6EAEB"/>
            <w:vAlign w:val="center"/>
          </w:tcPr>
          <w:p w14:paraId="3239E74C"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413A661F"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53870851" w14:textId="2D4167DD"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7E56EC74"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3C931519"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63BFF4E0"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1969A533"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67BA26F5" w14:textId="273E3AFC"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7DBD0C9E"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4F655CF4"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6B7578EA" w14:textId="754ABDEE"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tcPr>
          <w:p w14:paraId="74375DD0"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14ACA923" w14:textId="542D9844"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705F0024"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45" w:type="pct"/>
            <w:shd w:val="clear" w:color="auto" w:fill="D6EAEB"/>
            <w:vAlign w:val="center"/>
          </w:tcPr>
          <w:p w14:paraId="1ECE314C" w14:textId="16DDBC21"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41" w:type="pct"/>
            <w:shd w:val="clear" w:color="auto" w:fill="D6EAEB"/>
          </w:tcPr>
          <w:p w14:paraId="642B86E2"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r>
      <w:bookmarkEnd w:id="328"/>
      <w:tr w:rsidR="00785848" w14:paraId="1ECA2BA0" w14:textId="77777777" w:rsidTr="00B36774">
        <w:trPr>
          <w:cantSplit/>
        </w:trPr>
        <w:tc>
          <w:tcPr>
            <w:tcW w:w="140" w:type="pct"/>
            <w:shd w:val="clear" w:color="auto" w:fill="92D050"/>
            <w:vAlign w:val="center"/>
          </w:tcPr>
          <w:p w14:paraId="031A7CD4" w14:textId="77777777" w:rsidR="00B36774" w:rsidRPr="00136181" w:rsidRDefault="00B36774" w:rsidP="00B36774">
            <w:pPr>
              <w:spacing w:before="0" w:after="0" w:line="240" w:lineRule="auto"/>
              <w:rPr>
                <w:rFonts w:asciiTheme="minorHAnsi" w:hAnsiTheme="minorHAnsi" w:cstheme="minorHAnsi"/>
                <w:b/>
                <w:noProof w:val="0"/>
                <w:sz w:val="16"/>
                <w:szCs w:val="16"/>
              </w:rPr>
            </w:pPr>
          </w:p>
        </w:tc>
        <w:tc>
          <w:tcPr>
            <w:tcW w:w="1884" w:type="pct"/>
          </w:tcPr>
          <w:p w14:paraId="2A339161" w14:textId="77777777" w:rsidR="00B36774" w:rsidRPr="00136181" w:rsidRDefault="00171C91" w:rsidP="00B36774">
            <w:pPr>
              <w:spacing w:before="0" w:after="0" w:line="240" w:lineRule="auto"/>
              <w:rPr>
                <w:rFonts w:asciiTheme="minorHAnsi" w:hAnsiTheme="minorHAnsi" w:cstheme="minorHAnsi"/>
                <w:noProof w:val="0"/>
                <w:sz w:val="16"/>
                <w:szCs w:val="16"/>
              </w:rPr>
            </w:pPr>
            <w:r w:rsidRPr="00136181">
              <w:rPr>
                <w:rFonts w:asciiTheme="minorHAnsi" w:hAnsiTheme="minorHAnsi" w:cstheme="minorHAnsi"/>
                <w:noProof w:val="0"/>
                <w:sz w:val="16"/>
                <w:szCs w:val="16"/>
              </w:rPr>
              <w:t>Are decisions about scope, definitions and evidence review parameters documented and publicly available?</w:t>
            </w:r>
          </w:p>
        </w:tc>
        <w:tc>
          <w:tcPr>
            <w:tcW w:w="192" w:type="pct"/>
            <w:vAlign w:val="center"/>
          </w:tcPr>
          <w:p w14:paraId="1415744A" w14:textId="09529E7A"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77BB8C9F" w14:textId="7D526FAD"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25F552B5" w14:textId="786C8F1F"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4F72B19C" w14:textId="53DBF574"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35570057" w14:textId="73720FFD"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780410BB" w14:textId="5CF06B30"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04C0177A" w14:textId="199B6038"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7E148EED" w14:textId="04F34C3B"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2735D8DE" w14:textId="7F2E92D7"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231BE9AA" w14:textId="6D8C5B2F"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75BC1175" w14:textId="7EABE277"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0A2BFB5E" w14:textId="448141CD"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4AF69CFB" w14:textId="0B16F119"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3D3E3756" w14:textId="4695B0FD"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5" w:type="pct"/>
            <w:vAlign w:val="center"/>
          </w:tcPr>
          <w:p w14:paraId="6869D600" w14:textId="6111DA5C"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1" w:type="pct"/>
            <w:vAlign w:val="center"/>
          </w:tcPr>
          <w:p w14:paraId="3050337A" w14:textId="16CC6819"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r>
      <w:tr w:rsidR="00785848" w14:paraId="51CB2B36" w14:textId="77777777" w:rsidTr="00B36774">
        <w:trPr>
          <w:cantSplit/>
        </w:trPr>
        <w:tc>
          <w:tcPr>
            <w:tcW w:w="140" w:type="pct"/>
            <w:shd w:val="clear" w:color="auto" w:fill="92D050"/>
            <w:vAlign w:val="center"/>
          </w:tcPr>
          <w:p w14:paraId="1FF3DB78" w14:textId="77777777" w:rsidR="00B36774" w:rsidRPr="00136181" w:rsidRDefault="00B36774" w:rsidP="00B36774">
            <w:pPr>
              <w:spacing w:before="0" w:after="0" w:line="240" w:lineRule="auto"/>
              <w:rPr>
                <w:rFonts w:asciiTheme="minorHAnsi" w:hAnsiTheme="minorHAnsi" w:cstheme="minorHAnsi"/>
                <w:b/>
                <w:noProof w:val="0"/>
                <w:sz w:val="16"/>
                <w:szCs w:val="16"/>
              </w:rPr>
            </w:pPr>
          </w:p>
        </w:tc>
        <w:tc>
          <w:tcPr>
            <w:tcW w:w="1884" w:type="pct"/>
          </w:tcPr>
          <w:p w14:paraId="693747CF" w14:textId="77777777" w:rsidR="00B36774" w:rsidRPr="00136181" w:rsidRDefault="00171C91" w:rsidP="00B36774">
            <w:pPr>
              <w:spacing w:before="0" w:after="0" w:line="240" w:lineRule="auto"/>
              <w:rPr>
                <w:rFonts w:asciiTheme="minorHAnsi" w:hAnsiTheme="minorHAnsi" w:cstheme="minorHAnsi"/>
                <w:noProof w:val="0"/>
                <w:sz w:val="16"/>
                <w:szCs w:val="16"/>
              </w:rPr>
            </w:pPr>
            <w:r w:rsidRPr="00136181">
              <w:rPr>
                <w:rFonts w:asciiTheme="minorHAnsi" w:hAnsiTheme="minorHAnsi" w:cstheme="minorHAnsi"/>
                <w:noProof w:val="0"/>
                <w:sz w:val="16"/>
                <w:szCs w:val="16"/>
              </w:rPr>
              <w:t>Is there a preference for data from studies that follow agreed international protocols or meet appropriate industry standards?</w:t>
            </w:r>
          </w:p>
        </w:tc>
        <w:tc>
          <w:tcPr>
            <w:tcW w:w="192" w:type="pct"/>
            <w:vAlign w:val="center"/>
          </w:tcPr>
          <w:p w14:paraId="22598F8B" w14:textId="41966F95"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5C05A287" w14:textId="51414748"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4C563330" w14:textId="710EB368"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21F6A636" w14:textId="0D039484"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68A5D127" w14:textId="7CAF8B46"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38206E05" w14:textId="668C00C2"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459AE957" w14:textId="7331D3EC"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0E531D11" w14:textId="585164F5"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7FAC6949" w14:textId="5D36C3A3"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2A316430" w14:textId="3C930034"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258ED88A" w14:textId="00DFF11C"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25569D47" w14:textId="2DC62ECA"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7415E4EB" w14:textId="5456E9DD"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2771E56B" w14:textId="0B018864"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5" w:type="pct"/>
            <w:vAlign w:val="center"/>
          </w:tcPr>
          <w:p w14:paraId="643758CA" w14:textId="04F2F75B"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1" w:type="pct"/>
            <w:vAlign w:val="center"/>
          </w:tcPr>
          <w:p w14:paraId="4504E777" w14:textId="3AC2530F"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r>
      <w:tr w:rsidR="00785848" w14:paraId="27519D9D" w14:textId="77777777" w:rsidTr="00B36774">
        <w:trPr>
          <w:cantSplit/>
        </w:trPr>
        <w:tc>
          <w:tcPr>
            <w:tcW w:w="140" w:type="pct"/>
            <w:shd w:val="clear" w:color="auto" w:fill="92D050"/>
            <w:vAlign w:val="center"/>
          </w:tcPr>
          <w:p w14:paraId="1954975E" w14:textId="77777777" w:rsidR="00B36774" w:rsidRPr="00136181" w:rsidRDefault="00B36774" w:rsidP="00B36774">
            <w:pPr>
              <w:spacing w:before="0" w:after="0" w:line="240" w:lineRule="auto"/>
              <w:rPr>
                <w:rFonts w:asciiTheme="minorHAnsi" w:hAnsiTheme="minorHAnsi" w:cstheme="minorHAnsi"/>
                <w:b/>
                <w:noProof w:val="0"/>
                <w:sz w:val="16"/>
                <w:szCs w:val="16"/>
              </w:rPr>
            </w:pPr>
          </w:p>
        </w:tc>
        <w:tc>
          <w:tcPr>
            <w:tcW w:w="1884" w:type="pct"/>
          </w:tcPr>
          <w:p w14:paraId="5D3F9D81" w14:textId="77777777" w:rsidR="00B36774" w:rsidRPr="00136181" w:rsidRDefault="00171C91" w:rsidP="00B36774">
            <w:pPr>
              <w:spacing w:before="0" w:after="0" w:line="240" w:lineRule="auto"/>
              <w:rPr>
                <w:rFonts w:asciiTheme="minorHAnsi" w:hAnsiTheme="minorHAnsi" w:cstheme="minorHAnsi"/>
                <w:noProof w:val="0"/>
                <w:sz w:val="16"/>
                <w:szCs w:val="16"/>
              </w:rPr>
            </w:pPr>
            <w:r w:rsidRPr="00136181">
              <w:rPr>
                <w:rFonts w:asciiTheme="minorHAnsi" w:hAnsiTheme="minorHAnsi" w:cstheme="minorHAnsi"/>
                <w:noProof w:val="0"/>
                <w:sz w:val="16"/>
                <w:szCs w:val="16"/>
              </w:rPr>
              <w:t>Does the organisation use or undertake systematic literature review methods to identify and select data underpinning the advice? Are the methods used documented clearly?</w:t>
            </w:r>
          </w:p>
        </w:tc>
        <w:tc>
          <w:tcPr>
            <w:tcW w:w="192" w:type="pct"/>
            <w:vAlign w:val="center"/>
          </w:tcPr>
          <w:p w14:paraId="3C5385D5" w14:textId="1C34CA4A"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27845684" w14:textId="7C2D79C7"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1A192351" w14:textId="5F38F7B9"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shd w:val="clear" w:color="auto" w:fill="92D050"/>
            <w:vAlign w:val="center"/>
          </w:tcPr>
          <w:p w14:paraId="516C8A74" w14:textId="56467B1D" w:rsidR="00B36774" w:rsidRPr="00EA14B3"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Y</w:t>
            </w:r>
          </w:p>
        </w:tc>
        <w:tc>
          <w:tcPr>
            <w:tcW w:w="192" w:type="pct"/>
            <w:vAlign w:val="center"/>
          </w:tcPr>
          <w:p w14:paraId="3D2C111B" w14:textId="4C56F4F9" w:rsidR="00B36774" w:rsidRPr="00EA14B3"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04E9BAB4" w14:textId="0BFC7B56" w:rsidR="00B36774" w:rsidRPr="00EA14B3"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250E83E9" w14:textId="500D0D75" w:rsidR="00B36774" w:rsidRPr="00EA14B3"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4C086E8A" w14:textId="62F67C61" w:rsidR="00B36774" w:rsidRPr="00EA14B3" w:rsidRDefault="00171C91" w:rsidP="00B36774">
            <w:pPr>
              <w:spacing w:before="0" w:after="0" w:line="240" w:lineRule="auto"/>
              <w:jc w:val="center"/>
              <w:rPr>
                <w:rFonts w:asciiTheme="minorHAnsi" w:hAnsiTheme="minorHAnsi" w:cstheme="minorHAnsi"/>
                <w:noProof w:val="0"/>
                <w:sz w:val="16"/>
                <w:szCs w:val="16"/>
              </w:rPr>
            </w:pPr>
            <w:r w:rsidRPr="00EA14B3">
              <w:rPr>
                <w:rFonts w:asciiTheme="minorHAnsi" w:hAnsiTheme="minorHAnsi" w:cstheme="minorHAnsi"/>
                <w:noProof w:val="0"/>
                <w:sz w:val="16"/>
                <w:szCs w:val="16"/>
              </w:rPr>
              <w:t>N</w:t>
            </w:r>
          </w:p>
        </w:tc>
        <w:tc>
          <w:tcPr>
            <w:tcW w:w="192" w:type="pct"/>
            <w:vAlign w:val="center"/>
          </w:tcPr>
          <w:p w14:paraId="5D672282" w14:textId="58283EFC" w:rsidR="00B36774" w:rsidRPr="00EA14B3"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1D1055D1" w14:textId="6E7B948B" w:rsidR="00B36774" w:rsidRPr="00EA14B3"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7A857B45" w14:textId="43DD54F0" w:rsidR="00B36774" w:rsidRPr="00EA14B3" w:rsidRDefault="00171C91" w:rsidP="00B36774">
            <w:pPr>
              <w:spacing w:before="0" w:after="0" w:line="240" w:lineRule="auto"/>
              <w:jc w:val="center"/>
              <w:rPr>
                <w:rFonts w:asciiTheme="minorHAnsi" w:hAnsiTheme="minorHAnsi" w:cstheme="minorHAnsi"/>
                <w:noProof w:val="0"/>
                <w:sz w:val="16"/>
                <w:szCs w:val="16"/>
              </w:rPr>
            </w:pPr>
            <w:r w:rsidRPr="00EA14B3">
              <w:rPr>
                <w:rFonts w:asciiTheme="minorHAnsi" w:hAnsiTheme="minorHAnsi" w:cstheme="minorHAnsi"/>
                <w:noProof w:val="0"/>
                <w:sz w:val="16"/>
                <w:szCs w:val="16"/>
              </w:rPr>
              <w:t>N</w:t>
            </w:r>
          </w:p>
        </w:tc>
        <w:tc>
          <w:tcPr>
            <w:tcW w:w="192" w:type="pct"/>
            <w:vAlign w:val="center"/>
          </w:tcPr>
          <w:p w14:paraId="50435EC8" w14:textId="26FDC2A4"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shd w:val="clear" w:color="auto" w:fill="92D050"/>
            <w:vAlign w:val="center"/>
          </w:tcPr>
          <w:p w14:paraId="6DD70FC8" w14:textId="06DC660B" w:rsidR="00B36774" w:rsidRPr="00EA14B3"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Y</w:t>
            </w:r>
          </w:p>
        </w:tc>
        <w:tc>
          <w:tcPr>
            <w:tcW w:w="192" w:type="pct"/>
            <w:shd w:val="clear" w:color="auto" w:fill="92D050"/>
            <w:vAlign w:val="center"/>
          </w:tcPr>
          <w:p w14:paraId="3870FF41" w14:textId="30E5BD98"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45" w:type="pct"/>
            <w:vAlign w:val="center"/>
          </w:tcPr>
          <w:p w14:paraId="1095A2E4" w14:textId="7808222A"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1" w:type="pct"/>
            <w:vAlign w:val="center"/>
          </w:tcPr>
          <w:p w14:paraId="2AD5BEBF" w14:textId="4BF94755"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r>
      <w:tr w:rsidR="00785848" w14:paraId="2537C7C4" w14:textId="77777777" w:rsidTr="00B36774">
        <w:trPr>
          <w:cantSplit/>
        </w:trPr>
        <w:tc>
          <w:tcPr>
            <w:tcW w:w="140" w:type="pct"/>
            <w:shd w:val="clear" w:color="auto" w:fill="92D050"/>
            <w:vAlign w:val="center"/>
          </w:tcPr>
          <w:p w14:paraId="4ADBE902" w14:textId="77777777" w:rsidR="00B36774" w:rsidRPr="00136181" w:rsidRDefault="00B36774" w:rsidP="00B36774">
            <w:pPr>
              <w:spacing w:before="0" w:after="0" w:line="240" w:lineRule="auto"/>
              <w:rPr>
                <w:rFonts w:asciiTheme="minorHAnsi" w:hAnsiTheme="minorHAnsi" w:cstheme="minorHAnsi"/>
                <w:b/>
                <w:noProof w:val="0"/>
                <w:sz w:val="16"/>
                <w:szCs w:val="16"/>
              </w:rPr>
            </w:pPr>
          </w:p>
        </w:tc>
        <w:tc>
          <w:tcPr>
            <w:tcW w:w="1884" w:type="pct"/>
          </w:tcPr>
          <w:p w14:paraId="7186DCCC" w14:textId="77777777" w:rsidR="00B36774" w:rsidRPr="00136181" w:rsidRDefault="00171C91" w:rsidP="00B36774">
            <w:pPr>
              <w:spacing w:before="0" w:after="0" w:line="240" w:lineRule="auto"/>
              <w:rPr>
                <w:rFonts w:asciiTheme="minorHAnsi" w:hAnsiTheme="minorHAnsi" w:cstheme="minorHAnsi"/>
                <w:noProof w:val="0"/>
                <w:sz w:val="16"/>
                <w:szCs w:val="16"/>
              </w:rPr>
            </w:pPr>
            <w:r w:rsidRPr="00136181">
              <w:rPr>
                <w:rFonts w:asciiTheme="minorHAnsi" w:hAnsiTheme="minorHAnsi" w:cstheme="minorHAnsi"/>
                <w:noProof w:val="0"/>
                <w:sz w:val="16"/>
                <w:szCs w:val="16"/>
              </w:rPr>
              <w:t>If proprietary/confidential studies or data are considered by the agency, are these appropriately described/recorded?</w:t>
            </w:r>
          </w:p>
        </w:tc>
        <w:tc>
          <w:tcPr>
            <w:tcW w:w="192" w:type="pct"/>
            <w:vAlign w:val="center"/>
          </w:tcPr>
          <w:p w14:paraId="5EA9530D" w14:textId="3D05F348"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n/a</w:t>
            </w:r>
          </w:p>
        </w:tc>
        <w:tc>
          <w:tcPr>
            <w:tcW w:w="192" w:type="pct"/>
            <w:vAlign w:val="center"/>
          </w:tcPr>
          <w:p w14:paraId="2E5D6DF1" w14:textId="52D01D67"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n/a</w:t>
            </w:r>
          </w:p>
        </w:tc>
        <w:tc>
          <w:tcPr>
            <w:tcW w:w="192" w:type="pct"/>
            <w:vAlign w:val="center"/>
          </w:tcPr>
          <w:p w14:paraId="4A2886EA" w14:textId="1AF7C56C"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n/a</w:t>
            </w:r>
          </w:p>
        </w:tc>
        <w:tc>
          <w:tcPr>
            <w:tcW w:w="192" w:type="pct"/>
            <w:vAlign w:val="center"/>
          </w:tcPr>
          <w:p w14:paraId="0FCCA5E3" w14:textId="00D731FC" w:rsidR="00B36774" w:rsidRPr="00EA14B3" w:rsidRDefault="00171C91" w:rsidP="00B36774">
            <w:pPr>
              <w:spacing w:before="0" w:after="0" w:line="240" w:lineRule="auto"/>
              <w:jc w:val="center"/>
              <w:rPr>
                <w:rFonts w:asciiTheme="minorHAnsi" w:hAnsiTheme="minorHAnsi" w:cstheme="minorHAnsi"/>
                <w:noProof w:val="0"/>
                <w:sz w:val="16"/>
                <w:szCs w:val="16"/>
              </w:rPr>
            </w:pPr>
            <w:r w:rsidRPr="00EA14B3">
              <w:rPr>
                <w:rFonts w:asciiTheme="minorHAnsi" w:hAnsiTheme="minorHAnsi" w:cstheme="minorHAnsi"/>
                <w:noProof w:val="0"/>
                <w:sz w:val="16"/>
                <w:szCs w:val="16"/>
              </w:rPr>
              <w:t>N</w:t>
            </w:r>
          </w:p>
        </w:tc>
        <w:tc>
          <w:tcPr>
            <w:tcW w:w="192" w:type="pct"/>
            <w:vAlign w:val="center"/>
          </w:tcPr>
          <w:p w14:paraId="2E486030" w14:textId="4841AFC2" w:rsidR="00B36774" w:rsidRPr="00EA14B3"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0C30F99C" w14:textId="094BFE96" w:rsidR="00B36774" w:rsidRPr="00EA14B3"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1A8E852F" w14:textId="556B358A" w:rsidR="00B36774" w:rsidRPr="00EA14B3"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3904B800" w14:textId="38E73FFC" w:rsidR="00B36774" w:rsidRPr="00EA14B3" w:rsidRDefault="00171C91" w:rsidP="00B36774">
            <w:pPr>
              <w:spacing w:before="0" w:after="0" w:line="240" w:lineRule="auto"/>
              <w:jc w:val="center"/>
              <w:rPr>
                <w:rFonts w:asciiTheme="minorHAnsi" w:hAnsiTheme="minorHAnsi" w:cstheme="minorHAnsi"/>
                <w:noProof w:val="0"/>
                <w:sz w:val="16"/>
                <w:szCs w:val="16"/>
              </w:rPr>
            </w:pPr>
            <w:r w:rsidRPr="00EA14B3">
              <w:rPr>
                <w:rFonts w:asciiTheme="minorHAnsi" w:hAnsiTheme="minorHAnsi" w:cstheme="minorHAnsi"/>
                <w:noProof w:val="0"/>
                <w:sz w:val="16"/>
                <w:szCs w:val="16"/>
              </w:rPr>
              <w:t>n/a</w:t>
            </w:r>
          </w:p>
        </w:tc>
        <w:tc>
          <w:tcPr>
            <w:tcW w:w="192" w:type="pct"/>
            <w:vAlign w:val="center"/>
          </w:tcPr>
          <w:p w14:paraId="1F065CBB" w14:textId="424CD9AA" w:rsidR="00B36774" w:rsidRPr="00EA14B3"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n/a</w:t>
            </w:r>
          </w:p>
        </w:tc>
        <w:tc>
          <w:tcPr>
            <w:tcW w:w="192" w:type="pct"/>
            <w:vAlign w:val="center"/>
          </w:tcPr>
          <w:p w14:paraId="4F886249" w14:textId="15FE878B" w:rsidR="00B36774" w:rsidRPr="00EA14B3"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n/a</w:t>
            </w:r>
          </w:p>
        </w:tc>
        <w:tc>
          <w:tcPr>
            <w:tcW w:w="192" w:type="pct"/>
            <w:vAlign w:val="center"/>
          </w:tcPr>
          <w:p w14:paraId="0513BD3B" w14:textId="16B8EDD3" w:rsidR="00B36774" w:rsidRPr="00EA14B3" w:rsidRDefault="00171C91" w:rsidP="00B36774">
            <w:pPr>
              <w:spacing w:before="0" w:after="0" w:line="240" w:lineRule="auto"/>
              <w:jc w:val="center"/>
              <w:rPr>
                <w:rFonts w:asciiTheme="minorHAnsi" w:hAnsiTheme="minorHAnsi" w:cstheme="minorHAnsi"/>
                <w:noProof w:val="0"/>
                <w:sz w:val="16"/>
                <w:szCs w:val="16"/>
              </w:rPr>
            </w:pPr>
            <w:r w:rsidRPr="00EA14B3">
              <w:rPr>
                <w:rFonts w:asciiTheme="minorHAnsi" w:hAnsiTheme="minorHAnsi" w:cstheme="minorHAnsi"/>
                <w:noProof w:val="0"/>
                <w:sz w:val="16"/>
                <w:szCs w:val="16"/>
              </w:rPr>
              <w:t>N</w:t>
            </w:r>
          </w:p>
        </w:tc>
        <w:tc>
          <w:tcPr>
            <w:tcW w:w="192" w:type="pct"/>
            <w:vAlign w:val="center"/>
          </w:tcPr>
          <w:p w14:paraId="36842490" w14:textId="7020DD73" w:rsidR="00B36774" w:rsidRPr="00EA14B3"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614F431E" w14:textId="4397EDA1" w:rsidR="00B36774" w:rsidRPr="00EA14B3" w:rsidRDefault="00171C91" w:rsidP="00B36774">
            <w:pPr>
              <w:spacing w:before="0" w:after="0" w:line="240" w:lineRule="auto"/>
              <w:jc w:val="center"/>
              <w:rPr>
                <w:rFonts w:asciiTheme="minorHAnsi" w:hAnsiTheme="minorHAnsi" w:cstheme="minorHAnsi"/>
                <w:noProof w:val="0"/>
                <w:sz w:val="16"/>
                <w:szCs w:val="16"/>
              </w:rPr>
            </w:pPr>
            <w:r w:rsidRPr="00EA14B3">
              <w:rPr>
                <w:rFonts w:asciiTheme="minorHAnsi" w:hAnsiTheme="minorHAnsi" w:cstheme="minorHAnsi"/>
                <w:noProof w:val="0"/>
                <w:sz w:val="16"/>
                <w:szCs w:val="16"/>
              </w:rPr>
              <w:t>n/a</w:t>
            </w:r>
          </w:p>
        </w:tc>
        <w:tc>
          <w:tcPr>
            <w:tcW w:w="192" w:type="pct"/>
            <w:vAlign w:val="center"/>
          </w:tcPr>
          <w:p w14:paraId="38DD9648" w14:textId="30573951"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n/a</w:t>
            </w:r>
          </w:p>
        </w:tc>
        <w:tc>
          <w:tcPr>
            <w:tcW w:w="145" w:type="pct"/>
            <w:vAlign w:val="center"/>
          </w:tcPr>
          <w:p w14:paraId="46669193" w14:textId="6B13A9BB"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1" w:type="pct"/>
            <w:vAlign w:val="center"/>
          </w:tcPr>
          <w:p w14:paraId="52A7A091" w14:textId="35325C66"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r>
      <w:tr w:rsidR="00785848" w14:paraId="43405068" w14:textId="77777777" w:rsidTr="00B36774">
        <w:trPr>
          <w:cantSplit/>
        </w:trPr>
        <w:tc>
          <w:tcPr>
            <w:tcW w:w="140" w:type="pct"/>
            <w:shd w:val="clear" w:color="auto" w:fill="92D050"/>
            <w:vAlign w:val="center"/>
          </w:tcPr>
          <w:p w14:paraId="526955F2" w14:textId="77777777" w:rsidR="00B36774" w:rsidRPr="00136181" w:rsidRDefault="00B36774" w:rsidP="00B36774">
            <w:pPr>
              <w:spacing w:before="0" w:after="0" w:line="240" w:lineRule="auto"/>
              <w:rPr>
                <w:rFonts w:asciiTheme="minorHAnsi" w:hAnsiTheme="minorHAnsi" w:cstheme="minorHAnsi"/>
                <w:b/>
                <w:noProof w:val="0"/>
                <w:sz w:val="16"/>
                <w:szCs w:val="16"/>
              </w:rPr>
            </w:pPr>
          </w:p>
        </w:tc>
        <w:tc>
          <w:tcPr>
            <w:tcW w:w="1884" w:type="pct"/>
          </w:tcPr>
          <w:p w14:paraId="2E1302BA" w14:textId="77777777" w:rsidR="00B36774" w:rsidRPr="00136181" w:rsidRDefault="00171C91" w:rsidP="00B36774">
            <w:pPr>
              <w:spacing w:before="0" w:after="0" w:line="240" w:lineRule="auto"/>
              <w:rPr>
                <w:rFonts w:asciiTheme="minorHAnsi" w:hAnsiTheme="minorHAnsi" w:cstheme="minorHAnsi"/>
                <w:noProof w:val="0"/>
                <w:sz w:val="16"/>
                <w:szCs w:val="16"/>
              </w:rPr>
            </w:pPr>
            <w:r w:rsidRPr="00136181">
              <w:rPr>
                <w:rFonts w:asciiTheme="minorHAnsi" w:hAnsiTheme="minorHAnsi" w:cstheme="minorHAnsi"/>
                <w:noProof w:val="0"/>
                <w:sz w:val="16"/>
                <w:szCs w:val="16"/>
              </w:rPr>
              <w:t>Are inclusion/exclusion criteria used to select or exclude certain studies from the review? If so, is justification provided?</w:t>
            </w:r>
          </w:p>
        </w:tc>
        <w:tc>
          <w:tcPr>
            <w:tcW w:w="192" w:type="pct"/>
            <w:vAlign w:val="center"/>
          </w:tcPr>
          <w:p w14:paraId="6875F9C5" w14:textId="3B410A6E"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733DEB30" w14:textId="25938D55"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1D867F4A" w14:textId="514F88BF"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shd w:val="clear" w:color="auto" w:fill="92D050"/>
            <w:vAlign w:val="center"/>
          </w:tcPr>
          <w:p w14:paraId="4BCE0124" w14:textId="337BF35E" w:rsidR="00B36774" w:rsidRPr="00EA14B3"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Y</w:t>
            </w:r>
          </w:p>
        </w:tc>
        <w:tc>
          <w:tcPr>
            <w:tcW w:w="192" w:type="pct"/>
            <w:vAlign w:val="center"/>
          </w:tcPr>
          <w:p w14:paraId="51169011" w14:textId="2AE381A8" w:rsidR="00B36774" w:rsidRPr="00EA14B3"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51E47A32" w14:textId="51366BB7" w:rsidR="00B36774" w:rsidRPr="00EA14B3"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2EF7EA9C" w14:textId="2DC9F51A" w:rsidR="00B36774" w:rsidRPr="00EA14B3"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390E91F4" w14:textId="68981F5C" w:rsidR="00B36774" w:rsidRPr="00EA14B3" w:rsidRDefault="00171C91" w:rsidP="00B36774">
            <w:pPr>
              <w:spacing w:before="0" w:after="0" w:line="240" w:lineRule="auto"/>
              <w:jc w:val="center"/>
              <w:rPr>
                <w:rFonts w:asciiTheme="minorHAnsi" w:hAnsiTheme="minorHAnsi" w:cstheme="minorHAnsi"/>
                <w:noProof w:val="0"/>
                <w:sz w:val="16"/>
                <w:szCs w:val="16"/>
              </w:rPr>
            </w:pPr>
            <w:r w:rsidRPr="00EA14B3">
              <w:rPr>
                <w:rFonts w:asciiTheme="minorHAnsi" w:hAnsiTheme="minorHAnsi" w:cstheme="minorHAnsi"/>
                <w:noProof w:val="0"/>
                <w:sz w:val="16"/>
                <w:szCs w:val="16"/>
              </w:rPr>
              <w:t>N</w:t>
            </w:r>
          </w:p>
        </w:tc>
        <w:tc>
          <w:tcPr>
            <w:tcW w:w="192" w:type="pct"/>
            <w:vAlign w:val="center"/>
          </w:tcPr>
          <w:p w14:paraId="3A4A30A6" w14:textId="7313094D" w:rsidR="00B36774" w:rsidRPr="00EA14B3"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3D3237B0" w14:textId="60A29A77" w:rsidR="00B36774" w:rsidRPr="00EA14B3"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n/a</w:t>
            </w:r>
          </w:p>
        </w:tc>
        <w:tc>
          <w:tcPr>
            <w:tcW w:w="192" w:type="pct"/>
            <w:vAlign w:val="center"/>
          </w:tcPr>
          <w:p w14:paraId="7F02093D" w14:textId="3E2F71EC" w:rsidR="00B36774" w:rsidRPr="00EA14B3" w:rsidRDefault="00171C91" w:rsidP="00B36774">
            <w:pPr>
              <w:spacing w:before="0" w:after="0" w:line="240" w:lineRule="auto"/>
              <w:jc w:val="center"/>
              <w:rPr>
                <w:rFonts w:asciiTheme="minorHAnsi" w:hAnsiTheme="minorHAnsi" w:cstheme="minorHAnsi"/>
                <w:noProof w:val="0"/>
                <w:sz w:val="16"/>
                <w:szCs w:val="16"/>
              </w:rPr>
            </w:pPr>
            <w:r w:rsidRPr="00EA14B3">
              <w:rPr>
                <w:rFonts w:asciiTheme="minorHAnsi" w:hAnsiTheme="minorHAnsi" w:cstheme="minorHAnsi"/>
                <w:noProof w:val="0"/>
                <w:sz w:val="16"/>
                <w:szCs w:val="16"/>
              </w:rPr>
              <w:t>N</w:t>
            </w:r>
          </w:p>
        </w:tc>
        <w:tc>
          <w:tcPr>
            <w:tcW w:w="192" w:type="pct"/>
            <w:vAlign w:val="center"/>
          </w:tcPr>
          <w:p w14:paraId="48BBE0AE" w14:textId="37DC76BE"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shd w:val="clear" w:color="auto" w:fill="92D050"/>
            <w:vAlign w:val="center"/>
          </w:tcPr>
          <w:p w14:paraId="0C2973EE" w14:textId="067B7172" w:rsidR="00B36774" w:rsidRPr="00EA14B3"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Y</w:t>
            </w:r>
          </w:p>
        </w:tc>
        <w:tc>
          <w:tcPr>
            <w:tcW w:w="192" w:type="pct"/>
            <w:shd w:val="clear" w:color="auto" w:fill="92D050"/>
            <w:vAlign w:val="center"/>
          </w:tcPr>
          <w:p w14:paraId="50C3A637" w14:textId="6DBF25D6"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45" w:type="pct"/>
            <w:vAlign w:val="center"/>
          </w:tcPr>
          <w:p w14:paraId="3465FB9D" w14:textId="6C634A2A"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1" w:type="pct"/>
            <w:vAlign w:val="center"/>
          </w:tcPr>
          <w:p w14:paraId="235E8FD8" w14:textId="680F8AB2"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r>
      <w:tr w:rsidR="00785848" w14:paraId="40FDAD49" w14:textId="77777777" w:rsidTr="00B36774">
        <w:trPr>
          <w:cantSplit/>
        </w:trPr>
        <w:tc>
          <w:tcPr>
            <w:tcW w:w="140" w:type="pct"/>
            <w:shd w:val="clear" w:color="auto" w:fill="92D050"/>
            <w:vAlign w:val="center"/>
          </w:tcPr>
          <w:p w14:paraId="124287D3" w14:textId="77777777" w:rsidR="00B36774" w:rsidRPr="00136181" w:rsidRDefault="00B36774" w:rsidP="00B36774">
            <w:pPr>
              <w:spacing w:before="0" w:after="0" w:line="240" w:lineRule="auto"/>
              <w:rPr>
                <w:rFonts w:asciiTheme="minorHAnsi" w:hAnsiTheme="minorHAnsi" w:cstheme="minorHAnsi"/>
                <w:b/>
                <w:noProof w:val="0"/>
                <w:sz w:val="16"/>
                <w:szCs w:val="16"/>
              </w:rPr>
            </w:pPr>
          </w:p>
        </w:tc>
        <w:tc>
          <w:tcPr>
            <w:tcW w:w="1884" w:type="pct"/>
          </w:tcPr>
          <w:p w14:paraId="1D6163B9" w14:textId="77777777" w:rsidR="00B36774" w:rsidRPr="00136181" w:rsidRDefault="00171C91" w:rsidP="00B36774">
            <w:pPr>
              <w:spacing w:before="0" w:after="0" w:line="240" w:lineRule="auto"/>
              <w:rPr>
                <w:rFonts w:asciiTheme="minorHAnsi" w:hAnsiTheme="minorHAnsi" w:cstheme="minorHAnsi"/>
                <w:noProof w:val="0"/>
                <w:sz w:val="16"/>
                <w:szCs w:val="16"/>
              </w:rPr>
            </w:pPr>
            <w:r w:rsidRPr="00136181">
              <w:rPr>
                <w:rFonts w:asciiTheme="minorHAnsi" w:hAnsiTheme="minorHAnsi" w:cstheme="minorHAnsi"/>
                <w:noProof w:val="0"/>
                <w:sz w:val="16"/>
                <w:szCs w:val="16"/>
              </w:rPr>
              <w:t>Does the organisation use or adopt review findings or risk assessments from other organisations? What process was used to critically assess these external findings?</w:t>
            </w:r>
          </w:p>
        </w:tc>
        <w:tc>
          <w:tcPr>
            <w:tcW w:w="192" w:type="pct"/>
            <w:shd w:val="clear" w:color="auto" w:fill="92D050"/>
            <w:vAlign w:val="center"/>
          </w:tcPr>
          <w:p w14:paraId="2AA58DB6" w14:textId="37F5F60E"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vAlign w:val="center"/>
          </w:tcPr>
          <w:p w14:paraId="778D38F1" w14:textId="5B3E9E23"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24A49BA6" w14:textId="29748E8B"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59F3E600" w14:textId="396C42C8" w:rsidR="00B36774" w:rsidRPr="00EA14B3" w:rsidRDefault="00171C91" w:rsidP="00B36774">
            <w:pPr>
              <w:spacing w:before="0" w:after="0" w:line="240" w:lineRule="auto"/>
              <w:jc w:val="center"/>
              <w:rPr>
                <w:rFonts w:asciiTheme="minorHAnsi" w:hAnsiTheme="minorHAnsi" w:cstheme="minorHAnsi"/>
                <w:noProof w:val="0"/>
                <w:sz w:val="16"/>
                <w:szCs w:val="16"/>
              </w:rPr>
            </w:pPr>
            <w:r w:rsidRPr="00EA14B3">
              <w:rPr>
                <w:rFonts w:asciiTheme="minorHAnsi" w:hAnsiTheme="minorHAnsi" w:cstheme="minorHAnsi"/>
                <w:noProof w:val="0"/>
                <w:sz w:val="16"/>
                <w:szCs w:val="16"/>
              </w:rPr>
              <w:t>N</w:t>
            </w:r>
          </w:p>
        </w:tc>
        <w:tc>
          <w:tcPr>
            <w:tcW w:w="192" w:type="pct"/>
            <w:shd w:val="clear" w:color="auto" w:fill="92D050"/>
            <w:vAlign w:val="center"/>
          </w:tcPr>
          <w:p w14:paraId="7DBEF2E1" w14:textId="51591689"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vAlign w:val="center"/>
          </w:tcPr>
          <w:p w14:paraId="7544AD8F" w14:textId="3F5DF3E1"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5268CC23" w14:textId="0B422B9C"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shd w:val="clear" w:color="auto" w:fill="92D050"/>
            <w:vAlign w:val="center"/>
          </w:tcPr>
          <w:p w14:paraId="7CCB7EC4" w14:textId="77F02282" w:rsidR="00B36774" w:rsidRPr="00EA14B3"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Y</w:t>
            </w:r>
          </w:p>
        </w:tc>
        <w:tc>
          <w:tcPr>
            <w:tcW w:w="192" w:type="pct"/>
            <w:shd w:val="clear" w:color="auto" w:fill="92D050"/>
            <w:vAlign w:val="center"/>
          </w:tcPr>
          <w:p w14:paraId="68FED709" w14:textId="1D543BB2" w:rsidR="00B36774" w:rsidRPr="00EA14B3"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shd w:val="clear" w:color="auto" w:fill="92D050"/>
            <w:vAlign w:val="center"/>
          </w:tcPr>
          <w:p w14:paraId="704AC618" w14:textId="590C9F32" w:rsidR="00B36774" w:rsidRPr="00EA14B3"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vAlign w:val="center"/>
          </w:tcPr>
          <w:p w14:paraId="25CB0D35" w14:textId="4A8F2351" w:rsidR="00B36774" w:rsidRPr="00EA14B3" w:rsidRDefault="00171C91" w:rsidP="00B36774">
            <w:pPr>
              <w:spacing w:before="0" w:after="0" w:line="240" w:lineRule="auto"/>
              <w:jc w:val="center"/>
              <w:rPr>
                <w:rFonts w:asciiTheme="minorHAnsi" w:hAnsiTheme="minorHAnsi" w:cstheme="minorHAnsi"/>
                <w:noProof w:val="0"/>
                <w:sz w:val="16"/>
                <w:szCs w:val="16"/>
              </w:rPr>
            </w:pPr>
            <w:r w:rsidRPr="00EA14B3">
              <w:rPr>
                <w:rFonts w:asciiTheme="minorHAnsi" w:hAnsiTheme="minorHAnsi" w:cstheme="minorHAnsi"/>
                <w:noProof w:val="0"/>
                <w:sz w:val="16"/>
                <w:szCs w:val="16"/>
              </w:rPr>
              <w:t>N</w:t>
            </w:r>
          </w:p>
        </w:tc>
        <w:tc>
          <w:tcPr>
            <w:tcW w:w="192" w:type="pct"/>
            <w:vAlign w:val="center"/>
          </w:tcPr>
          <w:p w14:paraId="2EF06125" w14:textId="1FC43B81" w:rsidR="00B36774" w:rsidRPr="00EA14B3"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79C66239" w14:textId="6AA74AE0" w:rsidR="00B36774" w:rsidRPr="00EA14B3" w:rsidRDefault="00171C91" w:rsidP="00B36774">
            <w:pPr>
              <w:spacing w:before="0" w:after="0" w:line="240" w:lineRule="auto"/>
              <w:jc w:val="center"/>
              <w:rPr>
                <w:rFonts w:asciiTheme="minorHAnsi" w:hAnsiTheme="minorHAnsi" w:cstheme="minorHAnsi"/>
                <w:noProof w:val="0"/>
                <w:sz w:val="16"/>
                <w:szCs w:val="16"/>
              </w:rPr>
            </w:pPr>
            <w:r w:rsidRPr="00EA14B3">
              <w:rPr>
                <w:rFonts w:asciiTheme="minorHAnsi" w:hAnsiTheme="minorHAnsi" w:cstheme="minorHAnsi"/>
                <w:noProof w:val="0"/>
                <w:sz w:val="16"/>
                <w:szCs w:val="16"/>
              </w:rPr>
              <w:t>N</w:t>
            </w:r>
          </w:p>
        </w:tc>
        <w:tc>
          <w:tcPr>
            <w:tcW w:w="192" w:type="pct"/>
            <w:vAlign w:val="center"/>
          </w:tcPr>
          <w:p w14:paraId="172EE827" w14:textId="58946742"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5" w:type="pct"/>
            <w:vAlign w:val="center"/>
          </w:tcPr>
          <w:p w14:paraId="51DB6F29" w14:textId="3821285E"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1" w:type="pct"/>
            <w:vAlign w:val="center"/>
          </w:tcPr>
          <w:p w14:paraId="766DC9F4" w14:textId="3748C01B"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r>
      <w:tr w:rsidR="00785848" w14:paraId="6F35A2A5" w14:textId="77777777" w:rsidTr="00B36774">
        <w:trPr>
          <w:cantSplit/>
        </w:trPr>
        <w:tc>
          <w:tcPr>
            <w:tcW w:w="140" w:type="pct"/>
            <w:shd w:val="clear" w:color="auto" w:fill="FFFF00"/>
            <w:vAlign w:val="center"/>
          </w:tcPr>
          <w:p w14:paraId="5D33A61C" w14:textId="77777777" w:rsidR="00B36774" w:rsidRPr="00136181" w:rsidRDefault="00B36774" w:rsidP="00B36774">
            <w:pPr>
              <w:spacing w:before="0" w:after="0" w:line="240" w:lineRule="auto"/>
              <w:rPr>
                <w:rFonts w:asciiTheme="minorHAnsi" w:hAnsiTheme="minorHAnsi" w:cstheme="minorHAnsi"/>
                <w:b/>
                <w:noProof w:val="0"/>
                <w:sz w:val="16"/>
                <w:szCs w:val="16"/>
              </w:rPr>
            </w:pPr>
          </w:p>
        </w:tc>
        <w:tc>
          <w:tcPr>
            <w:tcW w:w="1884" w:type="pct"/>
          </w:tcPr>
          <w:p w14:paraId="21786853" w14:textId="77777777" w:rsidR="00B36774" w:rsidRPr="00136181" w:rsidRDefault="00171C91" w:rsidP="00B36774">
            <w:pPr>
              <w:spacing w:before="0" w:after="0" w:line="240" w:lineRule="auto"/>
              <w:rPr>
                <w:rFonts w:asciiTheme="minorHAnsi" w:hAnsiTheme="minorHAnsi" w:cstheme="minorHAnsi"/>
                <w:noProof w:val="0"/>
                <w:sz w:val="16"/>
                <w:szCs w:val="16"/>
              </w:rPr>
            </w:pPr>
            <w:r w:rsidRPr="00136181">
              <w:rPr>
                <w:rFonts w:asciiTheme="minorHAnsi" w:hAnsiTheme="minorHAnsi" w:cstheme="minorHAnsi"/>
                <w:noProof w:val="0"/>
                <w:sz w:val="16"/>
                <w:szCs w:val="16"/>
              </w:rPr>
              <w:t xml:space="preserve">Can grey literature such as government reports and policy documents be included? </w:t>
            </w:r>
          </w:p>
        </w:tc>
        <w:tc>
          <w:tcPr>
            <w:tcW w:w="192" w:type="pct"/>
            <w:shd w:val="clear" w:color="auto" w:fill="FFFF00"/>
            <w:vAlign w:val="center"/>
          </w:tcPr>
          <w:p w14:paraId="5151B044" w14:textId="420BF15C" w:rsidR="00B36774" w:rsidRDefault="00171C91" w:rsidP="00B36774">
            <w:pPr>
              <w:spacing w:before="0" w:after="0" w:line="240" w:lineRule="auto"/>
              <w:jc w:val="center"/>
              <w:rPr>
                <w:rFonts w:asciiTheme="minorHAnsi" w:hAnsiTheme="minorHAnsi" w:cstheme="minorHAnsi"/>
                <w:noProof w:val="0"/>
                <w:sz w:val="16"/>
                <w:szCs w:val="16"/>
                <w:highlight w:val="yellow"/>
              </w:rPr>
            </w:pPr>
            <w:r w:rsidRPr="0029112B">
              <w:rPr>
                <w:rFonts w:asciiTheme="minorHAnsi" w:hAnsiTheme="minorHAnsi" w:cstheme="minorHAnsi"/>
                <w:noProof w:val="0"/>
                <w:sz w:val="16"/>
                <w:szCs w:val="16"/>
              </w:rPr>
              <w:t>Y</w:t>
            </w:r>
          </w:p>
        </w:tc>
        <w:tc>
          <w:tcPr>
            <w:tcW w:w="192" w:type="pct"/>
            <w:shd w:val="clear" w:color="auto" w:fill="FFFF00"/>
            <w:vAlign w:val="center"/>
          </w:tcPr>
          <w:p w14:paraId="2F8DD32B" w14:textId="01C5B912" w:rsidR="00B36774" w:rsidRDefault="00171C91" w:rsidP="00B36774">
            <w:pPr>
              <w:spacing w:before="0" w:after="0" w:line="240" w:lineRule="auto"/>
              <w:jc w:val="center"/>
              <w:rPr>
                <w:rFonts w:asciiTheme="minorHAnsi" w:hAnsiTheme="minorHAnsi" w:cstheme="minorHAnsi"/>
                <w:noProof w:val="0"/>
                <w:sz w:val="16"/>
                <w:szCs w:val="16"/>
                <w:highlight w:val="yellow"/>
              </w:rPr>
            </w:pPr>
            <w:r w:rsidRPr="0029112B">
              <w:rPr>
                <w:rFonts w:asciiTheme="minorHAnsi" w:hAnsiTheme="minorHAnsi" w:cstheme="minorHAnsi"/>
                <w:noProof w:val="0"/>
                <w:sz w:val="16"/>
                <w:szCs w:val="16"/>
              </w:rPr>
              <w:t>Y</w:t>
            </w:r>
          </w:p>
        </w:tc>
        <w:tc>
          <w:tcPr>
            <w:tcW w:w="192" w:type="pct"/>
            <w:shd w:val="clear" w:color="auto" w:fill="FFFF00"/>
            <w:vAlign w:val="center"/>
          </w:tcPr>
          <w:p w14:paraId="3C07A53A" w14:textId="7FCE7C91" w:rsidR="00B36774" w:rsidRPr="00F640FF" w:rsidRDefault="00171C91" w:rsidP="00B36774">
            <w:pPr>
              <w:spacing w:before="0" w:after="0" w:line="240" w:lineRule="auto"/>
              <w:jc w:val="center"/>
              <w:rPr>
                <w:rFonts w:asciiTheme="minorHAnsi" w:hAnsiTheme="minorHAnsi" w:cstheme="minorHAnsi"/>
                <w:noProof w:val="0"/>
                <w:sz w:val="16"/>
                <w:szCs w:val="16"/>
                <w:highlight w:val="yellow"/>
              </w:rPr>
            </w:pPr>
            <w:r w:rsidRPr="0029112B">
              <w:rPr>
                <w:rFonts w:asciiTheme="minorHAnsi" w:hAnsiTheme="minorHAnsi" w:cstheme="minorHAnsi"/>
                <w:noProof w:val="0"/>
                <w:sz w:val="16"/>
                <w:szCs w:val="16"/>
              </w:rPr>
              <w:t>Y</w:t>
            </w:r>
          </w:p>
        </w:tc>
        <w:tc>
          <w:tcPr>
            <w:tcW w:w="192" w:type="pct"/>
            <w:vAlign w:val="center"/>
          </w:tcPr>
          <w:p w14:paraId="0C5A7BC3" w14:textId="1664BD81"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shd w:val="clear" w:color="auto" w:fill="FFFF00"/>
            <w:vAlign w:val="center"/>
          </w:tcPr>
          <w:p w14:paraId="291ACCA1" w14:textId="53EE5219"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vAlign w:val="center"/>
          </w:tcPr>
          <w:p w14:paraId="6DC10726" w14:textId="3C18DFF0"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shd w:val="clear" w:color="auto" w:fill="FFFF00"/>
            <w:vAlign w:val="center"/>
          </w:tcPr>
          <w:p w14:paraId="68AFEBAB" w14:textId="20E029D3" w:rsidR="00B36774" w:rsidRP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shd w:val="clear" w:color="auto" w:fill="FFFF00"/>
            <w:vAlign w:val="center"/>
          </w:tcPr>
          <w:p w14:paraId="064AAB94" w14:textId="196C3EBF" w:rsidR="00B36774" w:rsidRPr="00136181"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Y</w:t>
            </w:r>
          </w:p>
        </w:tc>
        <w:tc>
          <w:tcPr>
            <w:tcW w:w="192" w:type="pct"/>
            <w:shd w:val="clear" w:color="auto" w:fill="FFFF00"/>
            <w:vAlign w:val="center"/>
          </w:tcPr>
          <w:p w14:paraId="0D9100D0" w14:textId="7B08AA55"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shd w:val="clear" w:color="auto" w:fill="FFFF00"/>
            <w:vAlign w:val="center"/>
          </w:tcPr>
          <w:p w14:paraId="7FC4BC3D" w14:textId="54442471"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vAlign w:val="center"/>
          </w:tcPr>
          <w:p w14:paraId="79A50808" w14:textId="7F9E8798"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5DB5CEF9" w14:textId="462B8D98" w:rsidR="00B36774" w:rsidRPr="00927720" w:rsidRDefault="00171C91" w:rsidP="00B36774">
            <w:pPr>
              <w:spacing w:before="0" w:after="0" w:line="240" w:lineRule="auto"/>
              <w:jc w:val="center"/>
              <w:rPr>
                <w:rFonts w:asciiTheme="minorHAnsi" w:hAnsiTheme="minorHAnsi" w:cstheme="minorHAnsi"/>
                <w:noProof w:val="0"/>
                <w:sz w:val="16"/>
                <w:szCs w:val="16"/>
                <w:highlight w:val="yellow"/>
              </w:rPr>
            </w:pPr>
            <w:r>
              <w:rPr>
                <w:rFonts w:asciiTheme="minorHAnsi" w:hAnsiTheme="minorHAnsi" w:cstheme="minorHAnsi"/>
                <w:noProof w:val="0"/>
                <w:sz w:val="16"/>
                <w:szCs w:val="16"/>
              </w:rPr>
              <w:t>N</w:t>
            </w:r>
          </w:p>
        </w:tc>
        <w:tc>
          <w:tcPr>
            <w:tcW w:w="192" w:type="pct"/>
            <w:shd w:val="clear" w:color="auto" w:fill="FFFF00"/>
            <w:vAlign w:val="center"/>
          </w:tcPr>
          <w:p w14:paraId="4B320EBF" w14:textId="56CBA640" w:rsidR="00B36774" w:rsidRPr="00136181"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Y</w:t>
            </w:r>
          </w:p>
        </w:tc>
        <w:tc>
          <w:tcPr>
            <w:tcW w:w="192" w:type="pct"/>
            <w:shd w:val="clear" w:color="auto" w:fill="FFFF00"/>
            <w:vAlign w:val="center"/>
          </w:tcPr>
          <w:p w14:paraId="6ACC0FA0" w14:textId="29085C29"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45" w:type="pct"/>
            <w:vAlign w:val="center"/>
          </w:tcPr>
          <w:p w14:paraId="758D7158" w14:textId="6B166268"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1" w:type="pct"/>
            <w:shd w:val="clear" w:color="auto" w:fill="FFFF00"/>
            <w:vAlign w:val="center"/>
          </w:tcPr>
          <w:p w14:paraId="58F547E7" w14:textId="7CFEA5CB" w:rsidR="00B36774" w:rsidRDefault="00171C91" w:rsidP="00B36774">
            <w:pPr>
              <w:spacing w:before="0" w:after="0" w:line="240" w:lineRule="auto"/>
              <w:jc w:val="center"/>
              <w:rPr>
                <w:rFonts w:asciiTheme="minorHAnsi" w:hAnsiTheme="minorHAnsi" w:cstheme="minorHAnsi"/>
                <w:noProof w:val="0"/>
                <w:sz w:val="16"/>
                <w:szCs w:val="16"/>
              </w:rPr>
            </w:pPr>
            <w:r w:rsidRPr="0029112B">
              <w:rPr>
                <w:rFonts w:asciiTheme="minorHAnsi" w:hAnsiTheme="minorHAnsi" w:cstheme="minorHAnsi"/>
                <w:noProof w:val="0"/>
                <w:sz w:val="16"/>
                <w:szCs w:val="16"/>
              </w:rPr>
              <w:t>Y</w:t>
            </w:r>
          </w:p>
        </w:tc>
      </w:tr>
      <w:tr w:rsidR="00785848" w14:paraId="35367238" w14:textId="77777777" w:rsidTr="00B36774">
        <w:trPr>
          <w:cantSplit/>
        </w:trPr>
        <w:tc>
          <w:tcPr>
            <w:tcW w:w="140" w:type="pct"/>
            <w:shd w:val="clear" w:color="auto" w:fill="FFFF00"/>
            <w:vAlign w:val="center"/>
          </w:tcPr>
          <w:p w14:paraId="5BADAFB3" w14:textId="77777777" w:rsidR="00B36774" w:rsidRPr="00136181" w:rsidRDefault="00B36774" w:rsidP="00B36774">
            <w:pPr>
              <w:spacing w:before="0" w:after="0" w:line="240" w:lineRule="auto"/>
              <w:rPr>
                <w:rFonts w:asciiTheme="minorHAnsi" w:hAnsiTheme="minorHAnsi" w:cstheme="minorHAnsi"/>
                <w:b/>
                <w:noProof w:val="0"/>
                <w:sz w:val="16"/>
                <w:szCs w:val="16"/>
              </w:rPr>
            </w:pPr>
          </w:p>
        </w:tc>
        <w:tc>
          <w:tcPr>
            <w:tcW w:w="1884" w:type="pct"/>
          </w:tcPr>
          <w:p w14:paraId="313A48C9" w14:textId="77777777" w:rsidR="00B36774" w:rsidRPr="00136181" w:rsidRDefault="00171C91" w:rsidP="00B36774">
            <w:pPr>
              <w:spacing w:before="0" w:after="0" w:line="240" w:lineRule="auto"/>
              <w:rPr>
                <w:rFonts w:asciiTheme="minorHAnsi" w:hAnsiTheme="minorHAnsi" w:cstheme="minorHAnsi"/>
                <w:noProof w:val="0"/>
                <w:sz w:val="16"/>
                <w:szCs w:val="16"/>
              </w:rPr>
            </w:pPr>
            <w:r w:rsidRPr="00136181">
              <w:rPr>
                <w:rFonts w:asciiTheme="minorHAnsi" w:hAnsiTheme="minorHAnsi" w:cstheme="minorHAnsi"/>
                <w:noProof w:val="0"/>
                <w:sz w:val="16"/>
                <w:szCs w:val="16"/>
              </w:rPr>
              <w:t>Is there documentation and justification on the selection of a toxicological endpoint for use as point of departure for health-based guideline derivation?</w:t>
            </w:r>
          </w:p>
        </w:tc>
        <w:tc>
          <w:tcPr>
            <w:tcW w:w="192" w:type="pct"/>
            <w:vAlign w:val="center"/>
          </w:tcPr>
          <w:p w14:paraId="590C15C4" w14:textId="4FD305EB"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shd w:val="clear" w:color="auto" w:fill="FFFF00"/>
            <w:vAlign w:val="center"/>
          </w:tcPr>
          <w:p w14:paraId="43F78679" w14:textId="0782E95C"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vAlign w:val="center"/>
          </w:tcPr>
          <w:p w14:paraId="476ECE68" w14:textId="6EEAE246"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00F15236" w14:textId="230D5656"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376FC482" w14:textId="6637A923"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1E2B70FE" w14:textId="46B67C07"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17EDCDF4" w14:textId="574C770F"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44EBA0B5" w14:textId="3FF0E77F"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347ACB91" w14:textId="671C971B"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shd w:val="clear" w:color="auto" w:fill="FFFF00"/>
            <w:vAlign w:val="center"/>
          </w:tcPr>
          <w:p w14:paraId="0FE3EFFC" w14:textId="5536F6BD"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Y</w:t>
            </w:r>
          </w:p>
        </w:tc>
        <w:tc>
          <w:tcPr>
            <w:tcW w:w="192" w:type="pct"/>
            <w:vAlign w:val="center"/>
          </w:tcPr>
          <w:p w14:paraId="1E811759" w14:textId="39767143"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6F1441C0" w14:textId="0FE3CFDF"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92" w:type="pct"/>
            <w:vAlign w:val="center"/>
          </w:tcPr>
          <w:p w14:paraId="59697D3C" w14:textId="22D20B9D"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n/a</w:t>
            </w:r>
          </w:p>
        </w:tc>
        <w:tc>
          <w:tcPr>
            <w:tcW w:w="192" w:type="pct"/>
            <w:vAlign w:val="center"/>
          </w:tcPr>
          <w:p w14:paraId="52D978BE" w14:textId="3C11C574"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n/a</w:t>
            </w:r>
          </w:p>
        </w:tc>
        <w:tc>
          <w:tcPr>
            <w:tcW w:w="145" w:type="pct"/>
            <w:vAlign w:val="center"/>
          </w:tcPr>
          <w:p w14:paraId="3D14D12B" w14:textId="54CA1BD4" w:rsidR="00B36774" w:rsidRPr="00136181"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c>
          <w:tcPr>
            <w:tcW w:w="141" w:type="pct"/>
            <w:vAlign w:val="center"/>
          </w:tcPr>
          <w:p w14:paraId="7095C12D" w14:textId="502B62B8" w:rsidR="00B36774" w:rsidRDefault="00171C91" w:rsidP="00B36774">
            <w:pPr>
              <w:spacing w:before="0" w:after="0" w:line="240" w:lineRule="auto"/>
              <w:jc w:val="center"/>
              <w:rPr>
                <w:rFonts w:asciiTheme="minorHAnsi" w:hAnsiTheme="minorHAnsi" w:cstheme="minorHAnsi"/>
                <w:noProof w:val="0"/>
                <w:sz w:val="16"/>
                <w:szCs w:val="16"/>
              </w:rPr>
            </w:pPr>
            <w:r>
              <w:rPr>
                <w:rFonts w:asciiTheme="minorHAnsi" w:hAnsiTheme="minorHAnsi" w:cstheme="minorHAnsi"/>
                <w:noProof w:val="0"/>
                <w:sz w:val="16"/>
                <w:szCs w:val="16"/>
              </w:rPr>
              <w:t>N</w:t>
            </w:r>
          </w:p>
        </w:tc>
      </w:tr>
      <w:tr w:rsidR="00785848" w14:paraId="6E7D877E" w14:textId="77777777" w:rsidTr="00B36774">
        <w:trPr>
          <w:cantSplit/>
        </w:trPr>
        <w:tc>
          <w:tcPr>
            <w:tcW w:w="140" w:type="pct"/>
            <w:shd w:val="clear" w:color="auto" w:fill="D6EAEB"/>
            <w:vAlign w:val="center"/>
          </w:tcPr>
          <w:p w14:paraId="3E12E4E4" w14:textId="77777777" w:rsidR="00B36774" w:rsidRPr="00136181" w:rsidRDefault="00B36774" w:rsidP="00B36774">
            <w:pPr>
              <w:keepNext/>
              <w:spacing w:before="0" w:after="0" w:line="240" w:lineRule="auto"/>
              <w:rPr>
                <w:rFonts w:asciiTheme="minorHAnsi" w:hAnsiTheme="minorHAnsi" w:cstheme="minorHAnsi"/>
                <w:b/>
                <w:noProof w:val="0"/>
                <w:sz w:val="16"/>
                <w:szCs w:val="16"/>
              </w:rPr>
            </w:pPr>
          </w:p>
        </w:tc>
        <w:tc>
          <w:tcPr>
            <w:tcW w:w="1884" w:type="pct"/>
            <w:shd w:val="clear" w:color="auto" w:fill="D6EAEB"/>
            <w:vAlign w:val="center"/>
          </w:tcPr>
          <w:p w14:paraId="75E3D238" w14:textId="3F75519F" w:rsidR="00B36774" w:rsidRPr="00136181" w:rsidRDefault="00171C91" w:rsidP="00B36774">
            <w:pPr>
              <w:keepNext/>
              <w:spacing w:before="0" w:after="0" w:line="240" w:lineRule="auto"/>
              <w:rPr>
                <w:rFonts w:asciiTheme="minorHAnsi" w:hAnsiTheme="minorHAnsi" w:cstheme="minorHAnsi"/>
                <w:b/>
                <w:noProof w:val="0"/>
                <w:sz w:val="16"/>
                <w:szCs w:val="16"/>
              </w:rPr>
            </w:pPr>
            <w:r w:rsidRPr="00136181">
              <w:rPr>
                <w:rFonts w:asciiTheme="minorHAnsi" w:hAnsiTheme="minorHAnsi" w:cstheme="minorHAnsi"/>
                <w:b/>
                <w:noProof w:val="0"/>
                <w:sz w:val="16"/>
                <w:szCs w:val="16"/>
              </w:rPr>
              <w:t xml:space="preserve">Evidence </w:t>
            </w:r>
            <w:r>
              <w:rPr>
                <w:rFonts w:asciiTheme="minorHAnsi" w:hAnsiTheme="minorHAnsi" w:cstheme="minorHAnsi"/>
                <w:b/>
                <w:noProof w:val="0"/>
                <w:sz w:val="16"/>
                <w:szCs w:val="16"/>
              </w:rPr>
              <w:t>search</w:t>
            </w:r>
          </w:p>
        </w:tc>
        <w:tc>
          <w:tcPr>
            <w:tcW w:w="192" w:type="pct"/>
            <w:shd w:val="clear" w:color="auto" w:fill="D6EAEB"/>
            <w:vAlign w:val="center"/>
          </w:tcPr>
          <w:p w14:paraId="413A0E40"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25143BDA"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4004B4EA" w14:textId="09EEB14B"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0F9D578B"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06885DE1"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5873F19E"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19F86FBF"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22341D81" w14:textId="1902C2D0"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6ACE16AA"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0BC741BE"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445CA592" w14:textId="367A4574"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tcPr>
          <w:p w14:paraId="5529EBB4"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3148A55C" w14:textId="772B5A08"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92" w:type="pct"/>
            <w:shd w:val="clear" w:color="auto" w:fill="D6EAEB"/>
            <w:vAlign w:val="center"/>
          </w:tcPr>
          <w:p w14:paraId="20BD1DAA"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45" w:type="pct"/>
            <w:shd w:val="clear" w:color="auto" w:fill="D6EAEB"/>
            <w:vAlign w:val="center"/>
          </w:tcPr>
          <w:p w14:paraId="1227CB24"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c>
          <w:tcPr>
            <w:tcW w:w="141" w:type="pct"/>
            <w:shd w:val="clear" w:color="auto" w:fill="D6EAEB"/>
          </w:tcPr>
          <w:p w14:paraId="532646E2" w14:textId="77777777" w:rsidR="00B36774" w:rsidRPr="00136181" w:rsidRDefault="00B36774" w:rsidP="00B36774">
            <w:pPr>
              <w:keepNext/>
              <w:spacing w:before="0" w:after="0" w:line="240" w:lineRule="auto"/>
              <w:jc w:val="center"/>
              <w:rPr>
                <w:rFonts w:asciiTheme="minorHAnsi" w:hAnsiTheme="minorHAnsi" w:cstheme="minorHAnsi"/>
                <w:b/>
                <w:noProof w:val="0"/>
                <w:sz w:val="16"/>
                <w:szCs w:val="16"/>
              </w:rPr>
            </w:pPr>
          </w:p>
        </w:tc>
      </w:tr>
      <w:tr w:rsidR="00785848" w14:paraId="0581FA62" w14:textId="77777777" w:rsidTr="00B36774">
        <w:trPr>
          <w:cantSplit/>
        </w:trPr>
        <w:tc>
          <w:tcPr>
            <w:tcW w:w="140" w:type="pct"/>
            <w:shd w:val="clear" w:color="auto" w:fill="92D050"/>
            <w:vAlign w:val="center"/>
          </w:tcPr>
          <w:p w14:paraId="763FA7DB" w14:textId="77777777" w:rsidR="00B36774" w:rsidRPr="008F7938" w:rsidRDefault="00B36774" w:rsidP="00B36774">
            <w:pPr>
              <w:spacing w:before="0" w:after="0" w:line="240" w:lineRule="auto"/>
              <w:rPr>
                <w:rFonts w:asciiTheme="minorHAnsi" w:hAnsiTheme="minorHAnsi" w:cstheme="minorHAnsi"/>
                <w:b/>
                <w:sz w:val="16"/>
                <w:szCs w:val="16"/>
              </w:rPr>
            </w:pPr>
          </w:p>
        </w:tc>
        <w:tc>
          <w:tcPr>
            <w:tcW w:w="1884" w:type="pct"/>
          </w:tcPr>
          <w:p w14:paraId="03177E30" w14:textId="77777777" w:rsidR="00B36774" w:rsidRPr="008F7938" w:rsidRDefault="00171C91" w:rsidP="00B36774">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Are databases and other sources of evidence specified?</w:t>
            </w:r>
          </w:p>
        </w:tc>
        <w:tc>
          <w:tcPr>
            <w:tcW w:w="192" w:type="pct"/>
            <w:vAlign w:val="center"/>
          </w:tcPr>
          <w:p w14:paraId="4D2480CD" w14:textId="2824AEDE"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497140DC" w14:textId="485D340C"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29BC81F5" w14:textId="1448D71D"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92D050"/>
            <w:vAlign w:val="center"/>
          </w:tcPr>
          <w:p w14:paraId="3FD26B98" w14:textId="4E2C9363" w:rsidR="00B36774" w:rsidRPr="0029112B" w:rsidRDefault="00171C91" w:rsidP="00B36774">
            <w:pPr>
              <w:spacing w:before="0" w:after="0" w:line="240" w:lineRule="auto"/>
              <w:jc w:val="center"/>
              <w:rPr>
                <w:rFonts w:asciiTheme="minorHAnsi" w:hAnsiTheme="minorHAnsi" w:cstheme="minorHAnsi"/>
                <w:sz w:val="16"/>
                <w:szCs w:val="16"/>
              </w:rPr>
            </w:pPr>
            <w:r w:rsidRPr="0029112B">
              <w:rPr>
                <w:rFonts w:asciiTheme="minorHAnsi" w:hAnsiTheme="minorHAnsi" w:cstheme="minorHAnsi"/>
                <w:sz w:val="16"/>
                <w:szCs w:val="16"/>
              </w:rPr>
              <w:t>Y</w:t>
            </w:r>
          </w:p>
        </w:tc>
        <w:tc>
          <w:tcPr>
            <w:tcW w:w="192" w:type="pct"/>
            <w:vAlign w:val="center"/>
          </w:tcPr>
          <w:p w14:paraId="1214B68F" w14:textId="07319315" w:rsidR="00B36774" w:rsidRPr="00EA14B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92D050"/>
            <w:vAlign w:val="center"/>
          </w:tcPr>
          <w:p w14:paraId="4062826D" w14:textId="762AC5A5" w:rsidR="00B36774" w:rsidRPr="00EA14B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92" w:type="pct"/>
            <w:vAlign w:val="center"/>
          </w:tcPr>
          <w:p w14:paraId="395C2C99" w14:textId="63F92D41" w:rsidR="00B36774" w:rsidRPr="00EA14B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06768D06" w14:textId="6AE39F1E" w:rsidR="00B36774" w:rsidRPr="00EA14B3" w:rsidRDefault="00171C91" w:rsidP="00B36774">
            <w:pPr>
              <w:spacing w:before="0" w:after="0" w:line="240" w:lineRule="auto"/>
              <w:jc w:val="center"/>
              <w:rPr>
                <w:rFonts w:asciiTheme="minorHAnsi" w:hAnsiTheme="minorHAnsi" w:cstheme="minorHAnsi"/>
                <w:sz w:val="16"/>
                <w:szCs w:val="16"/>
              </w:rPr>
            </w:pPr>
            <w:r w:rsidRPr="00EA14B3">
              <w:rPr>
                <w:rFonts w:asciiTheme="minorHAnsi" w:hAnsiTheme="minorHAnsi" w:cstheme="minorHAnsi"/>
                <w:sz w:val="16"/>
                <w:szCs w:val="16"/>
              </w:rPr>
              <w:t>N</w:t>
            </w:r>
          </w:p>
        </w:tc>
        <w:tc>
          <w:tcPr>
            <w:tcW w:w="192" w:type="pct"/>
            <w:vAlign w:val="center"/>
          </w:tcPr>
          <w:p w14:paraId="188E1CF2" w14:textId="4AEF953B" w:rsidR="00B36774" w:rsidRPr="00EA14B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72284159" w14:textId="19BE2F1E" w:rsidR="00B36774" w:rsidRPr="00EA14B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0D0CDAC0" w14:textId="7631DE40" w:rsidR="00B36774" w:rsidRPr="00EA14B3" w:rsidRDefault="00171C91" w:rsidP="00B36774">
            <w:pPr>
              <w:spacing w:before="0" w:after="0" w:line="240" w:lineRule="auto"/>
              <w:jc w:val="center"/>
              <w:rPr>
                <w:rFonts w:asciiTheme="minorHAnsi" w:hAnsiTheme="minorHAnsi" w:cstheme="minorHAnsi"/>
                <w:sz w:val="16"/>
                <w:szCs w:val="16"/>
              </w:rPr>
            </w:pPr>
            <w:r w:rsidRPr="00EA14B3">
              <w:rPr>
                <w:rFonts w:asciiTheme="minorHAnsi" w:hAnsiTheme="minorHAnsi" w:cstheme="minorHAnsi"/>
                <w:sz w:val="16"/>
                <w:szCs w:val="16"/>
              </w:rPr>
              <w:t>N</w:t>
            </w:r>
          </w:p>
        </w:tc>
        <w:tc>
          <w:tcPr>
            <w:tcW w:w="192" w:type="pct"/>
            <w:vAlign w:val="center"/>
          </w:tcPr>
          <w:p w14:paraId="05FA621C" w14:textId="5E6CA4B5" w:rsidR="00B36774" w:rsidRP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92D050"/>
            <w:vAlign w:val="center"/>
          </w:tcPr>
          <w:p w14:paraId="4130BABC" w14:textId="4444298A" w:rsidR="00B36774" w:rsidRPr="0029112B" w:rsidRDefault="00171C91" w:rsidP="00B36774">
            <w:pPr>
              <w:spacing w:before="0" w:after="0" w:line="240" w:lineRule="auto"/>
              <w:jc w:val="center"/>
              <w:rPr>
                <w:rFonts w:asciiTheme="minorHAnsi" w:hAnsiTheme="minorHAnsi" w:cstheme="minorHAnsi"/>
                <w:sz w:val="16"/>
                <w:szCs w:val="16"/>
                <w:highlight w:val="green"/>
              </w:rPr>
            </w:pPr>
            <w:r w:rsidRPr="0029112B">
              <w:rPr>
                <w:rFonts w:asciiTheme="minorHAnsi" w:hAnsiTheme="minorHAnsi" w:cstheme="minorHAnsi"/>
                <w:sz w:val="16"/>
                <w:szCs w:val="16"/>
              </w:rPr>
              <w:t>Y</w:t>
            </w:r>
          </w:p>
        </w:tc>
        <w:tc>
          <w:tcPr>
            <w:tcW w:w="192" w:type="pct"/>
            <w:shd w:val="clear" w:color="auto" w:fill="92D050"/>
            <w:vAlign w:val="center"/>
          </w:tcPr>
          <w:p w14:paraId="0BBDD577" w14:textId="3B3E3BFC"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45" w:type="pct"/>
            <w:vAlign w:val="center"/>
          </w:tcPr>
          <w:p w14:paraId="2E1E14A6" w14:textId="409276F9"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41" w:type="pct"/>
          </w:tcPr>
          <w:p w14:paraId="30812F8A" w14:textId="68262AC5"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r>
      <w:tr w:rsidR="00785848" w14:paraId="49E96930" w14:textId="77777777" w:rsidTr="00B36774">
        <w:trPr>
          <w:cantSplit/>
        </w:trPr>
        <w:tc>
          <w:tcPr>
            <w:tcW w:w="140" w:type="pct"/>
            <w:shd w:val="clear" w:color="auto" w:fill="92D050"/>
            <w:vAlign w:val="center"/>
          </w:tcPr>
          <w:p w14:paraId="638EB39C" w14:textId="77777777" w:rsidR="00B36774" w:rsidRPr="008F7938" w:rsidRDefault="00B36774" w:rsidP="00B36774">
            <w:pPr>
              <w:spacing w:before="0" w:after="0" w:line="240" w:lineRule="auto"/>
              <w:rPr>
                <w:rFonts w:asciiTheme="minorHAnsi" w:hAnsiTheme="minorHAnsi" w:cstheme="minorHAnsi"/>
                <w:b/>
                <w:sz w:val="16"/>
                <w:szCs w:val="16"/>
              </w:rPr>
            </w:pPr>
          </w:p>
        </w:tc>
        <w:tc>
          <w:tcPr>
            <w:tcW w:w="1884" w:type="pct"/>
          </w:tcPr>
          <w:p w14:paraId="748D4BEC" w14:textId="77777777" w:rsidR="00B36774" w:rsidRPr="008F7938" w:rsidRDefault="00171C91" w:rsidP="00B36774">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Does the literature search cover at least more than one scientific database as well as additional sources (which may include government reports and grey literature)? </w:t>
            </w:r>
          </w:p>
        </w:tc>
        <w:tc>
          <w:tcPr>
            <w:tcW w:w="192" w:type="pct"/>
            <w:vAlign w:val="center"/>
          </w:tcPr>
          <w:p w14:paraId="76BE4D5A" w14:textId="43AF7CEF"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509B1982" w14:textId="46E37FEC"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45EC46A2" w14:textId="18D22326"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92D050"/>
            <w:vAlign w:val="center"/>
          </w:tcPr>
          <w:p w14:paraId="145E82DB" w14:textId="21EB484D" w:rsidR="00B36774" w:rsidRPr="0029112B" w:rsidRDefault="00171C91" w:rsidP="00B36774">
            <w:pPr>
              <w:spacing w:before="0" w:after="0" w:line="240" w:lineRule="auto"/>
              <w:jc w:val="center"/>
              <w:rPr>
                <w:rFonts w:asciiTheme="minorHAnsi" w:hAnsiTheme="minorHAnsi" w:cstheme="minorHAnsi"/>
                <w:sz w:val="16"/>
                <w:szCs w:val="16"/>
              </w:rPr>
            </w:pPr>
            <w:r w:rsidRPr="0029112B">
              <w:rPr>
                <w:rFonts w:asciiTheme="minorHAnsi" w:hAnsiTheme="minorHAnsi" w:cstheme="minorHAnsi"/>
                <w:sz w:val="16"/>
                <w:szCs w:val="16"/>
              </w:rPr>
              <w:t>Y</w:t>
            </w:r>
          </w:p>
        </w:tc>
        <w:tc>
          <w:tcPr>
            <w:tcW w:w="192" w:type="pct"/>
            <w:vAlign w:val="center"/>
          </w:tcPr>
          <w:p w14:paraId="4CFEB64C" w14:textId="7FD2C9DC" w:rsidR="00B36774" w:rsidRPr="00EA14B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0C68DD5E" w14:textId="7F63E00E" w:rsidR="00B36774" w:rsidRPr="00EA14B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2E86EEAB" w14:textId="627E629C" w:rsidR="00B36774" w:rsidRPr="00EA14B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08CEC269" w14:textId="2027B63C" w:rsidR="00B36774" w:rsidRPr="00EA14B3" w:rsidRDefault="00171C91" w:rsidP="00B36774">
            <w:pPr>
              <w:spacing w:before="0" w:after="0" w:line="240" w:lineRule="auto"/>
              <w:jc w:val="center"/>
              <w:rPr>
                <w:rFonts w:asciiTheme="minorHAnsi" w:hAnsiTheme="minorHAnsi" w:cstheme="minorHAnsi"/>
                <w:sz w:val="16"/>
                <w:szCs w:val="16"/>
              </w:rPr>
            </w:pPr>
            <w:r w:rsidRPr="00EA14B3">
              <w:rPr>
                <w:rFonts w:asciiTheme="minorHAnsi" w:hAnsiTheme="minorHAnsi" w:cstheme="minorHAnsi"/>
                <w:sz w:val="16"/>
                <w:szCs w:val="16"/>
              </w:rPr>
              <w:t>N</w:t>
            </w:r>
          </w:p>
        </w:tc>
        <w:tc>
          <w:tcPr>
            <w:tcW w:w="192" w:type="pct"/>
            <w:vAlign w:val="center"/>
          </w:tcPr>
          <w:p w14:paraId="566809A8" w14:textId="57001F34" w:rsidR="00B36774" w:rsidRPr="00EA14B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30A7D337" w14:textId="30224F44" w:rsidR="00B36774" w:rsidRPr="00EA14B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7F04E81E" w14:textId="0D5FD62A" w:rsidR="00B36774" w:rsidRPr="00EA14B3" w:rsidRDefault="00171C91" w:rsidP="00B36774">
            <w:pPr>
              <w:spacing w:before="0" w:after="0" w:line="240" w:lineRule="auto"/>
              <w:jc w:val="center"/>
              <w:rPr>
                <w:rFonts w:asciiTheme="minorHAnsi" w:hAnsiTheme="minorHAnsi" w:cstheme="minorHAnsi"/>
                <w:sz w:val="16"/>
                <w:szCs w:val="16"/>
              </w:rPr>
            </w:pPr>
            <w:r w:rsidRPr="00EA14B3">
              <w:rPr>
                <w:rFonts w:asciiTheme="minorHAnsi" w:hAnsiTheme="minorHAnsi" w:cstheme="minorHAnsi"/>
                <w:sz w:val="16"/>
                <w:szCs w:val="16"/>
              </w:rPr>
              <w:t>N</w:t>
            </w:r>
          </w:p>
        </w:tc>
        <w:tc>
          <w:tcPr>
            <w:tcW w:w="192" w:type="pct"/>
            <w:vAlign w:val="center"/>
          </w:tcPr>
          <w:p w14:paraId="1ECCF73C" w14:textId="08F7A81F" w:rsidR="00B36774" w:rsidRP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92D050"/>
            <w:vAlign w:val="center"/>
          </w:tcPr>
          <w:p w14:paraId="7A49CD04" w14:textId="719290E1" w:rsidR="00B36774" w:rsidRPr="0029112B" w:rsidRDefault="00171C91" w:rsidP="00B36774">
            <w:pPr>
              <w:spacing w:before="0" w:after="0" w:line="240" w:lineRule="auto"/>
              <w:jc w:val="center"/>
              <w:rPr>
                <w:rFonts w:asciiTheme="minorHAnsi" w:hAnsiTheme="minorHAnsi" w:cstheme="minorHAnsi"/>
                <w:sz w:val="16"/>
                <w:szCs w:val="16"/>
              </w:rPr>
            </w:pPr>
            <w:r w:rsidRPr="0029112B">
              <w:rPr>
                <w:rFonts w:asciiTheme="minorHAnsi" w:hAnsiTheme="minorHAnsi" w:cstheme="minorHAnsi"/>
                <w:sz w:val="16"/>
                <w:szCs w:val="16"/>
              </w:rPr>
              <w:t>Y</w:t>
            </w:r>
          </w:p>
        </w:tc>
        <w:tc>
          <w:tcPr>
            <w:tcW w:w="192" w:type="pct"/>
            <w:shd w:val="clear" w:color="auto" w:fill="92D050"/>
            <w:vAlign w:val="center"/>
          </w:tcPr>
          <w:p w14:paraId="1E5045A9" w14:textId="1BE89993"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45" w:type="pct"/>
            <w:vAlign w:val="center"/>
          </w:tcPr>
          <w:p w14:paraId="7213329B" w14:textId="4DEB0DFD"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41" w:type="pct"/>
          </w:tcPr>
          <w:p w14:paraId="774E8B55" w14:textId="0C8B92F4"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r>
      <w:tr w:rsidR="00785848" w14:paraId="19B079D7" w14:textId="77777777" w:rsidTr="00B36774">
        <w:trPr>
          <w:cantSplit/>
        </w:trPr>
        <w:tc>
          <w:tcPr>
            <w:tcW w:w="140" w:type="pct"/>
            <w:shd w:val="clear" w:color="auto" w:fill="92D050"/>
            <w:vAlign w:val="center"/>
          </w:tcPr>
          <w:p w14:paraId="5E80B9C6" w14:textId="77777777" w:rsidR="00B36774" w:rsidRPr="008F7938" w:rsidRDefault="00B36774" w:rsidP="00B36774">
            <w:pPr>
              <w:spacing w:before="0" w:after="0" w:line="240" w:lineRule="auto"/>
              <w:rPr>
                <w:rFonts w:asciiTheme="minorHAnsi" w:hAnsiTheme="minorHAnsi" w:cstheme="minorHAnsi"/>
                <w:b/>
                <w:sz w:val="16"/>
                <w:szCs w:val="16"/>
              </w:rPr>
            </w:pPr>
          </w:p>
        </w:tc>
        <w:tc>
          <w:tcPr>
            <w:tcW w:w="1884" w:type="pct"/>
          </w:tcPr>
          <w:p w14:paraId="0B63BD3F" w14:textId="77777777" w:rsidR="00B36774" w:rsidRPr="008F7938" w:rsidRDefault="00171C91" w:rsidP="00B36774">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Is it specified what date range the literature search covers? Is there a justification?</w:t>
            </w:r>
          </w:p>
        </w:tc>
        <w:tc>
          <w:tcPr>
            <w:tcW w:w="192" w:type="pct"/>
            <w:vAlign w:val="center"/>
          </w:tcPr>
          <w:p w14:paraId="0CCDA916" w14:textId="4A749017"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35099B74" w14:textId="122C0FC3"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7F112F70" w14:textId="692E6C9C"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92D050"/>
            <w:vAlign w:val="center"/>
          </w:tcPr>
          <w:p w14:paraId="5155C7A9" w14:textId="35ABE06D" w:rsidR="00B36774" w:rsidRPr="0029112B" w:rsidRDefault="00171C91" w:rsidP="00B36774">
            <w:pPr>
              <w:spacing w:before="0" w:after="0" w:line="240" w:lineRule="auto"/>
              <w:jc w:val="center"/>
              <w:rPr>
                <w:rFonts w:asciiTheme="minorHAnsi" w:hAnsiTheme="minorHAnsi" w:cstheme="minorHAnsi"/>
                <w:sz w:val="16"/>
                <w:szCs w:val="16"/>
              </w:rPr>
            </w:pPr>
            <w:r w:rsidRPr="0029112B">
              <w:rPr>
                <w:rFonts w:asciiTheme="minorHAnsi" w:hAnsiTheme="minorHAnsi" w:cstheme="minorHAnsi"/>
                <w:sz w:val="16"/>
                <w:szCs w:val="16"/>
              </w:rPr>
              <w:t>Y</w:t>
            </w:r>
          </w:p>
        </w:tc>
        <w:tc>
          <w:tcPr>
            <w:tcW w:w="192" w:type="pct"/>
            <w:vAlign w:val="center"/>
          </w:tcPr>
          <w:p w14:paraId="56357DDF" w14:textId="3DC73910" w:rsidR="00B36774" w:rsidRPr="00EA14B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79B01BBE" w14:textId="226F2427" w:rsidR="00B36774" w:rsidRPr="00EA14B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652D4905" w14:textId="423B3CF8" w:rsidR="00B36774" w:rsidRPr="00EA14B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62D9856B" w14:textId="097EEBEB" w:rsidR="00B36774" w:rsidRPr="00EA14B3" w:rsidRDefault="00171C91" w:rsidP="00B36774">
            <w:pPr>
              <w:spacing w:before="0" w:after="0" w:line="240" w:lineRule="auto"/>
              <w:jc w:val="center"/>
              <w:rPr>
                <w:rFonts w:asciiTheme="minorHAnsi" w:hAnsiTheme="minorHAnsi" w:cstheme="minorHAnsi"/>
                <w:sz w:val="16"/>
                <w:szCs w:val="16"/>
              </w:rPr>
            </w:pPr>
            <w:r w:rsidRPr="00EA14B3">
              <w:rPr>
                <w:rFonts w:asciiTheme="minorHAnsi" w:hAnsiTheme="minorHAnsi" w:cstheme="minorHAnsi"/>
                <w:sz w:val="16"/>
                <w:szCs w:val="16"/>
              </w:rPr>
              <w:t>N</w:t>
            </w:r>
          </w:p>
        </w:tc>
        <w:tc>
          <w:tcPr>
            <w:tcW w:w="192" w:type="pct"/>
            <w:vAlign w:val="center"/>
          </w:tcPr>
          <w:p w14:paraId="7961C540" w14:textId="70823A1B" w:rsidR="00B36774" w:rsidRPr="00EA14B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16A69FAF" w14:textId="2F47B47A" w:rsidR="00B36774" w:rsidRPr="00EA14B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4DE050B5" w14:textId="315EA32C" w:rsidR="00B36774" w:rsidRPr="00EA14B3" w:rsidRDefault="00171C91" w:rsidP="00B36774">
            <w:pPr>
              <w:spacing w:before="0" w:after="0" w:line="240" w:lineRule="auto"/>
              <w:jc w:val="center"/>
              <w:rPr>
                <w:rFonts w:asciiTheme="minorHAnsi" w:hAnsiTheme="minorHAnsi" w:cstheme="minorHAnsi"/>
                <w:sz w:val="16"/>
                <w:szCs w:val="16"/>
              </w:rPr>
            </w:pPr>
            <w:r w:rsidRPr="00EA14B3">
              <w:rPr>
                <w:rFonts w:asciiTheme="minorHAnsi" w:hAnsiTheme="minorHAnsi" w:cstheme="minorHAnsi"/>
                <w:sz w:val="16"/>
                <w:szCs w:val="16"/>
              </w:rPr>
              <w:t>N</w:t>
            </w:r>
          </w:p>
        </w:tc>
        <w:tc>
          <w:tcPr>
            <w:tcW w:w="192" w:type="pct"/>
            <w:vAlign w:val="center"/>
          </w:tcPr>
          <w:p w14:paraId="7625787A" w14:textId="1FF9641D" w:rsidR="00B36774" w:rsidRP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92D050"/>
            <w:vAlign w:val="center"/>
          </w:tcPr>
          <w:p w14:paraId="31850CBE" w14:textId="38357710" w:rsidR="00B36774" w:rsidRPr="0029112B" w:rsidRDefault="00171C91" w:rsidP="00B36774">
            <w:pPr>
              <w:spacing w:before="0" w:after="0" w:line="240" w:lineRule="auto"/>
              <w:jc w:val="center"/>
              <w:rPr>
                <w:rFonts w:asciiTheme="minorHAnsi" w:hAnsiTheme="minorHAnsi" w:cstheme="minorHAnsi"/>
                <w:sz w:val="16"/>
                <w:szCs w:val="16"/>
              </w:rPr>
            </w:pPr>
            <w:r w:rsidRPr="0029112B">
              <w:rPr>
                <w:rFonts w:asciiTheme="minorHAnsi" w:hAnsiTheme="minorHAnsi" w:cstheme="minorHAnsi"/>
                <w:sz w:val="16"/>
                <w:szCs w:val="16"/>
              </w:rPr>
              <w:t>Y</w:t>
            </w:r>
          </w:p>
        </w:tc>
        <w:tc>
          <w:tcPr>
            <w:tcW w:w="192" w:type="pct"/>
            <w:shd w:val="clear" w:color="auto" w:fill="92D050"/>
            <w:vAlign w:val="center"/>
          </w:tcPr>
          <w:p w14:paraId="3CFEFC4F" w14:textId="5550F248"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45" w:type="pct"/>
            <w:vAlign w:val="center"/>
          </w:tcPr>
          <w:p w14:paraId="511448F1" w14:textId="4D849374"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41" w:type="pct"/>
          </w:tcPr>
          <w:p w14:paraId="21F01854" w14:textId="4355B94E"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r>
      <w:tr w:rsidR="00785848" w14:paraId="010D8E13" w14:textId="77777777" w:rsidTr="00B36774">
        <w:trPr>
          <w:cantSplit/>
        </w:trPr>
        <w:tc>
          <w:tcPr>
            <w:tcW w:w="140" w:type="pct"/>
            <w:shd w:val="clear" w:color="auto" w:fill="FFFF00"/>
            <w:vAlign w:val="center"/>
          </w:tcPr>
          <w:p w14:paraId="1AC0CFB6" w14:textId="77777777" w:rsidR="00B36774" w:rsidRPr="008F7938" w:rsidRDefault="00B36774" w:rsidP="00B36774">
            <w:pPr>
              <w:spacing w:before="0" w:after="0" w:line="240" w:lineRule="auto"/>
              <w:rPr>
                <w:rFonts w:asciiTheme="minorHAnsi" w:hAnsiTheme="minorHAnsi" w:cstheme="minorHAnsi"/>
                <w:b/>
                <w:sz w:val="16"/>
                <w:szCs w:val="16"/>
              </w:rPr>
            </w:pPr>
          </w:p>
        </w:tc>
        <w:tc>
          <w:tcPr>
            <w:tcW w:w="1884" w:type="pct"/>
          </w:tcPr>
          <w:p w14:paraId="71ED294B" w14:textId="77777777" w:rsidR="00B36774" w:rsidRPr="008F7938" w:rsidRDefault="00171C91" w:rsidP="00B36774">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Are search terms and/or search strings specified? </w:t>
            </w:r>
          </w:p>
        </w:tc>
        <w:tc>
          <w:tcPr>
            <w:tcW w:w="192" w:type="pct"/>
            <w:vAlign w:val="center"/>
          </w:tcPr>
          <w:p w14:paraId="4885F298" w14:textId="47F52170"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4F183CD3" w14:textId="192CA0DC"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37D544A5" w14:textId="4C9D7181"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FFFF00"/>
            <w:vAlign w:val="center"/>
          </w:tcPr>
          <w:p w14:paraId="0BB75173" w14:textId="2F8B9ABB" w:rsidR="00B36774" w:rsidRPr="00EA14B3" w:rsidRDefault="00171C91" w:rsidP="00B36774">
            <w:pPr>
              <w:spacing w:before="0" w:after="0" w:line="240" w:lineRule="auto"/>
              <w:jc w:val="center"/>
              <w:rPr>
                <w:rFonts w:asciiTheme="minorHAnsi" w:hAnsiTheme="minorHAnsi" w:cstheme="minorHAnsi"/>
                <w:sz w:val="16"/>
                <w:szCs w:val="16"/>
              </w:rPr>
            </w:pPr>
            <w:r w:rsidRPr="0029112B">
              <w:rPr>
                <w:rFonts w:asciiTheme="minorHAnsi" w:hAnsiTheme="minorHAnsi" w:cstheme="minorHAnsi"/>
                <w:sz w:val="16"/>
                <w:szCs w:val="16"/>
              </w:rPr>
              <w:t>Y</w:t>
            </w:r>
          </w:p>
        </w:tc>
        <w:tc>
          <w:tcPr>
            <w:tcW w:w="192" w:type="pct"/>
            <w:vAlign w:val="center"/>
          </w:tcPr>
          <w:p w14:paraId="4A566A9E" w14:textId="6C42C31E" w:rsidR="00B36774" w:rsidRPr="00EA14B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54E92F79" w14:textId="2EDBBAE6" w:rsidR="00B36774" w:rsidRPr="00EA14B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4EC93074" w14:textId="59534438" w:rsidR="00B36774" w:rsidRPr="00EA14B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12BC64A6" w14:textId="15573CEE" w:rsidR="00B36774" w:rsidRPr="00EA14B3" w:rsidRDefault="00171C91" w:rsidP="00B36774">
            <w:pPr>
              <w:spacing w:before="0" w:after="0" w:line="240" w:lineRule="auto"/>
              <w:jc w:val="center"/>
              <w:rPr>
                <w:rFonts w:asciiTheme="minorHAnsi" w:hAnsiTheme="minorHAnsi" w:cstheme="minorHAnsi"/>
                <w:sz w:val="16"/>
                <w:szCs w:val="16"/>
              </w:rPr>
            </w:pPr>
            <w:r w:rsidRPr="00EA14B3">
              <w:rPr>
                <w:rFonts w:asciiTheme="minorHAnsi" w:hAnsiTheme="minorHAnsi" w:cstheme="minorHAnsi"/>
                <w:sz w:val="16"/>
                <w:szCs w:val="16"/>
              </w:rPr>
              <w:t>N</w:t>
            </w:r>
          </w:p>
        </w:tc>
        <w:tc>
          <w:tcPr>
            <w:tcW w:w="192" w:type="pct"/>
            <w:vAlign w:val="center"/>
          </w:tcPr>
          <w:p w14:paraId="4395C007" w14:textId="73CC2BB6" w:rsidR="00B36774" w:rsidRPr="00EA14B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30316AE2" w14:textId="4D4E1FA4" w:rsidR="00B36774" w:rsidRPr="00EA14B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606DECCD" w14:textId="1148C81B" w:rsidR="00B36774" w:rsidRPr="00EA14B3" w:rsidRDefault="00171C91" w:rsidP="00B36774">
            <w:pPr>
              <w:spacing w:before="0" w:after="0" w:line="240" w:lineRule="auto"/>
              <w:jc w:val="center"/>
              <w:rPr>
                <w:rFonts w:asciiTheme="minorHAnsi" w:hAnsiTheme="minorHAnsi" w:cstheme="minorHAnsi"/>
                <w:sz w:val="16"/>
                <w:szCs w:val="16"/>
              </w:rPr>
            </w:pPr>
            <w:r w:rsidRPr="00EA14B3">
              <w:rPr>
                <w:rFonts w:asciiTheme="minorHAnsi" w:hAnsiTheme="minorHAnsi" w:cstheme="minorHAnsi"/>
                <w:sz w:val="16"/>
                <w:szCs w:val="16"/>
              </w:rPr>
              <w:t>N</w:t>
            </w:r>
          </w:p>
        </w:tc>
        <w:tc>
          <w:tcPr>
            <w:tcW w:w="192" w:type="pct"/>
            <w:vAlign w:val="center"/>
          </w:tcPr>
          <w:p w14:paraId="0C6E263E" w14:textId="010D2191" w:rsidR="00B36774" w:rsidRP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FFFF00"/>
            <w:vAlign w:val="center"/>
          </w:tcPr>
          <w:p w14:paraId="74224CA9" w14:textId="168BCE18" w:rsidR="00B36774" w:rsidRPr="00EA14B3" w:rsidRDefault="00171C91" w:rsidP="00B36774">
            <w:pPr>
              <w:spacing w:before="0" w:after="0" w:line="240" w:lineRule="auto"/>
              <w:jc w:val="center"/>
              <w:rPr>
                <w:rFonts w:asciiTheme="minorHAnsi" w:hAnsiTheme="minorHAnsi" w:cstheme="minorHAnsi"/>
                <w:sz w:val="16"/>
                <w:szCs w:val="16"/>
              </w:rPr>
            </w:pPr>
            <w:r w:rsidRPr="0029112B">
              <w:rPr>
                <w:rFonts w:asciiTheme="minorHAnsi" w:hAnsiTheme="minorHAnsi" w:cstheme="minorHAnsi"/>
                <w:sz w:val="16"/>
                <w:szCs w:val="16"/>
              </w:rPr>
              <w:t>Y</w:t>
            </w:r>
          </w:p>
        </w:tc>
        <w:tc>
          <w:tcPr>
            <w:tcW w:w="192" w:type="pct"/>
            <w:shd w:val="clear" w:color="auto" w:fill="FFFF00"/>
            <w:vAlign w:val="center"/>
          </w:tcPr>
          <w:p w14:paraId="2887F66C" w14:textId="0E0425E3"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45" w:type="pct"/>
            <w:vAlign w:val="center"/>
          </w:tcPr>
          <w:p w14:paraId="2C46952E" w14:textId="72199C3C"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41" w:type="pct"/>
          </w:tcPr>
          <w:p w14:paraId="06BD790E" w14:textId="0E262B84"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r>
      <w:tr w:rsidR="00785848" w14:paraId="545DAC9A" w14:textId="77777777" w:rsidTr="00B36774">
        <w:trPr>
          <w:cantSplit/>
        </w:trPr>
        <w:tc>
          <w:tcPr>
            <w:tcW w:w="140" w:type="pct"/>
            <w:shd w:val="clear" w:color="auto" w:fill="92CDDC" w:themeFill="accent5" w:themeFillTint="99"/>
            <w:vAlign w:val="center"/>
          </w:tcPr>
          <w:p w14:paraId="67CEAE56" w14:textId="77777777" w:rsidR="00B36774" w:rsidRPr="008F7938" w:rsidRDefault="00B36774" w:rsidP="00B36774">
            <w:pPr>
              <w:spacing w:before="0" w:after="0" w:line="240" w:lineRule="auto"/>
              <w:rPr>
                <w:rFonts w:asciiTheme="minorHAnsi" w:hAnsiTheme="minorHAnsi" w:cstheme="minorHAnsi"/>
                <w:b/>
                <w:sz w:val="16"/>
                <w:szCs w:val="16"/>
              </w:rPr>
            </w:pPr>
          </w:p>
        </w:tc>
        <w:tc>
          <w:tcPr>
            <w:tcW w:w="1884" w:type="pct"/>
          </w:tcPr>
          <w:p w14:paraId="7F02FE3E" w14:textId="77777777" w:rsidR="00B36774" w:rsidRPr="008F7938" w:rsidRDefault="00171C91" w:rsidP="00B36774">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Are there any other exclusion criteria for literature (e.g. publication language, publication dates)? If so, what are they and are they appropriate? </w:t>
            </w:r>
          </w:p>
        </w:tc>
        <w:tc>
          <w:tcPr>
            <w:tcW w:w="192" w:type="pct"/>
            <w:vAlign w:val="center"/>
          </w:tcPr>
          <w:p w14:paraId="25EEF6C6" w14:textId="2F27E0CF"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595B8590" w14:textId="194B8EF8"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7D64AC18" w14:textId="6FE2581F"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92CDDC" w:themeFill="accent5" w:themeFillTint="99"/>
            <w:vAlign w:val="center"/>
          </w:tcPr>
          <w:p w14:paraId="1A2B2303" w14:textId="019EA72F" w:rsidR="00B36774" w:rsidRPr="008F7938" w:rsidRDefault="00171C91" w:rsidP="00B36774">
            <w:pPr>
              <w:spacing w:before="0" w:after="0" w:line="240" w:lineRule="auto"/>
              <w:jc w:val="center"/>
              <w:rPr>
                <w:rFonts w:asciiTheme="minorHAnsi" w:hAnsiTheme="minorHAnsi" w:cstheme="minorHAnsi"/>
                <w:sz w:val="16"/>
                <w:szCs w:val="16"/>
              </w:rPr>
            </w:pPr>
            <w:r w:rsidRPr="0029112B">
              <w:rPr>
                <w:rFonts w:asciiTheme="minorHAnsi" w:hAnsiTheme="minorHAnsi" w:cstheme="minorHAnsi"/>
                <w:sz w:val="16"/>
                <w:szCs w:val="16"/>
              </w:rPr>
              <w:t>Y</w:t>
            </w:r>
          </w:p>
        </w:tc>
        <w:tc>
          <w:tcPr>
            <w:tcW w:w="192" w:type="pct"/>
            <w:vAlign w:val="center"/>
          </w:tcPr>
          <w:p w14:paraId="21723280" w14:textId="2CA2D185"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72B0F731" w14:textId="6BB4CE45"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29BAA6CD" w14:textId="218AA1B0"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03EADB2C" w14:textId="1754C29C"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5C5E0944" w14:textId="58BF8B49"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4F8A64F1" w14:textId="3B1E024B"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63E6D97C" w14:textId="72DE26FB"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27B4A63B" w14:textId="6FCD5C8A"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2A325439" w14:textId="78BDE2D9"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57336748" w14:textId="3E570EDC"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45" w:type="pct"/>
            <w:vAlign w:val="center"/>
          </w:tcPr>
          <w:p w14:paraId="31428B26" w14:textId="5B8B947E"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41" w:type="pct"/>
          </w:tcPr>
          <w:p w14:paraId="18D780F9" w14:textId="69602D15"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r>
      <w:tr w:rsidR="00785848" w14:paraId="3FE23BFE" w14:textId="77777777" w:rsidTr="00B36774">
        <w:trPr>
          <w:cantSplit/>
        </w:trPr>
        <w:tc>
          <w:tcPr>
            <w:tcW w:w="140" w:type="pct"/>
            <w:shd w:val="clear" w:color="auto" w:fill="D6EAEB"/>
            <w:vAlign w:val="center"/>
          </w:tcPr>
          <w:p w14:paraId="25A3B7EC" w14:textId="42467835" w:rsidR="00B36774" w:rsidRPr="00852394" w:rsidRDefault="00B36774" w:rsidP="00B36774">
            <w:pPr>
              <w:keepNext/>
              <w:spacing w:before="0" w:after="0" w:line="240" w:lineRule="auto"/>
              <w:rPr>
                <w:rFonts w:asciiTheme="minorHAnsi" w:hAnsiTheme="minorHAnsi" w:cstheme="minorHAnsi"/>
                <w:b/>
                <w:sz w:val="16"/>
                <w:szCs w:val="16"/>
              </w:rPr>
            </w:pPr>
          </w:p>
        </w:tc>
        <w:tc>
          <w:tcPr>
            <w:tcW w:w="1884" w:type="pct"/>
            <w:shd w:val="clear" w:color="auto" w:fill="D6EAEB"/>
            <w:vAlign w:val="center"/>
          </w:tcPr>
          <w:p w14:paraId="14D396EE" w14:textId="247E60FF" w:rsidR="00B36774" w:rsidRPr="00852394" w:rsidRDefault="00171C91" w:rsidP="00B36774">
            <w:pPr>
              <w:keepNext/>
              <w:spacing w:before="0" w:after="0" w:line="240" w:lineRule="auto"/>
              <w:rPr>
                <w:rFonts w:asciiTheme="minorHAnsi" w:hAnsiTheme="minorHAnsi" w:cstheme="minorHAnsi"/>
                <w:b/>
                <w:sz w:val="16"/>
                <w:szCs w:val="16"/>
              </w:rPr>
            </w:pPr>
            <w:r w:rsidRPr="00852394">
              <w:rPr>
                <w:rFonts w:asciiTheme="minorHAnsi" w:hAnsiTheme="minorHAnsi" w:cstheme="minorHAnsi"/>
                <w:b/>
                <w:sz w:val="16"/>
                <w:szCs w:val="16"/>
              </w:rPr>
              <w:t>Critical appraisal methods and tools</w:t>
            </w:r>
          </w:p>
        </w:tc>
        <w:tc>
          <w:tcPr>
            <w:tcW w:w="192" w:type="pct"/>
            <w:shd w:val="clear" w:color="auto" w:fill="D6EAEB"/>
            <w:vAlign w:val="center"/>
          </w:tcPr>
          <w:p w14:paraId="073612A4"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070F1731"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2BB7F2EB" w14:textId="271FB929"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4AEEF13F"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147A9C8F" w14:textId="37C24D82"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71E229B6" w14:textId="18711B4A"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59184CBD" w14:textId="2235FF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4BA9C97D" w14:textId="789DCEED"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0ACC12C3"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7D0341E0"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4BA3A4D0" w14:textId="0B4F51D6"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0B30A551"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5FF6A8AF" w14:textId="5859E19A"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3813D75C"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45" w:type="pct"/>
            <w:shd w:val="clear" w:color="auto" w:fill="D6EAEB"/>
            <w:vAlign w:val="center"/>
          </w:tcPr>
          <w:p w14:paraId="308DF9B7" w14:textId="630AADBC"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41" w:type="pct"/>
            <w:shd w:val="clear" w:color="auto" w:fill="D6EAEB"/>
          </w:tcPr>
          <w:p w14:paraId="07BCE8BE"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r>
      <w:tr w:rsidR="00785848" w14:paraId="416CA8CE" w14:textId="77777777" w:rsidTr="00B36774">
        <w:trPr>
          <w:cantSplit/>
        </w:trPr>
        <w:tc>
          <w:tcPr>
            <w:tcW w:w="140" w:type="pct"/>
            <w:shd w:val="clear" w:color="auto" w:fill="92D050"/>
            <w:vAlign w:val="center"/>
          </w:tcPr>
          <w:p w14:paraId="283B83AE" w14:textId="77777777" w:rsidR="00B36774" w:rsidRPr="008F7938" w:rsidRDefault="00B36774" w:rsidP="00B36774">
            <w:pPr>
              <w:spacing w:before="0" w:after="0" w:line="240" w:lineRule="auto"/>
              <w:rPr>
                <w:rFonts w:asciiTheme="minorHAnsi" w:hAnsiTheme="minorHAnsi" w:cstheme="minorHAnsi"/>
                <w:b/>
                <w:sz w:val="16"/>
                <w:szCs w:val="16"/>
              </w:rPr>
            </w:pPr>
          </w:p>
        </w:tc>
        <w:tc>
          <w:tcPr>
            <w:tcW w:w="1884" w:type="pct"/>
          </w:tcPr>
          <w:p w14:paraId="0E378195" w14:textId="77777777" w:rsidR="00B36774" w:rsidRPr="008F7938" w:rsidRDefault="00171C91" w:rsidP="00B36774">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Is risk of bias of individual studies taken into consideration to assess internal validity? If so, what tools are used? If not, was any method used to assess study quality?</w:t>
            </w:r>
          </w:p>
        </w:tc>
        <w:tc>
          <w:tcPr>
            <w:tcW w:w="192" w:type="pct"/>
            <w:vAlign w:val="center"/>
          </w:tcPr>
          <w:p w14:paraId="00D0EF8F" w14:textId="162EFB69"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406E5F24" w14:textId="6001FEAD"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32F7AA28" w14:textId="68F9563D"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92D050"/>
            <w:vAlign w:val="center"/>
          </w:tcPr>
          <w:p w14:paraId="62477E7F" w14:textId="4F1834F4" w:rsidR="00B36774" w:rsidRPr="008F7938" w:rsidRDefault="00171C91" w:rsidP="00B36774">
            <w:pPr>
              <w:spacing w:before="0" w:after="0" w:line="240" w:lineRule="auto"/>
              <w:jc w:val="center"/>
              <w:rPr>
                <w:rFonts w:asciiTheme="minorHAnsi" w:hAnsiTheme="minorHAnsi" w:cstheme="minorHAnsi"/>
                <w:sz w:val="16"/>
                <w:szCs w:val="16"/>
              </w:rPr>
            </w:pPr>
            <w:r w:rsidRPr="0029112B">
              <w:rPr>
                <w:rFonts w:asciiTheme="minorHAnsi" w:hAnsiTheme="minorHAnsi" w:cstheme="minorHAnsi"/>
                <w:sz w:val="16"/>
                <w:szCs w:val="16"/>
              </w:rPr>
              <w:t>Y</w:t>
            </w:r>
          </w:p>
        </w:tc>
        <w:tc>
          <w:tcPr>
            <w:tcW w:w="192" w:type="pct"/>
            <w:vAlign w:val="center"/>
          </w:tcPr>
          <w:p w14:paraId="06B6CACE" w14:textId="76C64DF8"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6CD61BE2" w14:textId="0CA15053"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2D4E2DDD" w14:textId="12FF70DE"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6BCCB04A" w14:textId="1444C535"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445B6D89" w14:textId="2A6D2C8C"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70AEC610" w14:textId="0C5795F1"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26940524" w14:textId="010324FE"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7403D7AB" w14:textId="34640210"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1795EC1B" w14:textId="6442DC21"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76E5A57D" w14:textId="1B0AD8D7"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45" w:type="pct"/>
            <w:vAlign w:val="center"/>
          </w:tcPr>
          <w:p w14:paraId="0B882DB1" w14:textId="59EF983F"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41" w:type="pct"/>
          </w:tcPr>
          <w:p w14:paraId="3B08A3B6" w14:textId="09269965"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r>
      <w:tr w:rsidR="00785848" w14:paraId="5D3844B9" w14:textId="77777777" w:rsidTr="00B36774">
        <w:trPr>
          <w:cantSplit/>
        </w:trPr>
        <w:tc>
          <w:tcPr>
            <w:tcW w:w="140" w:type="pct"/>
            <w:shd w:val="clear" w:color="auto" w:fill="FFFF00"/>
            <w:vAlign w:val="center"/>
          </w:tcPr>
          <w:p w14:paraId="772CAC20" w14:textId="77777777" w:rsidR="00B36774" w:rsidRPr="008F7938" w:rsidRDefault="00B36774" w:rsidP="00B36774">
            <w:pPr>
              <w:spacing w:before="0" w:after="0" w:line="240" w:lineRule="auto"/>
              <w:rPr>
                <w:rFonts w:asciiTheme="minorHAnsi" w:hAnsiTheme="minorHAnsi" w:cstheme="minorHAnsi"/>
                <w:b/>
                <w:sz w:val="16"/>
                <w:szCs w:val="16"/>
              </w:rPr>
            </w:pPr>
          </w:p>
        </w:tc>
        <w:tc>
          <w:tcPr>
            <w:tcW w:w="1884" w:type="pct"/>
          </w:tcPr>
          <w:p w14:paraId="07D43D72" w14:textId="77777777" w:rsidR="00B36774" w:rsidRPr="008F7938" w:rsidRDefault="00171C91" w:rsidP="00B36774">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Does the organisation use a systematic or some other methodological approach to synthesise the evidence (i.e. to assess and summarise the information provided in the studies)? If so, provide details.</w:t>
            </w:r>
          </w:p>
        </w:tc>
        <w:tc>
          <w:tcPr>
            <w:tcW w:w="192" w:type="pct"/>
            <w:vAlign w:val="center"/>
          </w:tcPr>
          <w:p w14:paraId="3B7D9B91" w14:textId="411B4F3C"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19ADA799" w14:textId="51694A8D"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7906A0BB" w14:textId="6544C104"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FFFF00"/>
            <w:vAlign w:val="center"/>
          </w:tcPr>
          <w:p w14:paraId="0E510BC4" w14:textId="578DD9EB" w:rsidR="00B36774" w:rsidRPr="0029112B" w:rsidRDefault="00171C91" w:rsidP="00B36774">
            <w:pPr>
              <w:spacing w:before="0" w:after="0" w:line="240" w:lineRule="auto"/>
              <w:jc w:val="center"/>
              <w:rPr>
                <w:rFonts w:asciiTheme="minorHAnsi" w:hAnsiTheme="minorHAnsi" w:cstheme="minorHAnsi"/>
                <w:sz w:val="16"/>
                <w:szCs w:val="16"/>
              </w:rPr>
            </w:pPr>
            <w:r w:rsidRPr="0029112B">
              <w:rPr>
                <w:rFonts w:asciiTheme="minorHAnsi" w:hAnsiTheme="minorHAnsi" w:cstheme="minorHAnsi"/>
                <w:sz w:val="16"/>
                <w:szCs w:val="16"/>
              </w:rPr>
              <w:t>Y</w:t>
            </w:r>
          </w:p>
        </w:tc>
        <w:tc>
          <w:tcPr>
            <w:tcW w:w="192" w:type="pct"/>
            <w:vAlign w:val="center"/>
          </w:tcPr>
          <w:p w14:paraId="61256863" w14:textId="5D8FEE30"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1657B220" w14:textId="75712C1C"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288B5D2E" w14:textId="7506D70B"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563D0BFC" w14:textId="2B424630"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6B0B4BE6" w14:textId="6BEE747B"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73BB1FF7" w14:textId="4DA475F4"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7F019BB5" w14:textId="7BF150F1"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098931F0" w14:textId="7BAFDC6D" w:rsidR="00B36774" w:rsidRP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FFFF00"/>
            <w:vAlign w:val="center"/>
          </w:tcPr>
          <w:p w14:paraId="7BBF74CC" w14:textId="5275BAB9" w:rsidR="00B36774" w:rsidRPr="0029112B" w:rsidRDefault="00171C91" w:rsidP="00B36774">
            <w:pPr>
              <w:spacing w:before="0" w:after="0" w:line="240" w:lineRule="auto"/>
              <w:jc w:val="center"/>
              <w:rPr>
                <w:rFonts w:asciiTheme="minorHAnsi" w:hAnsiTheme="minorHAnsi" w:cstheme="minorHAnsi"/>
                <w:sz w:val="16"/>
                <w:szCs w:val="16"/>
              </w:rPr>
            </w:pPr>
            <w:r w:rsidRPr="0029112B">
              <w:rPr>
                <w:rFonts w:asciiTheme="minorHAnsi" w:hAnsiTheme="minorHAnsi" w:cstheme="minorHAnsi"/>
                <w:sz w:val="16"/>
                <w:szCs w:val="16"/>
              </w:rPr>
              <w:t>Y</w:t>
            </w:r>
          </w:p>
        </w:tc>
        <w:tc>
          <w:tcPr>
            <w:tcW w:w="192" w:type="pct"/>
            <w:vAlign w:val="center"/>
          </w:tcPr>
          <w:p w14:paraId="29844DCF" w14:textId="222DC7BC"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45" w:type="pct"/>
            <w:vAlign w:val="center"/>
          </w:tcPr>
          <w:p w14:paraId="3C463384" w14:textId="57B089FE"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41" w:type="pct"/>
          </w:tcPr>
          <w:p w14:paraId="44A604DD" w14:textId="15D575CC"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r>
      <w:tr w:rsidR="00785848" w14:paraId="2343958C" w14:textId="77777777" w:rsidTr="00B36774">
        <w:trPr>
          <w:cantSplit/>
        </w:trPr>
        <w:tc>
          <w:tcPr>
            <w:tcW w:w="140" w:type="pct"/>
            <w:shd w:val="clear" w:color="auto" w:fill="FFFF00"/>
            <w:vAlign w:val="center"/>
          </w:tcPr>
          <w:p w14:paraId="001E5787" w14:textId="77777777" w:rsidR="00B36774" w:rsidRPr="008F7938" w:rsidRDefault="00B36774" w:rsidP="00B36774">
            <w:pPr>
              <w:spacing w:before="0" w:after="0" w:line="240" w:lineRule="auto"/>
              <w:rPr>
                <w:rFonts w:asciiTheme="minorHAnsi" w:hAnsiTheme="minorHAnsi" w:cstheme="minorHAnsi"/>
                <w:b/>
                <w:sz w:val="16"/>
                <w:szCs w:val="16"/>
              </w:rPr>
            </w:pPr>
          </w:p>
        </w:tc>
        <w:tc>
          <w:tcPr>
            <w:tcW w:w="1884" w:type="pct"/>
          </w:tcPr>
          <w:p w14:paraId="27108AB8" w14:textId="77777777" w:rsidR="00B36774" w:rsidRPr="008F7938" w:rsidRDefault="00171C91" w:rsidP="00B36774">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Does the organisation assess the overall certainty of the evidence and reach recommendations? If so, provide details.</w:t>
            </w:r>
          </w:p>
        </w:tc>
        <w:tc>
          <w:tcPr>
            <w:tcW w:w="192" w:type="pct"/>
            <w:vAlign w:val="center"/>
          </w:tcPr>
          <w:p w14:paraId="2DB07C65" w14:textId="1A0D3BA1"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3921DAC2" w14:textId="2E491743"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6356F68D" w14:textId="360356B3"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FFFF00"/>
            <w:vAlign w:val="center"/>
          </w:tcPr>
          <w:p w14:paraId="1A3D5A43" w14:textId="2CEE28C1" w:rsidR="00B36774" w:rsidRPr="0029112B" w:rsidRDefault="00171C91" w:rsidP="00B36774">
            <w:pPr>
              <w:spacing w:before="0" w:after="0" w:line="240" w:lineRule="auto"/>
              <w:jc w:val="center"/>
              <w:rPr>
                <w:rFonts w:asciiTheme="minorHAnsi" w:hAnsiTheme="minorHAnsi" w:cstheme="minorHAnsi"/>
                <w:sz w:val="16"/>
                <w:szCs w:val="16"/>
              </w:rPr>
            </w:pPr>
            <w:r w:rsidRPr="0029112B">
              <w:rPr>
                <w:rFonts w:asciiTheme="minorHAnsi" w:hAnsiTheme="minorHAnsi" w:cstheme="minorHAnsi"/>
                <w:sz w:val="16"/>
                <w:szCs w:val="16"/>
              </w:rPr>
              <w:t>Y</w:t>
            </w:r>
          </w:p>
        </w:tc>
        <w:tc>
          <w:tcPr>
            <w:tcW w:w="192" w:type="pct"/>
            <w:vAlign w:val="center"/>
          </w:tcPr>
          <w:p w14:paraId="0E9F9163" w14:textId="7315B86B"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20961B9A" w14:textId="344E7AAB"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79B4139E" w14:textId="79560B0B"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3EBC8A6A" w14:textId="05827AF7"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5C804E0C" w14:textId="0791A7A4"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09F8BA7A" w14:textId="4A917687"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6216E8AF" w14:textId="6CC62EA7"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0A1FA47E" w14:textId="24A83FC7" w:rsidR="00B36774" w:rsidRP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FFFF00"/>
            <w:vAlign w:val="center"/>
          </w:tcPr>
          <w:p w14:paraId="23E97C29" w14:textId="6F4D78C9" w:rsidR="00B36774" w:rsidRPr="0029112B" w:rsidRDefault="00171C91" w:rsidP="00B36774">
            <w:pPr>
              <w:spacing w:before="0" w:after="0" w:line="240" w:lineRule="auto"/>
              <w:jc w:val="center"/>
              <w:rPr>
                <w:rFonts w:asciiTheme="minorHAnsi" w:hAnsiTheme="minorHAnsi" w:cstheme="minorHAnsi"/>
                <w:sz w:val="16"/>
                <w:szCs w:val="16"/>
              </w:rPr>
            </w:pPr>
            <w:r w:rsidRPr="0029112B">
              <w:rPr>
                <w:rFonts w:asciiTheme="minorHAnsi" w:hAnsiTheme="minorHAnsi" w:cstheme="minorHAnsi"/>
                <w:sz w:val="16"/>
                <w:szCs w:val="16"/>
              </w:rPr>
              <w:t>Y</w:t>
            </w:r>
          </w:p>
        </w:tc>
        <w:tc>
          <w:tcPr>
            <w:tcW w:w="192" w:type="pct"/>
            <w:shd w:val="clear" w:color="auto" w:fill="FFFF00"/>
            <w:vAlign w:val="center"/>
          </w:tcPr>
          <w:p w14:paraId="10B65700" w14:textId="508BB3FF"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45" w:type="pct"/>
            <w:vAlign w:val="center"/>
          </w:tcPr>
          <w:p w14:paraId="4EF963F0" w14:textId="2AAABEB3"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41" w:type="pct"/>
          </w:tcPr>
          <w:p w14:paraId="43AAB939" w14:textId="607BC1D1"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r>
      <w:tr w:rsidR="00785848" w14:paraId="558F2DD8" w14:textId="77777777" w:rsidTr="00B36774">
        <w:trPr>
          <w:cantSplit/>
        </w:trPr>
        <w:tc>
          <w:tcPr>
            <w:tcW w:w="140" w:type="pct"/>
            <w:shd w:val="clear" w:color="auto" w:fill="D6EAEB"/>
            <w:vAlign w:val="center"/>
          </w:tcPr>
          <w:p w14:paraId="290A20B2" w14:textId="6855E27E" w:rsidR="00B36774" w:rsidRPr="00852394" w:rsidRDefault="00B36774" w:rsidP="00B36774">
            <w:pPr>
              <w:keepNext/>
              <w:spacing w:before="0" w:after="0" w:line="240" w:lineRule="auto"/>
              <w:rPr>
                <w:rFonts w:asciiTheme="minorHAnsi" w:hAnsiTheme="minorHAnsi" w:cstheme="minorHAnsi"/>
                <w:b/>
                <w:sz w:val="16"/>
                <w:szCs w:val="16"/>
              </w:rPr>
            </w:pPr>
          </w:p>
        </w:tc>
        <w:tc>
          <w:tcPr>
            <w:tcW w:w="1884" w:type="pct"/>
            <w:shd w:val="clear" w:color="auto" w:fill="D6EAEB"/>
            <w:vAlign w:val="center"/>
          </w:tcPr>
          <w:p w14:paraId="04951D24" w14:textId="7BC859FB" w:rsidR="00B36774" w:rsidRPr="00852394" w:rsidRDefault="00171C91" w:rsidP="00B36774">
            <w:pPr>
              <w:keepNext/>
              <w:spacing w:before="0" w:after="0" w:line="240" w:lineRule="auto"/>
              <w:rPr>
                <w:rFonts w:asciiTheme="minorHAnsi" w:hAnsiTheme="minorHAnsi" w:cstheme="minorHAnsi"/>
                <w:b/>
                <w:sz w:val="16"/>
                <w:szCs w:val="16"/>
              </w:rPr>
            </w:pPr>
            <w:r w:rsidRPr="00852394">
              <w:rPr>
                <w:rFonts w:asciiTheme="minorHAnsi" w:hAnsiTheme="minorHAnsi" w:cstheme="minorHAnsi"/>
                <w:b/>
                <w:sz w:val="16"/>
                <w:szCs w:val="16"/>
              </w:rPr>
              <w:t>Derivation of health-based guideline values</w:t>
            </w:r>
            <w:r>
              <w:rPr>
                <w:rFonts w:asciiTheme="minorHAnsi" w:hAnsiTheme="minorHAnsi" w:cstheme="minorHAnsi"/>
                <w:b/>
                <w:sz w:val="16"/>
                <w:szCs w:val="16"/>
              </w:rPr>
              <w:t>*</w:t>
            </w:r>
          </w:p>
        </w:tc>
        <w:tc>
          <w:tcPr>
            <w:tcW w:w="192" w:type="pct"/>
            <w:shd w:val="clear" w:color="auto" w:fill="D6EAEB"/>
            <w:vAlign w:val="center"/>
          </w:tcPr>
          <w:p w14:paraId="49754ABA"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305AECB0"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71DCAB5A" w14:textId="62D21420"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39A68126"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0473CB96"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56A699EB"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16C2675E"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43B5668C" w14:textId="0C6195F4"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29AE5312"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4A281E55"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212BD73D" w14:textId="26168CE6"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tcPr>
          <w:p w14:paraId="52C6F4D5"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29ECF27D" w14:textId="7AF637C8"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04BD5F4A"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45" w:type="pct"/>
            <w:shd w:val="clear" w:color="auto" w:fill="D6EAEB"/>
            <w:vAlign w:val="center"/>
          </w:tcPr>
          <w:p w14:paraId="3625F831" w14:textId="5D250FD1"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41" w:type="pct"/>
            <w:shd w:val="clear" w:color="auto" w:fill="D6EAEB"/>
          </w:tcPr>
          <w:p w14:paraId="535F0A83"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r>
      <w:tr w:rsidR="00785848" w14:paraId="20FDB8C7" w14:textId="77777777" w:rsidTr="00B36774">
        <w:trPr>
          <w:cantSplit/>
        </w:trPr>
        <w:tc>
          <w:tcPr>
            <w:tcW w:w="140" w:type="pct"/>
            <w:shd w:val="clear" w:color="auto" w:fill="92D050"/>
            <w:vAlign w:val="center"/>
          </w:tcPr>
          <w:p w14:paraId="04330F8E" w14:textId="77777777" w:rsidR="00B36774" w:rsidRPr="008F7938" w:rsidRDefault="00B36774" w:rsidP="00B36774">
            <w:pPr>
              <w:spacing w:before="0" w:after="0" w:line="240" w:lineRule="auto"/>
              <w:rPr>
                <w:rFonts w:asciiTheme="minorHAnsi" w:hAnsiTheme="minorHAnsi" w:cstheme="minorHAnsi"/>
                <w:b/>
                <w:sz w:val="16"/>
                <w:szCs w:val="16"/>
              </w:rPr>
            </w:pPr>
          </w:p>
        </w:tc>
        <w:tc>
          <w:tcPr>
            <w:tcW w:w="1884" w:type="pct"/>
          </w:tcPr>
          <w:p w14:paraId="35E87D20" w14:textId="77777777" w:rsidR="00B36774" w:rsidRPr="008F7938" w:rsidRDefault="00171C91" w:rsidP="00B36774">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Is there justification for the choice of uncertainty and safety factors? </w:t>
            </w:r>
          </w:p>
        </w:tc>
        <w:tc>
          <w:tcPr>
            <w:tcW w:w="192" w:type="pct"/>
            <w:vAlign w:val="center"/>
          </w:tcPr>
          <w:p w14:paraId="7F02BDB8" w14:textId="2275BDE4"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742F7F9A" w14:textId="5A7A3E52"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1F50683A" w14:textId="2B36E658"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6ABB3264" w14:textId="66C318D2"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20F4F1D2" w14:textId="7E6BD4A4"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4E5B25B3" w14:textId="11DF3271"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2CBF8026" w14:textId="15849B57"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2A890CD5" w14:textId="3B043DB1"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1559A853" w14:textId="627F2931"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92D050"/>
            <w:vAlign w:val="center"/>
          </w:tcPr>
          <w:p w14:paraId="7AF59E26" w14:textId="2CABC79F"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92" w:type="pct"/>
            <w:vAlign w:val="center"/>
          </w:tcPr>
          <w:p w14:paraId="66BE0D6F" w14:textId="0020875D"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0CCAD131" w14:textId="7F2DB096"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24165529" w14:textId="35AB6EEA"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32E02CD7" w14:textId="7FE74B1F"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45" w:type="pct"/>
            <w:vAlign w:val="center"/>
          </w:tcPr>
          <w:p w14:paraId="45CDEB76" w14:textId="2DA4E8D9"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41" w:type="pct"/>
            <w:vAlign w:val="center"/>
          </w:tcPr>
          <w:p w14:paraId="5D695F6D" w14:textId="44C9FA96"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r>
      <w:tr w:rsidR="00785848" w14:paraId="797E6FD8" w14:textId="77777777" w:rsidTr="00B36774">
        <w:trPr>
          <w:cantSplit/>
        </w:trPr>
        <w:tc>
          <w:tcPr>
            <w:tcW w:w="140" w:type="pct"/>
            <w:shd w:val="clear" w:color="auto" w:fill="92D050"/>
            <w:vAlign w:val="center"/>
          </w:tcPr>
          <w:p w14:paraId="25A7B2EE" w14:textId="77777777" w:rsidR="00B36774" w:rsidRPr="008F7938" w:rsidRDefault="00B36774" w:rsidP="00B36774">
            <w:pPr>
              <w:spacing w:before="0" w:after="0" w:line="240" w:lineRule="auto"/>
              <w:rPr>
                <w:rFonts w:asciiTheme="minorHAnsi" w:hAnsiTheme="minorHAnsi" w:cstheme="minorHAnsi"/>
                <w:b/>
                <w:sz w:val="16"/>
                <w:szCs w:val="16"/>
              </w:rPr>
            </w:pPr>
          </w:p>
        </w:tc>
        <w:tc>
          <w:tcPr>
            <w:tcW w:w="1884" w:type="pct"/>
          </w:tcPr>
          <w:p w14:paraId="2D882203" w14:textId="77777777" w:rsidR="00B36774" w:rsidRPr="008F7938" w:rsidRDefault="00171C91" w:rsidP="00B36774">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Are the parameter value assumptions documented and explained?  </w:t>
            </w:r>
          </w:p>
        </w:tc>
        <w:tc>
          <w:tcPr>
            <w:tcW w:w="192" w:type="pct"/>
            <w:vAlign w:val="center"/>
          </w:tcPr>
          <w:p w14:paraId="3ECF1B62" w14:textId="48A69A48"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5DDFF6CA" w14:textId="7C1555F3"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0D476D16" w14:textId="5D3F3BA4"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0830A2F6" w14:textId="07A6D5FD"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0E1B05C6" w14:textId="09C981FB"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492E463B" w14:textId="3A9EE1E2"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35512B43" w14:textId="1B480A23"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4CE87329" w14:textId="49A40B45"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7A477845" w14:textId="4F711578"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92D050"/>
            <w:vAlign w:val="center"/>
          </w:tcPr>
          <w:p w14:paraId="783BF672" w14:textId="5515FC80"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92" w:type="pct"/>
            <w:vAlign w:val="center"/>
          </w:tcPr>
          <w:p w14:paraId="0C96C3CA" w14:textId="3BC10DD2"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2089D91B" w14:textId="16DC75A3"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0EE1D256" w14:textId="5BC7F188"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shd w:val="clear" w:color="auto" w:fill="92D050"/>
            <w:vAlign w:val="center"/>
          </w:tcPr>
          <w:p w14:paraId="126679AF" w14:textId="42483D17"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45" w:type="pct"/>
            <w:vAlign w:val="center"/>
          </w:tcPr>
          <w:p w14:paraId="0746EA44" w14:textId="2A859537"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41" w:type="pct"/>
            <w:vAlign w:val="center"/>
          </w:tcPr>
          <w:p w14:paraId="4F3F7F59" w14:textId="139F19E5"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r>
      <w:tr w:rsidR="00785848" w14:paraId="2F9F0F00" w14:textId="77777777" w:rsidTr="00B36774">
        <w:trPr>
          <w:cantSplit/>
        </w:trPr>
        <w:tc>
          <w:tcPr>
            <w:tcW w:w="140" w:type="pct"/>
            <w:shd w:val="clear" w:color="auto" w:fill="92D050"/>
            <w:vAlign w:val="center"/>
          </w:tcPr>
          <w:p w14:paraId="00391E0D" w14:textId="77777777" w:rsidR="00B36774" w:rsidRPr="008F7938" w:rsidRDefault="00B36774" w:rsidP="00B36774">
            <w:pPr>
              <w:spacing w:before="0" w:after="0" w:line="240" w:lineRule="auto"/>
              <w:rPr>
                <w:rFonts w:asciiTheme="minorHAnsi" w:hAnsiTheme="minorHAnsi" w:cstheme="minorHAnsi"/>
                <w:b/>
                <w:sz w:val="16"/>
                <w:szCs w:val="16"/>
              </w:rPr>
            </w:pPr>
          </w:p>
        </w:tc>
        <w:tc>
          <w:tcPr>
            <w:tcW w:w="1884" w:type="pct"/>
          </w:tcPr>
          <w:p w14:paraId="2A4281A3" w14:textId="77777777" w:rsidR="00B36774" w:rsidRPr="008F7938" w:rsidRDefault="00171C91" w:rsidP="00B36774">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Are the mathematical workings/algorithms clearly documented and explained?</w:t>
            </w:r>
          </w:p>
        </w:tc>
        <w:tc>
          <w:tcPr>
            <w:tcW w:w="192" w:type="pct"/>
            <w:vAlign w:val="center"/>
          </w:tcPr>
          <w:p w14:paraId="64EBF0A5" w14:textId="4D138720"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shd w:val="clear" w:color="auto" w:fill="92D050"/>
            <w:vAlign w:val="center"/>
          </w:tcPr>
          <w:p w14:paraId="7BFA3565" w14:textId="63147CE5"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92" w:type="pct"/>
            <w:vAlign w:val="center"/>
          </w:tcPr>
          <w:p w14:paraId="17757EEC" w14:textId="740B9904"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1192D3FE" w14:textId="042F0C9D"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06E43C0A" w14:textId="128C2AF7"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041C0847" w14:textId="7C4C63DB"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33FBCCCF" w14:textId="35B996AA"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48DB69DA" w14:textId="05F570FA"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3698A2BE" w14:textId="24DF8484"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92D050"/>
            <w:vAlign w:val="center"/>
          </w:tcPr>
          <w:p w14:paraId="1FE57D1D" w14:textId="47848DE5"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92" w:type="pct"/>
            <w:vAlign w:val="center"/>
          </w:tcPr>
          <w:p w14:paraId="24789AFA" w14:textId="2F6A665B"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28BD5ABD" w14:textId="2299AD88"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41DE26F0" w14:textId="635AAD75"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shd w:val="clear" w:color="auto" w:fill="92D050"/>
            <w:vAlign w:val="center"/>
          </w:tcPr>
          <w:p w14:paraId="2F16D84D" w14:textId="0D8B1274"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45" w:type="pct"/>
            <w:vAlign w:val="center"/>
          </w:tcPr>
          <w:p w14:paraId="01DB03B9" w14:textId="61BA244A"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41" w:type="pct"/>
            <w:vAlign w:val="center"/>
          </w:tcPr>
          <w:p w14:paraId="2FE4A136" w14:textId="59B13205"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r>
      <w:tr w:rsidR="00785848" w14:paraId="0E9B4F91" w14:textId="77777777" w:rsidTr="00B36774">
        <w:trPr>
          <w:cantSplit/>
        </w:trPr>
        <w:tc>
          <w:tcPr>
            <w:tcW w:w="140" w:type="pct"/>
            <w:shd w:val="clear" w:color="auto" w:fill="92D050"/>
            <w:vAlign w:val="center"/>
          </w:tcPr>
          <w:p w14:paraId="5D2A1550" w14:textId="77777777" w:rsidR="00B36774" w:rsidRPr="008F7938" w:rsidRDefault="00B36774" w:rsidP="00B36774">
            <w:pPr>
              <w:spacing w:before="0" w:after="0" w:line="240" w:lineRule="auto"/>
              <w:rPr>
                <w:rFonts w:asciiTheme="minorHAnsi" w:hAnsiTheme="minorHAnsi" w:cstheme="minorHAnsi"/>
                <w:b/>
                <w:sz w:val="16"/>
                <w:szCs w:val="16"/>
              </w:rPr>
            </w:pPr>
          </w:p>
        </w:tc>
        <w:tc>
          <w:tcPr>
            <w:tcW w:w="1884" w:type="pct"/>
          </w:tcPr>
          <w:p w14:paraId="32809859" w14:textId="77777777" w:rsidR="00B36774" w:rsidRPr="008F7938" w:rsidRDefault="00171C91" w:rsidP="00B36774">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Does the organisation take into consideration non-health related matters to account for feasibility of implementing the guideline values (e.g. measurement attainability)?</w:t>
            </w:r>
          </w:p>
        </w:tc>
        <w:tc>
          <w:tcPr>
            <w:tcW w:w="192" w:type="pct"/>
            <w:shd w:val="clear" w:color="auto" w:fill="92D050"/>
            <w:vAlign w:val="center"/>
          </w:tcPr>
          <w:p w14:paraId="0E06484C" w14:textId="7C2B4388"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92" w:type="pct"/>
            <w:vAlign w:val="center"/>
          </w:tcPr>
          <w:p w14:paraId="3DD150E3" w14:textId="09939E56"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0ADCAFA6" w14:textId="48DF6923"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4F4B2C1A" w14:textId="7CFF6FB7"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3986D89E" w14:textId="265902B9"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4C635761" w14:textId="199FB0B6"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67EE9A39" w14:textId="2BD5C935"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11E7AF26" w14:textId="5DECFE8F"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071008FC" w14:textId="72F2FE10"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35984D94" w14:textId="43446A66"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00370625" w14:textId="41FD8306"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031F6D29" w14:textId="7CA30089"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59F37BE7" w14:textId="034EDA75"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31E06EEE" w14:textId="740C9003"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45" w:type="pct"/>
            <w:vAlign w:val="center"/>
          </w:tcPr>
          <w:p w14:paraId="52AA56E7" w14:textId="3D0F0566"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41" w:type="pct"/>
            <w:vAlign w:val="center"/>
          </w:tcPr>
          <w:p w14:paraId="105E2182" w14:textId="7DD8BCC2"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r>
      <w:tr w:rsidR="00785848" w14:paraId="786DF052" w14:textId="77777777" w:rsidTr="00B36774">
        <w:trPr>
          <w:cantSplit/>
        </w:trPr>
        <w:tc>
          <w:tcPr>
            <w:tcW w:w="140" w:type="pct"/>
            <w:shd w:val="clear" w:color="auto" w:fill="FFFF00"/>
            <w:vAlign w:val="center"/>
          </w:tcPr>
          <w:p w14:paraId="59E06A10" w14:textId="77777777" w:rsidR="00B36774" w:rsidRPr="008F7938" w:rsidRDefault="00B36774" w:rsidP="00B36774">
            <w:pPr>
              <w:spacing w:before="0" w:after="0" w:line="240" w:lineRule="auto"/>
              <w:rPr>
                <w:rFonts w:asciiTheme="minorHAnsi" w:hAnsiTheme="minorHAnsi" w:cstheme="minorHAnsi"/>
                <w:b/>
                <w:sz w:val="16"/>
                <w:szCs w:val="16"/>
              </w:rPr>
            </w:pPr>
          </w:p>
        </w:tc>
        <w:tc>
          <w:tcPr>
            <w:tcW w:w="1884" w:type="pct"/>
          </w:tcPr>
          <w:p w14:paraId="1151C45A" w14:textId="77777777" w:rsidR="00B36774" w:rsidRPr="008F7938" w:rsidRDefault="00171C91" w:rsidP="00B36774">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Is there documentation directing use of mechanistic, mode of action, or key events in adverse outcome pathways in deriving health-based guideline values? </w:t>
            </w:r>
          </w:p>
        </w:tc>
        <w:tc>
          <w:tcPr>
            <w:tcW w:w="192" w:type="pct"/>
            <w:vAlign w:val="center"/>
          </w:tcPr>
          <w:p w14:paraId="67DA77ED" w14:textId="06530E82"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shd w:val="clear" w:color="auto" w:fill="FFFF00"/>
            <w:vAlign w:val="center"/>
          </w:tcPr>
          <w:p w14:paraId="2F786F29" w14:textId="53CAE556"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92" w:type="pct"/>
            <w:vAlign w:val="center"/>
          </w:tcPr>
          <w:p w14:paraId="606F0120" w14:textId="2218E0E5"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1D8B14F9" w14:textId="17CE5EEC"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44B98D74" w14:textId="3FCA4780"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3CF52DB3" w14:textId="1E4AFC2D"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4C2EAC53" w14:textId="4394BABD"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7BB060F5" w14:textId="479F7A96"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5684F894" w14:textId="48215280"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21C27294" w14:textId="32B2AD96"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3884824D" w14:textId="2EE4FCC9"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35F2C026" w14:textId="14588893"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4E87A202" w14:textId="67AB6947"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43CAED7E" w14:textId="3D0F28D8"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145" w:type="pct"/>
            <w:vAlign w:val="center"/>
          </w:tcPr>
          <w:p w14:paraId="0B7DC810" w14:textId="044EDDB8"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41" w:type="pct"/>
            <w:vAlign w:val="center"/>
          </w:tcPr>
          <w:p w14:paraId="3624D0B7" w14:textId="7ECE6199"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r>
      <w:tr w:rsidR="00785848" w14:paraId="70D63660" w14:textId="77777777" w:rsidTr="00B36774">
        <w:trPr>
          <w:cantSplit/>
        </w:trPr>
        <w:tc>
          <w:tcPr>
            <w:tcW w:w="140" w:type="pct"/>
            <w:shd w:val="clear" w:color="auto" w:fill="FFFF00"/>
            <w:vAlign w:val="center"/>
          </w:tcPr>
          <w:p w14:paraId="47FBE252" w14:textId="77777777" w:rsidR="00B36774" w:rsidRPr="008F7938" w:rsidRDefault="00B36774" w:rsidP="00B36774">
            <w:pPr>
              <w:spacing w:before="0" w:after="0" w:line="240" w:lineRule="auto"/>
              <w:rPr>
                <w:rFonts w:asciiTheme="minorHAnsi" w:hAnsiTheme="minorHAnsi" w:cstheme="minorHAnsi"/>
                <w:b/>
                <w:sz w:val="16"/>
                <w:szCs w:val="16"/>
              </w:rPr>
            </w:pPr>
          </w:p>
        </w:tc>
        <w:tc>
          <w:tcPr>
            <w:tcW w:w="1884" w:type="pct"/>
          </w:tcPr>
          <w:p w14:paraId="25264952" w14:textId="77777777" w:rsidR="00B36774" w:rsidRPr="008F7938" w:rsidRDefault="00171C91" w:rsidP="00B36774">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If expert judgement is required, is the process documented and published?</w:t>
            </w:r>
          </w:p>
        </w:tc>
        <w:tc>
          <w:tcPr>
            <w:tcW w:w="192" w:type="pct"/>
            <w:vAlign w:val="center"/>
          </w:tcPr>
          <w:p w14:paraId="47D056E7" w14:textId="12C7663E"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shd w:val="clear" w:color="auto" w:fill="FFFF00"/>
            <w:vAlign w:val="center"/>
          </w:tcPr>
          <w:p w14:paraId="3EC4BED4" w14:textId="5F5BDDE2"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92" w:type="pct"/>
            <w:vAlign w:val="center"/>
          </w:tcPr>
          <w:p w14:paraId="114D4703" w14:textId="3A4D33B0"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5CAA0BA4" w14:textId="6BEA3AFE"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150C71A3" w14:textId="4E25E09A"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4D3DAE4E" w14:textId="3DB91DD1"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4FADFDDD" w14:textId="3BCCBF40"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028D6C59" w14:textId="3595D235"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4E65CC73" w14:textId="5B935BA7"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44AC5C49" w14:textId="0BBA27DD"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068236AD" w14:textId="3BB25D26"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05BFE066" w14:textId="237C2C2C"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4C7841FF" w14:textId="3CC25190"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410015EB" w14:textId="26E820F0"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45" w:type="pct"/>
            <w:vAlign w:val="center"/>
          </w:tcPr>
          <w:p w14:paraId="0F62543B" w14:textId="609C9024"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41" w:type="pct"/>
            <w:vAlign w:val="center"/>
          </w:tcPr>
          <w:p w14:paraId="53341DDB" w14:textId="4E8325FD"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r>
      <w:tr w:rsidR="00785848" w14:paraId="6FF85C8E" w14:textId="77777777" w:rsidTr="00B36774">
        <w:trPr>
          <w:cantSplit/>
        </w:trPr>
        <w:tc>
          <w:tcPr>
            <w:tcW w:w="140" w:type="pct"/>
            <w:shd w:val="clear" w:color="auto" w:fill="92CDDC"/>
            <w:vAlign w:val="center"/>
          </w:tcPr>
          <w:p w14:paraId="7DFBA3B3" w14:textId="77777777" w:rsidR="00B36774" w:rsidRPr="008F7938" w:rsidRDefault="00B36774" w:rsidP="00B36774">
            <w:pPr>
              <w:spacing w:before="0" w:after="0" w:line="240" w:lineRule="auto"/>
              <w:rPr>
                <w:rFonts w:asciiTheme="minorHAnsi" w:hAnsiTheme="minorHAnsi" w:cstheme="minorHAnsi"/>
                <w:b/>
                <w:sz w:val="16"/>
                <w:szCs w:val="16"/>
              </w:rPr>
            </w:pPr>
          </w:p>
        </w:tc>
        <w:tc>
          <w:tcPr>
            <w:tcW w:w="1884" w:type="pct"/>
          </w:tcPr>
          <w:p w14:paraId="39C40476" w14:textId="77777777" w:rsidR="00B36774" w:rsidRPr="008F7938" w:rsidRDefault="00171C91" w:rsidP="00B36774">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Is dose response modelling (e.g. BMDL) routinely used?</w:t>
            </w:r>
          </w:p>
        </w:tc>
        <w:tc>
          <w:tcPr>
            <w:tcW w:w="192" w:type="pct"/>
            <w:vAlign w:val="center"/>
          </w:tcPr>
          <w:p w14:paraId="6182D7E6" w14:textId="6BF9F303" w:rsidR="00B36774" w:rsidRPr="00D026EE"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shd w:val="clear" w:color="auto" w:fill="92CDDC"/>
            <w:vAlign w:val="center"/>
          </w:tcPr>
          <w:p w14:paraId="64F512F6" w14:textId="7D553F85" w:rsidR="00B36774" w:rsidRPr="00D026EE"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92" w:type="pct"/>
            <w:shd w:val="clear" w:color="auto" w:fill="92CDDC"/>
            <w:vAlign w:val="center"/>
          </w:tcPr>
          <w:p w14:paraId="079E4497" w14:textId="1CD9A754" w:rsidR="00B36774" w:rsidRPr="008F7938" w:rsidRDefault="00171C91" w:rsidP="00B36774">
            <w:pPr>
              <w:spacing w:before="0" w:after="0" w:line="240" w:lineRule="auto"/>
              <w:jc w:val="center"/>
              <w:rPr>
                <w:rFonts w:asciiTheme="minorHAnsi" w:hAnsiTheme="minorHAnsi" w:cstheme="minorHAnsi"/>
                <w:sz w:val="16"/>
                <w:szCs w:val="16"/>
              </w:rPr>
            </w:pPr>
            <w:r w:rsidRPr="0029112B">
              <w:rPr>
                <w:rFonts w:asciiTheme="minorHAnsi" w:hAnsiTheme="minorHAnsi" w:cstheme="minorHAnsi"/>
                <w:sz w:val="16"/>
                <w:szCs w:val="16"/>
              </w:rPr>
              <w:t>Y</w:t>
            </w:r>
          </w:p>
        </w:tc>
        <w:tc>
          <w:tcPr>
            <w:tcW w:w="192" w:type="pct"/>
            <w:vAlign w:val="center"/>
          </w:tcPr>
          <w:p w14:paraId="5DBA00E9" w14:textId="01985F35"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02C60C40" w14:textId="1E264B64"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1726DDFD" w14:textId="01B9C21B"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16B99A9D" w14:textId="38D1C4E1"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43C1E35B" w14:textId="60F0F37B"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577C97C4" w14:textId="41EB2080"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4BCA0446" w14:textId="7F9810FD"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003BE571" w14:textId="235D426D"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6A9D5DD7" w14:textId="6DB7535F"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14DDC930" w14:textId="2D106FCA"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28B64563" w14:textId="2131ABA0"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145" w:type="pct"/>
            <w:vAlign w:val="center"/>
          </w:tcPr>
          <w:p w14:paraId="0A2B0A5D" w14:textId="7152AD09"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41" w:type="pct"/>
            <w:vAlign w:val="center"/>
          </w:tcPr>
          <w:p w14:paraId="3617D44F" w14:textId="18553B0C"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r>
      <w:tr w:rsidR="00785848" w14:paraId="4B936FFC" w14:textId="77777777" w:rsidTr="00B36774">
        <w:trPr>
          <w:cantSplit/>
        </w:trPr>
        <w:tc>
          <w:tcPr>
            <w:tcW w:w="140" w:type="pct"/>
            <w:shd w:val="clear" w:color="auto" w:fill="92D050"/>
            <w:vAlign w:val="center"/>
          </w:tcPr>
          <w:p w14:paraId="1E963EDC" w14:textId="77777777" w:rsidR="00B36774" w:rsidRPr="008F7938" w:rsidRDefault="00B36774" w:rsidP="00B36774">
            <w:pPr>
              <w:spacing w:before="0" w:after="0" w:line="240" w:lineRule="auto"/>
              <w:rPr>
                <w:rFonts w:asciiTheme="minorHAnsi" w:hAnsiTheme="minorHAnsi" w:cstheme="minorHAnsi"/>
                <w:b/>
                <w:sz w:val="16"/>
                <w:szCs w:val="16"/>
              </w:rPr>
            </w:pPr>
          </w:p>
        </w:tc>
        <w:tc>
          <w:tcPr>
            <w:tcW w:w="1884" w:type="pct"/>
          </w:tcPr>
          <w:p w14:paraId="04F65092" w14:textId="77777777" w:rsidR="00B36774" w:rsidRPr="008F7938" w:rsidRDefault="00171C91" w:rsidP="00B36774">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Has the organisation’s policy for dealing with substances for which a non-threshold mode of action may be applicable in humans been articulated and recorded?</w:t>
            </w:r>
          </w:p>
        </w:tc>
        <w:tc>
          <w:tcPr>
            <w:tcW w:w="192" w:type="pct"/>
            <w:vAlign w:val="center"/>
          </w:tcPr>
          <w:p w14:paraId="1606EAFE" w14:textId="4C0F4562"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shd w:val="clear" w:color="auto" w:fill="92D050"/>
            <w:vAlign w:val="center"/>
          </w:tcPr>
          <w:p w14:paraId="008FE293" w14:textId="4E5687BC"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92" w:type="pct"/>
            <w:vAlign w:val="center"/>
          </w:tcPr>
          <w:p w14:paraId="5604A8D1" w14:textId="28E55237"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0BCD3438" w14:textId="575962E0"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169C61A6" w14:textId="3E26EDD5"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44DD4E95" w14:textId="4E583DDB"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202B62E8" w14:textId="627AC247"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5A58F719" w14:textId="696D4636"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13DDD386" w14:textId="2C502B93"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92D050"/>
            <w:vAlign w:val="center"/>
          </w:tcPr>
          <w:p w14:paraId="0A499C0C" w14:textId="07D0B399"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92" w:type="pct"/>
            <w:vAlign w:val="center"/>
          </w:tcPr>
          <w:p w14:paraId="220C611C" w14:textId="2012BF82"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737DCE5D" w14:textId="2D0656FA"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4FF63FA5" w14:textId="3225E98F"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4AAAA04D" w14:textId="5D121B43"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145" w:type="pct"/>
            <w:vAlign w:val="center"/>
          </w:tcPr>
          <w:p w14:paraId="091FB67B" w14:textId="0BC52B0F"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41" w:type="pct"/>
            <w:vAlign w:val="center"/>
          </w:tcPr>
          <w:p w14:paraId="5808B419" w14:textId="18C6F090"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r>
      <w:tr w:rsidR="00785848" w14:paraId="0876B39D" w14:textId="77777777" w:rsidTr="00B36774">
        <w:trPr>
          <w:cantSplit/>
        </w:trPr>
        <w:tc>
          <w:tcPr>
            <w:tcW w:w="140" w:type="pct"/>
            <w:shd w:val="clear" w:color="auto" w:fill="92D050"/>
            <w:vAlign w:val="center"/>
          </w:tcPr>
          <w:p w14:paraId="70538657" w14:textId="77777777" w:rsidR="00B36774" w:rsidRPr="008F7938" w:rsidRDefault="00B36774" w:rsidP="00B36774">
            <w:pPr>
              <w:spacing w:before="0" w:after="0" w:line="240" w:lineRule="auto"/>
              <w:rPr>
                <w:rFonts w:asciiTheme="minorHAnsi" w:hAnsiTheme="minorHAnsi" w:cstheme="minorHAnsi"/>
                <w:b/>
                <w:sz w:val="16"/>
                <w:szCs w:val="16"/>
              </w:rPr>
            </w:pPr>
          </w:p>
        </w:tc>
        <w:tc>
          <w:tcPr>
            <w:tcW w:w="1884" w:type="pct"/>
          </w:tcPr>
          <w:p w14:paraId="4F55BB67" w14:textId="77777777" w:rsidR="00B36774" w:rsidRPr="008F7938" w:rsidRDefault="00171C91" w:rsidP="00B36774">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If applicable: For carcinogens, what is the level of cancer risk used by the organisation to set the health-based guideline value?</w:t>
            </w:r>
          </w:p>
        </w:tc>
        <w:tc>
          <w:tcPr>
            <w:tcW w:w="192" w:type="pct"/>
            <w:vAlign w:val="center"/>
          </w:tcPr>
          <w:p w14:paraId="016BAC0C" w14:textId="5C4FF47E"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64F307AA" w14:textId="408D64F7"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547E5DAF" w14:textId="2AF3C5AB"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0EDCE423" w14:textId="5021C356"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1FF6C19C" w14:textId="767EC830"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5364B0C5" w14:textId="2A49CF4E"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6F4DE7B4" w14:textId="1A7C1621"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4B28C07F" w14:textId="3B7E173A"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1FE1F497" w14:textId="31BBBFDB"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656AEC1D" w14:textId="6C86A775"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756DA14C" w14:textId="44F42637"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348EA9DE" w14:textId="67438B36"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09D1E6A9" w14:textId="3C62C790"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92" w:type="pct"/>
            <w:vAlign w:val="center"/>
          </w:tcPr>
          <w:p w14:paraId="5C31CACE" w14:textId="21AEA5FD"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145" w:type="pct"/>
            <w:vAlign w:val="center"/>
          </w:tcPr>
          <w:p w14:paraId="447D6C06" w14:textId="26118A6F"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141" w:type="pct"/>
            <w:vAlign w:val="center"/>
          </w:tcPr>
          <w:p w14:paraId="418318BF" w14:textId="23077671"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r>
      <w:tr w:rsidR="00785848" w14:paraId="6EE3F89D" w14:textId="77777777" w:rsidTr="00B36774">
        <w:trPr>
          <w:cantSplit/>
        </w:trPr>
        <w:tc>
          <w:tcPr>
            <w:tcW w:w="140" w:type="pct"/>
            <w:shd w:val="clear" w:color="auto" w:fill="D6EAEB"/>
            <w:vAlign w:val="center"/>
          </w:tcPr>
          <w:p w14:paraId="201CBAF9" w14:textId="07B6892C" w:rsidR="00B36774" w:rsidRPr="00852394" w:rsidRDefault="00B36774" w:rsidP="00B36774">
            <w:pPr>
              <w:keepNext/>
              <w:spacing w:before="0" w:after="0" w:line="240" w:lineRule="auto"/>
              <w:rPr>
                <w:rFonts w:asciiTheme="minorHAnsi" w:hAnsiTheme="minorHAnsi" w:cstheme="minorHAnsi"/>
                <w:b/>
                <w:sz w:val="16"/>
                <w:szCs w:val="16"/>
              </w:rPr>
            </w:pPr>
          </w:p>
        </w:tc>
        <w:tc>
          <w:tcPr>
            <w:tcW w:w="1884" w:type="pct"/>
            <w:shd w:val="clear" w:color="auto" w:fill="D6EAEB"/>
            <w:vAlign w:val="center"/>
          </w:tcPr>
          <w:p w14:paraId="093D950A" w14:textId="113548D4" w:rsidR="00B36774" w:rsidRPr="00852394" w:rsidRDefault="00171C91" w:rsidP="00B36774">
            <w:pPr>
              <w:keepNext/>
              <w:spacing w:before="0" w:after="0" w:line="240" w:lineRule="auto"/>
              <w:rPr>
                <w:rFonts w:asciiTheme="minorHAnsi" w:hAnsiTheme="minorHAnsi" w:cstheme="minorHAnsi"/>
                <w:b/>
                <w:sz w:val="16"/>
                <w:szCs w:val="16"/>
              </w:rPr>
            </w:pPr>
            <w:r w:rsidRPr="00852394">
              <w:rPr>
                <w:rFonts w:asciiTheme="minorHAnsi" w:hAnsiTheme="minorHAnsi" w:cstheme="minorHAnsi"/>
                <w:b/>
                <w:sz w:val="16"/>
                <w:szCs w:val="16"/>
              </w:rPr>
              <w:t>Comments</w:t>
            </w:r>
            <w:r>
              <w:rPr>
                <w:rFonts w:asciiTheme="minorHAnsi" w:hAnsiTheme="minorHAnsi" w:cstheme="minorHAnsi"/>
                <w:b/>
                <w:sz w:val="16"/>
                <w:szCs w:val="16"/>
              </w:rPr>
              <w:t>*</w:t>
            </w:r>
          </w:p>
        </w:tc>
        <w:tc>
          <w:tcPr>
            <w:tcW w:w="192" w:type="pct"/>
            <w:shd w:val="clear" w:color="auto" w:fill="D6EAEB"/>
            <w:vAlign w:val="center"/>
          </w:tcPr>
          <w:p w14:paraId="05CB52AD"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10E8CEF3"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053E6338" w14:textId="5A79E23B"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4571218D"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185531ED"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631AA024"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292C0358"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2020FFA2" w14:textId="1ABEEA3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1FD60E4C"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2337C793"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2CFBA26D" w14:textId="51F0F019"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7F9255CC"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4C92E865" w14:textId="60177938"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92" w:type="pct"/>
            <w:shd w:val="clear" w:color="auto" w:fill="D6EAEB"/>
            <w:vAlign w:val="center"/>
          </w:tcPr>
          <w:p w14:paraId="79F32610"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45" w:type="pct"/>
            <w:shd w:val="clear" w:color="auto" w:fill="D6EAEB"/>
            <w:vAlign w:val="center"/>
          </w:tcPr>
          <w:p w14:paraId="6D18599B" w14:textId="6F074712" w:rsidR="00B36774" w:rsidRPr="00852394" w:rsidRDefault="00B36774" w:rsidP="00B36774">
            <w:pPr>
              <w:keepNext/>
              <w:spacing w:before="0" w:after="0" w:line="240" w:lineRule="auto"/>
              <w:jc w:val="center"/>
              <w:rPr>
                <w:rFonts w:asciiTheme="minorHAnsi" w:hAnsiTheme="minorHAnsi" w:cstheme="minorHAnsi"/>
                <w:b/>
                <w:sz w:val="16"/>
                <w:szCs w:val="16"/>
              </w:rPr>
            </w:pPr>
          </w:p>
        </w:tc>
        <w:tc>
          <w:tcPr>
            <w:tcW w:w="141" w:type="pct"/>
            <w:shd w:val="clear" w:color="auto" w:fill="D6EAEB"/>
          </w:tcPr>
          <w:p w14:paraId="42E7828D" w14:textId="77777777" w:rsidR="00B36774" w:rsidRPr="00852394" w:rsidRDefault="00B36774" w:rsidP="00B36774">
            <w:pPr>
              <w:keepNext/>
              <w:spacing w:before="0" w:after="0" w:line="240" w:lineRule="auto"/>
              <w:jc w:val="center"/>
              <w:rPr>
                <w:rFonts w:asciiTheme="minorHAnsi" w:hAnsiTheme="minorHAnsi" w:cstheme="minorHAnsi"/>
                <w:b/>
                <w:sz w:val="16"/>
                <w:szCs w:val="16"/>
              </w:rPr>
            </w:pPr>
          </w:p>
        </w:tc>
      </w:tr>
      <w:tr w:rsidR="00785848" w14:paraId="63C5AB05" w14:textId="77777777" w:rsidTr="00B36774">
        <w:trPr>
          <w:cantSplit/>
          <w:trHeight w:val="273"/>
        </w:trPr>
        <w:tc>
          <w:tcPr>
            <w:tcW w:w="140" w:type="pct"/>
            <w:shd w:val="clear" w:color="auto" w:fill="92D050"/>
            <w:vAlign w:val="center"/>
          </w:tcPr>
          <w:p w14:paraId="075F164E" w14:textId="77777777" w:rsidR="00B36774" w:rsidRPr="008F7938" w:rsidRDefault="00B36774" w:rsidP="00B36774">
            <w:pPr>
              <w:spacing w:before="0" w:after="0" w:line="240" w:lineRule="auto"/>
              <w:rPr>
                <w:rFonts w:asciiTheme="minorHAnsi" w:hAnsiTheme="minorHAnsi" w:cstheme="minorHAnsi"/>
                <w:b/>
                <w:sz w:val="16"/>
                <w:szCs w:val="16"/>
              </w:rPr>
            </w:pPr>
          </w:p>
        </w:tc>
        <w:tc>
          <w:tcPr>
            <w:tcW w:w="1884" w:type="pct"/>
          </w:tcPr>
          <w:p w14:paraId="65E761BC" w14:textId="2625F867" w:rsidR="00B36774" w:rsidRPr="008F7938" w:rsidRDefault="00171C91" w:rsidP="00B36774">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Useful for answering primary research question?</w:t>
            </w:r>
          </w:p>
        </w:tc>
        <w:tc>
          <w:tcPr>
            <w:tcW w:w="192" w:type="pct"/>
            <w:vAlign w:val="center"/>
          </w:tcPr>
          <w:p w14:paraId="0CF2F287" w14:textId="3088125A"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1D63197B" w14:textId="1D48CE35"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92D050"/>
            <w:vAlign w:val="center"/>
          </w:tcPr>
          <w:p w14:paraId="52D4CB32" w14:textId="4E57E7C4" w:rsidR="00B36774" w:rsidRPr="00F047D3"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92" w:type="pct"/>
            <w:shd w:val="clear" w:color="auto" w:fill="92D050"/>
            <w:vAlign w:val="center"/>
          </w:tcPr>
          <w:p w14:paraId="48840DB6" w14:textId="37BB563A" w:rsidR="00B36774" w:rsidRPr="001C135D" w:rsidRDefault="00171C91" w:rsidP="00B36774">
            <w:pPr>
              <w:spacing w:before="0" w:after="0" w:line="240" w:lineRule="auto"/>
              <w:jc w:val="center"/>
              <w:rPr>
                <w:rFonts w:asciiTheme="minorHAnsi" w:hAnsiTheme="minorHAnsi" w:cstheme="minorHAnsi"/>
                <w:sz w:val="16"/>
                <w:szCs w:val="16"/>
              </w:rPr>
            </w:pPr>
            <w:r w:rsidRPr="001C135D">
              <w:rPr>
                <w:rFonts w:asciiTheme="minorHAnsi" w:hAnsiTheme="minorHAnsi" w:cstheme="minorHAnsi"/>
                <w:sz w:val="16"/>
                <w:szCs w:val="16"/>
              </w:rPr>
              <w:t>Y</w:t>
            </w:r>
          </w:p>
        </w:tc>
        <w:tc>
          <w:tcPr>
            <w:tcW w:w="192" w:type="pct"/>
            <w:vAlign w:val="center"/>
          </w:tcPr>
          <w:p w14:paraId="342BDE34" w14:textId="281A595E" w:rsidR="00B36774" w:rsidRPr="001C135D"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02283FB7" w14:textId="6EDB87D2" w:rsidR="00B36774" w:rsidRPr="001C135D"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5BAEC58E" w14:textId="3302597F" w:rsidR="00B36774" w:rsidRPr="001C135D"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92D050"/>
            <w:vAlign w:val="center"/>
          </w:tcPr>
          <w:p w14:paraId="0D0EE313" w14:textId="188905C3" w:rsidR="00B36774" w:rsidRPr="001C135D" w:rsidRDefault="00171C91" w:rsidP="00B36774">
            <w:pPr>
              <w:spacing w:before="0" w:after="0" w:line="240" w:lineRule="auto"/>
              <w:jc w:val="center"/>
              <w:rPr>
                <w:rFonts w:asciiTheme="minorHAnsi" w:hAnsiTheme="minorHAnsi" w:cstheme="minorHAnsi"/>
                <w:sz w:val="16"/>
                <w:szCs w:val="16"/>
              </w:rPr>
            </w:pPr>
            <w:r w:rsidRPr="001C135D">
              <w:rPr>
                <w:rFonts w:asciiTheme="minorHAnsi" w:hAnsiTheme="minorHAnsi" w:cstheme="minorHAnsi"/>
                <w:sz w:val="16"/>
                <w:szCs w:val="16"/>
              </w:rPr>
              <w:t>Y</w:t>
            </w:r>
          </w:p>
        </w:tc>
        <w:tc>
          <w:tcPr>
            <w:tcW w:w="192" w:type="pct"/>
            <w:vAlign w:val="center"/>
          </w:tcPr>
          <w:p w14:paraId="011FC578" w14:textId="64000399"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6F181823" w14:textId="04ED291C"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92D050"/>
            <w:vAlign w:val="center"/>
          </w:tcPr>
          <w:p w14:paraId="0F2A0F38" w14:textId="2DF019BC" w:rsidR="00B36774" w:rsidRPr="002720DC"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92" w:type="pct"/>
            <w:vAlign w:val="center"/>
          </w:tcPr>
          <w:p w14:paraId="0D8C8944" w14:textId="25408104"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92D050"/>
            <w:vAlign w:val="center"/>
          </w:tcPr>
          <w:p w14:paraId="5B969D7A" w14:textId="2BF26800" w:rsidR="00B36774" w:rsidRPr="002720DC"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92" w:type="pct"/>
            <w:vAlign w:val="center"/>
          </w:tcPr>
          <w:p w14:paraId="7EC92392" w14:textId="230BA449" w:rsidR="00B36774" w:rsidRPr="00A12A42" w:rsidRDefault="00171C91" w:rsidP="00B36774">
            <w:pPr>
              <w:spacing w:before="0" w:after="0" w:line="240" w:lineRule="auto"/>
              <w:jc w:val="center"/>
              <w:rPr>
                <w:rFonts w:asciiTheme="minorHAnsi" w:hAnsiTheme="minorHAnsi" w:cstheme="minorHAnsi"/>
                <w:i/>
                <w:iCs/>
                <w:sz w:val="16"/>
                <w:szCs w:val="16"/>
              </w:rPr>
            </w:pPr>
            <w:r>
              <w:rPr>
                <w:rFonts w:asciiTheme="minorHAnsi" w:hAnsiTheme="minorHAnsi" w:cstheme="minorHAnsi"/>
                <w:sz w:val="16"/>
                <w:szCs w:val="16"/>
              </w:rPr>
              <w:t>N</w:t>
            </w:r>
          </w:p>
        </w:tc>
        <w:tc>
          <w:tcPr>
            <w:tcW w:w="145" w:type="pct"/>
            <w:vAlign w:val="center"/>
          </w:tcPr>
          <w:p w14:paraId="47A07F4C" w14:textId="67B9F288" w:rsidR="00B36774" w:rsidRPr="00A12A42" w:rsidRDefault="00171C91" w:rsidP="00B36774">
            <w:pPr>
              <w:spacing w:before="0" w:after="0" w:line="240" w:lineRule="auto"/>
              <w:jc w:val="center"/>
              <w:rPr>
                <w:rFonts w:asciiTheme="minorHAnsi" w:hAnsiTheme="minorHAnsi" w:cstheme="minorHAnsi"/>
                <w:i/>
                <w:iCs/>
                <w:sz w:val="16"/>
                <w:szCs w:val="16"/>
              </w:rPr>
            </w:pPr>
            <w:r>
              <w:rPr>
                <w:rFonts w:asciiTheme="minorHAnsi" w:hAnsiTheme="minorHAnsi" w:cstheme="minorHAnsi"/>
                <w:sz w:val="16"/>
                <w:szCs w:val="16"/>
              </w:rPr>
              <w:t>N</w:t>
            </w:r>
          </w:p>
        </w:tc>
        <w:tc>
          <w:tcPr>
            <w:tcW w:w="141" w:type="pct"/>
            <w:shd w:val="clear" w:color="auto" w:fill="92D050"/>
            <w:vAlign w:val="center"/>
          </w:tcPr>
          <w:p w14:paraId="7296766A" w14:textId="66679947"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r>
      <w:tr w:rsidR="00785848" w14:paraId="546F3F43" w14:textId="77777777" w:rsidTr="00B36774">
        <w:trPr>
          <w:cantSplit/>
        </w:trPr>
        <w:tc>
          <w:tcPr>
            <w:tcW w:w="140" w:type="pct"/>
            <w:shd w:val="clear" w:color="auto" w:fill="92D050"/>
            <w:vAlign w:val="center"/>
          </w:tcPr>
          <w:p w14:paraId="05F50225" w14:textId="77777777" w:rsidR="00B36774" w:rsidRPr="008F7938" w:rsidRDefault="00B36774" w:rsidP="00B36774">
            <w:pPr>
              <w:spacing w:before="0" w:after="0" w:line="240" w:lineRule="auto"/>
              <w:rPr>
                <w:rFonts w:asciiTheme="minorHAnsi" w:hAnsiTheme="minorHAnsi" w:cstheme="minorHAnsi"/>
                <w:b/>
                <w:sz w:val="16"/>
                <w:szCs w:val="16"/>
              </w:rPr>
            </w:pPr>
          </w:p>
        </w:tc>
        <w:tc>
          <w:tcPr>
            <w:tcW w:w="1884" w:type="pct"/>
          </w:tcPr>
          <w:p w14:paraId="235FFFD0" w14:textId="08F37B60" w:rsidR="00B36774" w:rsidRPr="008F7938" w:rsidRDefault="00171C91" w:rsidP="00B36774">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Useful for answering secondary research questions?</w:t>
            </w:r>
          </w:p>
        </w:tc>
        <w:tc>
          <w:tcPr>
            <w:tcW w:w="192" w:type="pct"/>
            <w:vAlign w:val="center"/>
          </w:tcPr>
          <w:p w14:paraId="6DD5637F" w14:textId="29C16F7C"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78B4A5ED" w14:textId="70DC0127" w:rsidR="00B36774" w:rsidRPr="0029112B" w:rsidRDefault="00171C91" w:rsidP="00B36774">
            <w:pPr>
              <w:spacing w:before="0" w:after="0" w:line="240" w:lineRule="auto"/>
              <w:jc w:val="center"/>
              <w:rPr>
                <w:rFonts w:asciiTheme="minorHAnsi" w:hAnsiTheme="minorHAnsi" w:cstheme="minorHAnsi"/>
                <w:sz w:val="16"/>
                <w:szCs w:val="16"/>
                <w:lang w:val="en-US"/>
              </w:rPr>
            </w:pPr>
            <w:r>
              <w:rPr>
                <w:rFonts w:asciiTheme="minorHAnsi" w:hAnsiTheme="minorHAnsi" w:cstheme="minorHAnsi"/>
                <w:sz w:val="16"/>
                <w:szCs w:val="16"/>
              </w:rPr>
              <w:t>N</w:t>
            </w:r>
          </w:p>
        </w:tc>
        <w:tc>
          <w:tcPr>
            <w:tcW w:w="192" w:type="pct"/>
            <w:shd w:val="clear" w:color="auto" w:fill="92D050"/>
            <w:vAlign w:val="center"/>
          </w:tcPr>
          <w:p w14:paraId="49F8C10F" w14:textId="7DD53DE6"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92" w:type="pct"/>
            <w:shd w:val="clear" w:color="auto" w:fill="92D050"/>
            <w:vAlign w:val="center"/>
          </w:tcPr>
          <w:p w14:paraId="6713335D" w14:textId="13937245"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92" w:type="pct"/>
            <w:vAlign w:val="center"/>
          </w:tcPr>
          <w:p w14:paraId="7B3E31C9" w14:textId="7F99EAA4"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54985867" w14:textId="1C2E8E28"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0A7C7E73" w14:textId="7AC8B246"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66A66B99" w14:textId="5ADDCFDF"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52DCD7DE" w14:textId="5F9E0988"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vAlign w:val="center"/>
          </w:tcPr>
          <w:p w14:paraId="0EE726E2" w14:textId="2B3848BD"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92D050"/>
            <w:vAlign w:val="center"/>
          </w:tcPr>
          <w:p w14:paraId="197AAD3E" w14:textId="0A62E490"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Partly</w:t>
            </w:r>
          </w:p>
        </w:tc>
        <w:tc>
          <w:tcPr>
            <w:tcW w:w="192" w:type="pct"/>
            <w:vAlign w:val="center"/>
          </w:tcPr>
          <w:p w14:paraId="74ECAD8B" w14:textId="36A24D98"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92" w:type="pct"/>
            <w:shd w:val="clear" w:color="auto" w:fill="92D050"/>
            <w:vAlign w:val="center"/>
          </w:tcPr>
          <w:p w14:paraId="1254E324" w14:textId="637AB132"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192" w:type="pct"/>
            <w:vAlign w:val="center"/>
          </w:tcPr>
          <w:p w14:paraId="3C8FA09D" w14:textId="10AA5645"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45" w:type="pct"/>
            <w:vAlign w:val="center"/>
          </w:tcPr>
          <w:p w14:paraId="66978A53" w14:textId="639A2F49" w:rsidR="00B36774" w:rsidRPr="008F7938"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141" w:type="pct"/>
            <w:shd w:val="clear" w:color="auto" w:fill="92D050"/>
            <w:vAlign w:val="center"/>
          </w:tcPr>
          <w:p w14:paraId="513FC83B" w14:textId="2F702358" w:rsidR="00B36774" w:rsidRDefault="00171C91" w:rsidP="00B36774">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r>
      <w:tr w:rsidR="00785848" w14:paraId="79C670EC" w14:textId="77777777" w:rsidTr="00B36774">
        <w:trPr>
          <w:cantSplit/>
        </w:trPr>
        <w:tc>
          <w:tcPr>
            <w:tcW w:w="140" w:type="pct"/>
            <w:shd w:val="clear" w:color="auto" w:fill="92D050"/>
            <w:vAlign w:val="center"/>
          </w:tcPr>
          <w:p w14:paraId="3BDF8C05" w14:textId="77777777" w:rsidR="00B36774" w:rsidRPr="00B36774" w:rsidRDefault="00B36774" w:rsidP="00B36774">
            <w:pPr>
              <w:spacing w:before="0" w:after="0" w:line="240" w:lineRule="auto"/>
              <w:rPr>
                <w:rFonts w:asciiTheme="minorHAnsi" w:hAnsiTheme="minorHAnsi" w:cstheme="minorHAnsi"/>
                <w:b/>
                <w:bCs/>
                <w:sz w:val="16"/>
                <w:szCs w:val="16"/>
              </w:rPr>
            </w:pPr>
          </w:p>
        </w:tc>
        <w:tc>
          <w:tcPr>
            <w:tcW w:w="1884" w:type="pct"/>
          </w:tcPr>
          <w:p w14:paraId="0A0B603B" w14:textId="1CCDBD1E" w:rsidR="00B36774" w:rsidRPr="0029112B" w:rsidRDefault="00171C91" w:rsidP="00B36774">
            <w:pPr>
              <w:spacing w:before="0" w:after="0" w:line="240" w:lineRule="auto"/>
              <w:rPr>
                <w:rFonts w:asciiTheme="minorHAnsi" w:hAnsiTheme="minorHAnsi" w:cstheme="minorHAnsi"/>
                <w:b/>
                <w:bCs/>
                <w:sz w:val="16"/>
                <w:szCs w:val="16"/>
              </w:rPr>
            </w:pPr>
            <w:r w:rsidRPr="0029112B">
              <w:rPr>
                <w:rFonts w:asciiTheme="minorHAnsi" w:hAnsiTheme="minorHAnsi" w:cstheme="minorHAnsi"/>
                <w:b/>
                <w:bCs/>
                <w:sz w:val="16"/>
                <w:szCs w:val="16"/>
              </w:rPr>
              <w:t>Include in review</w:t>
            </w:r>
          </w:p>
        </w:tc>
        <w:tc>
          <w:tcPr>
            <w:tcW w:w="192" w:type="pct"/>
            <w:vAlign w:val="center"/>
          </w:tcPr>
          <w:p w14:paraId="71777BB1" w14:textId="7BF75352" w:rsidR="00B36774" w:rsidRPr="0029112B" w:rsidRDefault="00171C91" w:rsidP="00B36774">
            <w:pPr>
              <w:spacing w:before="0" w:after="0" w:line="240" w:lineRule="auto"/>
              <w:jc w:val="center"/>
              <w:rPr>
                <w:rFonts w:asciiTheme="minorHAnsi" w:hAnsiTheme="minorHAnsi" w:cstheme="minorHAnsi"/>
                <w:b/>
                <w:bCs/>
                <w:sz w:val="16"/>
                <w:szCs w:val="16"/>
              </w:rPr>
            </w:pPr>
            <w:r w:rsidRPr="0029112B">
              <w:rPr>
                <w:rFonts w:asciiTheme="minorHAnsi" w:hAnsiTheme="minorHAnsi" w:cstheme="minorHAnsi"/>
                <w:b/>
                <w:bCs/>
                <w:sz w:val="16"/>
                <w:szCs w:val="16"/>
              </w:rPr>
              <w:t>N</w:t>
            </w:r>
          </w:p>
        </w:tc>
        <w:tc>
          <w:tcPr>
            <w:tcW w:w="192" w:type="pct"/>
            <w:vAlign w:val="center"/>
          </w:tcPr>
          <w:p w14:paraId="0FD1215A" w14:textId="5A447350" w:rsidR="00B36774" w:rsidRPr="0029112B" w:rsidRDefault="00171C91" w:rsidP="00B36774">
            <w:pPr>
              <w:spacing w:before="0" w:after="0" w:line="240" w:lineRule="auto"/>
              <w:jc w:val="center"/>
              <w:rPr>
                <w:rFonts w:asciiTheme="minorHAnsi" w:hAnsiTheme="minorHAnsi" w:cstheme="minorHAnsi"/>
                <w:b/>
                <w:bCs/>
                <w:sz w:val="16"/>
                <w:szCs w:val="16"/>
              </w:rPr>
            </w:pPr>
            <w:r w:rsidRPr="0029112B">
              <w:rPr>
                <w:rFonts w:asciiTheme="minorHAnsi" w:hAnsiTheme="minorHAnsi" w:cstheme="minorHAnsi"/>
                <w:b/>
                <w:bCs/>
                <w:sz w:val="16"/>
                <w:szCs w:val="16"/>
              </w:rPr>
              <w:t>N</w:t>
            </w:r>
          </w:p>
        </w:tc>
        <w:tc>
          <w:tcPr>
            <w:tcW w:w="192" w:type="pct"/>
            <w:shd w:val="clear" w:color="auto" w:fill="92D050"/>
            <w:vAlign w:val="center"/>
          </w:tcPr>
          <w:p w14:paraId="64F92A79" w14:textId="0F08AE17" w:rsidR="00B36774" w:rsidRPr="0029112B" w:rsidRDefault="00171C91" w:rsidP="00B36774">
            <w:pPr>
              <w:spacing w:before="0" w:after="0" w:line="240" w:lineRule="auto"/>
              <w:jc w:val="center"/>
              <w:rPr>
                <w:rFonts w:asciiTheme="minorHAnsi" w:hAnsiTheme="minorHAnsi" w:cstheme="minorHAnsi"/>
                <w:b/>
                <w:bCs/>
                <w:sz w:val="16"/>
                <w:szCs w:val="16"/>
              </w:rPr>
            </w:pPr>
            <w:r w:rsidRPr="0029112B">
              <w:rPr>
                <w:rFonts w:asciiTheme="minorHAnsi" w:hAnsiTheme="minorHAnsi" w:cstheme="minorHAnsi"/>
                <w:b/>
                <w:bCs/>
                <w:sz w:val="16"/>
                <w:szCs w:val="16"/>
              </w:rPr>
              <w:t>Y</w:t>
            </w:r>
          </w:p>
        </w:tc>
        <w:tc>
          <w:tcPr>
            <w:tcW w:w="192" w:type="pct"/>
            <w:shd w:val="clear" w:color="auto" w:fill="92D050"/>
            <w:vAlign w:val="center"/>
          </w:tcPr>
          <w:p w14:paraId="45DF4750" w14:textId="5B0B5CA7" w:rsidR="00B36774" w:rsidRPr="0029112B" w:rsidRDefault="00171C91" w:rsidP="00B36774">
            <w:pPr>
              <w:spacing w:before="0" w:after="0" w:line="240" w:lineRule="auto"/>
              <w:jc w:val="center"/>
              <w:rPr>
                <w:rFonts w:asciiTheme="minorHAnsi" w:hAnsiTheme="minorHAnsi" w:cstheme="minorHAnsi"/>
                <w:b/>
                <w:bCs/>
                <w:sz w:val="16"/>
                <w:szCs w:val="16"/>
              </w:rPr>
            </w:pPr>
            <w:r w:rsidRPr="0029112B">
              <w:rPr>
                <w:rFonts w:asciiTheme="minorHAnsi" w:hAnsiTheme="minorHAnsi" w:cstheme="minorHAnsi"/>
                <w:b/>
                <w:bCs/>
                <w:sz w:val="16"/>
                <w:szCs w:val="16"/>
              </w:rPr>
              <w:t>Y</w:t>
            </w:r>
          </w:p>
        </w:tc>
        <w:tc>
          <w:tcPr>
            <w:tcW w:w="192" w:type="pct"/>
            <w:vAlign w:val="center"/>
          </w:tcPr>
          <w:p w14:paraId="21BF9C5C" w14:textId="5DEE6AA0" w:rsidR="00B36774" w:rsidRPr="0029112B" w:rsidRDefault="00171C91" w:rsidP="00B36774">
            <w:pPr>
              <w:spacing w:before="0" w:after="0" w:line="240" w:lineRule="auto"/>
              <w:jc w:val="center"/>
              <w:rPr>
                <w:rFonts w:asciiTheme="minorHAnsi" w:hAnsiTheme="minorHAnsi" w:cstheme="minorHAnsi"/>
                <w:b/>
                <w:bCs/>
                <w:sz w:val="16"/>
                <w:szCs w:val="16"/>
              </w:rPr>
            </w:pPr>
            <w:r w:rsidRPr="0029112B">
              <w:rPr>
                <w:rFonts w:asciiTheme="minorHAnsi" w:hAnsiTheme="minorHAnsi" w:cstheme="minorHAnsi"/>
                <w:b/>
                <w:bCs/>
                <w:sz w:val="16"/>
                <w:szCs w:val="16"/>
              </w:rPr>
              <w:t>N</w:t>
            </w:r>
          </w:p>
        </w:tc>
        <w:tc>
          <w:tcPr>
            <w:tcW w:w="192" w:type="pct"/>
            <w:vAlign w:val="center"/>
          </w:tcPr>
          <w:p w14:paraId="4EDE3629" w14:textId="1E7D74E9" w:rsidR="00B36774" w:rsidRPr="0029112B" w:rsidRDefault="00171C91" w:rsidP="00B36774">
            <w:pPr>
              <w:spacing w:before="0" w:after="0" w:line="240" w:lineRule="auto"/>
              <w:jc w:val="center"/>
              <w:rPr>
                <w:rFonts w:asciiTheme="minorHAnsi" w:hAnsiTheme="minorHAnsi" w:cstheme="minorHAnsi"/>
                <w:b/>
                <w:bCs/>
                <w:sz w:val="16"/>
                <w:szCs w:val="16"/>
              </w:rPr>
            </w:pPr>
            <w:r w:rsidRPr="0029112B">
              <w:rPr>
                <w:rFonts w:asciiTheme="minorHAnsi" w:hAnsiTheme="minorHAnsi" w:cstheme="minorHAnsi"/>
                <w:b/>
                <w:bCs/>
                <w:sz w:val="16"/>
                <w:szCs w:val="16"/>
              </w:rPr>
              <w:t>N</w:t>
            </w:r>
          </w:p>
        </w:tc>
        <w:tc>
          <w:tcPr>
            <w:tcW w:w="192" w:type="pct"/>
            <w:vAlign w:val="center"/>
          </w:tcPr>
          <w:p w14:paraId="3DD09A56" w14:textId="4DFAE0FD" w:rsidR="00B36774" w:rsidRPr="0029112B" w:rsidRDefault="00171C91" w:rsidP="00B36774">
            <w:pPr>
              <w:spacing w:before="0" w:after="0" w:line="240" w:lineRule="auto"/>
              <w:jc w:val="center"/>
              <w:rPr>
                <w:rFonts w:asciiTheme="minorHAnsi" w:hAnsiTheme="minorHAnsi" w:cstheme="minorHAnsi"/>
                <w:b/>
                <w:bCs/>
                <w:sz w:val="16"/>
                <w:szCs w:val="16"/>
              </w:rPr>
            </w:pPr>
            <w:r w:rsidRPr="0029112B">
              <w:rPr>
                <w:rFonts w:asciiTheme="minorHAnsi" w:hAnsiTheme="minorHAnsi" w:cstheme="minorHAnsi"/>
                <w:b/>
                <w:bCs/>
                <w:sz w:val="16"/>
                <w:szCs w:val="16"/>
              </w:rPr>
              <w:t>N</w:t>
            </w:r>
          </w:p>
        </w:tc>
        <w:tc>
          <w:tcPr>
            <w:tcW w:w="192" w:type="pct"/>
            <w:shd w:val="clear" w:color="auto" w:fill="92D050"/>
            <w:vAlign w:val="center"/>
          </w:tcPr>
          <w:p w14:paraId="06BDAE1C" w14:textId="2C963BA7" w:rsidR="00B36774" w:rsidRPr="0029112B" w:rsidRDefault="00171C91" w:rsidP="00B36774">
            <w:pPr>
              <w:spacing w:before="0" w:after="0" w:line="240" w:lineRule="auto"/>
              <w:jc w:val="center"/>
              <w:rPr>
                <w:rFonts w:asciiTheme="minorHAnsi" w:hAnsiTheme="minorHAnsi" w:cstheme="minorHAnsi"/>
                <w:b/>
                <w:bCs/>
                <w:sz w:val="16"/>
                <w:szCs w:val="16"/>
              </w:rPr>
            </w:pPr>
            <w:r w:rsidRPr="0029112B">
              <w:rPr>
                <w:rFonts w:asciiTheme="minorHAnsi" w:hAnsiTheme="minorHAnsi" w:cstheme="minorHAnsi"/>
                <w:b/>
                <w:bCs/>
                <w:sz w:val="16"/>
                <w:szCs w:val="16"/>
              </w:rPr>
              <w:t>Y</w:t>
            </w:r>
          </w:p>
        </w:tc>
        <w:tc>
          <w:tcPr>
            <w:tcW w:w="192" w:type="pct"/>
            <w:vAlign w:val="center"/>
          </w:tcPr>
          <w:p w14:paraId="35CD2BFC" w14:textId="1A7B452B" w:rsidR="00B36774" w:rsidRPr="0029112B" w:rsidRDefault="00171C91" w:rsidP="00B36774">
            <w:pPr>
              <w:spacing w:before="0" w:after="0" w:line="240" w:lineRule="auto"/>
              <w:jc w:val="center"/>
              <w:rPr>
                <w:rFonts w:asciiTheme="minorHAnsi" w:hAnsiTheme="minorHAnsi" w:cstheme="minorHAnsi"/>
                <w:b/>
                <w:bCs/>
                <w:sz w:val="16"/>
                <w:szCs w:val="16"/>
              </w:rPr>
            </w:pPr>
            <w:r w:rsidRPr="0029112B">
              <w:rPr>
                <w:rFonts w:asciiTheme="minorHAnsi" w:hAnsiTheme="minorHAnsi" w:cstheme="minorHAnsi"/>
                <w:b/>
                <w:bCs/>
                <w:sz w:val="16"/>
                <w:szCs w:val="16"/>
              </w:rPr>
              <w:t>N</w:t>
            </w:r>
          </w:p>
        </w:tc>
        <w:tc>
          <w:tcPr>
            <w:tcW w:w="192" w:type="pct"/>
            <w:vAlign w:val="center"/>
          </w:tcPr>
          <w:p w14:paraId="1B1D24C9" w14:textId="061951C0" w:rsidR="00B36774" w:rsidRPr="0029112B" w:rsidRDefault="00171C91" w:rsidP="00B36774">
            <w:pPr>
              <w:spacing w:before="0" w:after="0" w:line="240" w:lineRule="auto"/>
              <w:jc w:val="center"/>
              <w:rPr>
                <w:rFonts w:asciiTheme="minorHAnsi" w:hAnsiTheme="minorHAnsi" w:cstheme="minorHAnsi"/>
                <w:b/>
                <w:bCs/>
                <w:sz w:val="16"/>
                <w:szCs w:val="16"/>
              </w:rPr>
            </w:pPr>
            <w:r w:rsidRPr="0029112B">
              <w:rPr>
                <w:rFonts w:asciiTheme="minorHAnsi" w:hAnsiTheme="minorHAnsi" w:cstheme="minorHAnsi"/>
                <w:b/>
                <w:bCs/>
                <w:sz w:val="16"/>
                <w:szCs w:val="16"/>
              </w:rPr>
              <w:t>N</w:t>
            </w:r>
          </w:p>
        </w:tc>
        <w:tc>
          <w:tcPr>
            <w:tcW w:w="192" w:type="pct"/>
            <w:shd w:val="clear" w:color="auto" w:fill="92D050"/>
            <w:vAlign w:val="center"/>
          </w:tcPr>
          <w:p w14:paraId="4818FC60" w14:textId="1461DF09" w:rsidR="00B36774" w:rsidRPr="0029112B" w:rsidRDefault="00171C91" w:rsidP="00B36774">
            <w:pPr>
              <w:spacing w:before="0" w:after="0" w:line="240" w:lineRule="auto"/>
              <w:jc w:val="center"/>
              <w:rPr>
                <w:rFonts w:asciiTheme="minorHAnsi" w:hAnsiTheme="minorHAnsi" w:cstheme="minorHAnsi"/>
                <w:b/>
                <w:bCs/>
                <w:sz w:val="16"/>
                <w:szCs w:val="16"/>
              </w:rPr>
            </w:pPr>
            <w:r w:rsidRPr="0029112B">
              <w:rPr>
                <w:rFonts w:asciiTheme="minorHAnsi" w:hAnsiTheme="minorHAnsi" w:cstheme="minorHAnsi"/>
                <w:b/>
                <w:bCs/>
                <w:sz w:val="16"/>
                <w:szCs w:val="16"/>
              </w:rPr>
              <w:t>Y</w:t>
            </w:r>
          </w:p>
        </w:tc>
        <w:tc>
          <w:tcPr>
            <w:tcW w:w="192" w:type="pct"/>
            <w:vAlign w:val="center"/>
          </w:tcPr>
          <w:p w14:paraId="0196C20D" w14:textId="09B61D29" w:rsidR="00B36774" w:rsidRPr="0029112B" w:rsidRDefault="00171C91" w:rsidP="00B36774">
            <w:pPr>
              <w:spacing w:before="0" w:after="0" w:line="240" w:lineRule="auto"/>
              <w:jc w:val="center"/>
              <w:rPr>
                <w:rFonts w:asciiTheme="minorHAnsi" w:hAnsiTheme="minorHAnsi" w:cstheme="minorHAnsi"/>
                <w:b/>
                <w:bCs/>
                <w:sz w:val="16"/>
                <w:szCs w:val="16"/>
              </w:rPr>
            </w:pPr>
            <w:r w:rsidRPr="0029112B">
              <w:rPr>
                <w:rFonts w:asciiTheme="minorHAnsi" w:hAnsiTheme="minorHAnsi" w:cstheme="minorHAnsi"/>
                <w:b/>
                <w:bCs/>
                <w:sz w:val="16"/>
                <w:szCs w:val="16"/>
              </w:rPr>
              <w:t>N</w:t>
            </w:r>
          </w:p>
        </w:tc>
        <w:tc>
          <w:tcPr>
            <w:tcW w:w="192" w:type="pct"/>
            <w:shd w:val="clear" w:color="auto" w:fill="92D050"/>
            <w:vAlign w:val="center"/>
          </w:tcPr>
          <w:p w14:paraId="0F9F11AA" w14:textId="2A896CE9" w:rsidR="00B36774" w:rsidRPr="0029112B" w:rsidRDefault="00171C91" w:rsidP="00B36774">
            <w:pPr>
              <w:spacing w:before="0" w:after="0" w:line="240" w:lineRule="auto"/>
              <w:jc w:val="center"/>
              <w:rPr>
                <w:rFonts w:asciiTheme="minorHAnsi" w:hAnsiTheme="minorHAnsi" w:cstheme="minorHAnsi"/>
                <w:b/>
                <w:bCs/>
                <w:sz w:val="16"/>
                <w:szCs w:val="16"/>
              </w:rPr>
            </w:pPr>
            <w:r w:rsidRPr="0029112B">
              <w:rPr>
                <w:rFonts w:asciiTheme="minorHAnsi" w:hAnsiTheme="minorHAnsi" w:cstheme="minorHAnsi"/>
                <w:b/>
                <w:bCs/>
                <w:sz w:val="16"/>
                <w:szCs w:val="16"/>
              </w:rPr>
              <w:t>Y</w:t>
            </w:r>
          </w:p>
        </w:tc>
        <w:tc>
          <w:tcPr>
            <w:tcW w:w="192" w:type="pct"/>
            <w:vAlign w:val="center"/>
          </w:tcPr>
          <w:p w14:paraId="64756F4A" w14:textId="7523F744" w:rsidR="00B36774" w:rsidRPr="0029112B" w:rsidRDefault="00171C91" w:rsidP="00B36774">
            <w:pPr>
              <w:spacing w:before="0" w:after="0" w:line="240" w:lineRule="auto"/>
              <w:jc w:val="center"/>
              <w:rPr>
                <w:rFonts w:asciiTheme="minorHAnsi" w:hAnsiTheme="minorHAnsi" w:cstheme="minorHAnsi"/>
                <w:b/>
                <w:bCs/>
                <w:sz w:val="16"/>
                <w:szCs w:val="16"/>
              </w:rPr>
            </w:pPr>
            <w:r w:rsidRPr="0029112B">
              <w:rPr>
                <w:rFonts w:asciiTheme="minorHAnsi" w:hAnsiTheme="minorHAnsi" w:cstheme="minorHAnsi"/>
                <w:b/>
                <w:bCs/>
                <w:sz w:val="16"/>
                <w:szCs w:val="16"/>
              </w:rPr>
              <w:t>N</w:t>
            </w:r>
          </w:p>
        </w:tc>
        <w:tc>
          <w:tcPr>
            <w:tcW w:w="145" w:type="pct"/>
            <w:vAlign w:val="center"/>
          </w:tcPr>
          <w:p w14:paraId="083B48A2" w14:textId="7FD1D69F" w:rsidR="00B36774" w:rsidRPr="0029112B" w:rsidRDefault="00171C91" w:rsidP="00B36774">
            <w:pPr>
              <w:spacing w:before="0" w:after="0" w:line="240" w:lineRule="auto"/>
              <w:jc w:val="center"/>
              <w:rPr>
                <w:rFonts w:asciiTheme="minorHAnsi" w:hAnsiTheme="minorHAnsi" w:cstheme="minorHAnsi"/>
                <w:b/>
                <w:bCs/>
                <w:sz w:val="16"/>
                <w:szCs w:val="16"/>
              </w:rPr>
            </w:pPr>
            <w:r w:rsidRPr="0029112B">
              <w:rPr>
                <w:rFonts w:asciiTheme="minorHAnsi" w:hAnsiTheme="minorHAnsi" w:cstheme="minorHAnsi"/>
                <w:b/>
                <w:bCs/>
                <w:sz w:val="16"/>
                <w:szCs w:val="16"/>
              </w:rPr>
              <w:t>N</w:t>
            </w:r>
          </w:p>
        </w:tc>
        <w:tc>
          <w:tcPr>
            <w:tcW w:w="141" w:type="pct"/>
            <w:shd w:val="clear" w:color="auto" w:fill="92D050"/>
            <w:vAlign w:val="center"/>
          </w:tcPr>
          <w:p w14:paraId="655E2972" w14:textId="302399C2" w:rsidR="00B36774" w:rsidRPr="0029112B" w:rsidRDefault="00171C91" w:rsidP="00B36774">
            <w:pPr>
              <w:spacing w:before="0" w:after="0" w:line="240" w:lineRule="auto"/>
              <w:jc w:val="center"/>
              <w:rPr>
                <w:rFonts w:asciiTheme="minorHAnsi" w:hAnsiTheme="minorHAnsi" w:cstheme="minorHAnsi"/>
                <w:b/>
                <w:bCs/>
                <w:sz w:val="16"/>
                <w:szCs w:val="16"/>
              </w:rPr>
            </w:pPr>
            <w:r w:rsidRPr="0029112B">
              <w:rPr>
                <w:rFonts w:asciiTheme="minorHAnsi" w:hAnsiTheme="minorHAnsi" w:cstheme="minorHAnsi"/>
                <w:b/>
                <w:bCs/>
                <w:sz w:val="16"/>
                <w:szCs w:val="16"/>
              </w:rPr>
              <w:t>Y</w:t>
            </w:r>
          </w:p>
        </w:tc>
      </w:tr>
    </w:tbl>
    <w:p w14:paraId="3C50C79F" w14:textId="497F2BBE" w:rsidR="0020254E" w:rsidRPr="00DB34A4" w:rsidRDefault="00171C91" w:rsidP="00FA0192">
      <w:pPr>
        <w:spacing w:before="0" w:after="0" w:line="240" w:lineRule="auto"/>
        <w:rPr>
          <w:rFonts w:asciiTheme="minorHAnsi" w:hAnsiTheme="minorHAnsi" w:cstheme="minorHAnsi"/>
          <w:noProof w:val="0"/>
          <w:sz w:val="16"/>
          <w:szCs w:val="16"/>
        </w:rPr>
      </w:pPr>
      <w:r>
        <w:rPr>
          <w:noProof w:val="0"/>
          <w:sz w:val="16"/>
          <w:szCs w:val="16"/>
        </w:rPr>
        <w:t xml:space="preserve">* </w:t>
      </w:r>
      <w:r w:rsidRPr="00DB34A4">
        <w:rPr>
          <w:rFonts w:asciiTheme="minorHAnsi" w:hAnsiTheme="minorHAnsi" w:cstheme="minorHAnsi"/>
          <w:noProof w:val="0"/>
          <w:sz w:val="16"/>
          <w:szCs w:val="16"/>
        </w:rPr>
        <w:t>These questions primarily relate to the derivation of health-based guideline values for chemicals and may not be applicable</w:t>
      </w:r>
      <w:r w:rsidR="00D026EE" w:rsidRPr="00DB34A4">
        <w:rPr>
          <w:rFonts w:asciiTheme="minorHAnsi" w:hAnsiTheme="minorHAnsi" w:cstheme="minorHAnsi"/>
          <w:noProof w:val="0"/>
          <w:sz w:val="16"/>
          <w:szCs w:val="16"/>
        </w:rPr>
        <w:t xml:space="preserve"> for this research topic</w:t>
      </w:r>
      <w:r w:rsidRPr="00DB34A4">
        <w:rPr>
          <w:rFonts w:asciiTheme="minorHAnsi" w:hAnsiTheme="minorHAnsi" w:cstheme="minorHAnsi"/>
          <w:noProof w:val="0"/>
          <w:sz w:val="16"/>
          <w:szCs w:val="16"/>
        </w:rPr>
        <w:t>.</w:t>
      </w:r>
    </w:p>
    <w:p w14:paraId="104694F1" w14:textId="3DE17DF5" w:rsidR="00CE3D9A" w:rsidRPr="00DB34A4" w:rsidRDefault="00171C91" w:rsidP="00FA0192">
      <w:pPr>
        <w:spacing w:before="0" w:after="0" w:line="240" w:lineRule="auto"/>
        <w:rPr>
          <w:rFonts w:asciiTheme="minorHAnsi" w:hAnsiTheme="minorHAnsi" w:cstheme="minorHAnsi"/>
          <w:noProof w:val="0"/>
          <w:sz w:val="16"/>
          <w:szCs w:val="16"/>
        </w:rPr>
      </w:pPr>
      <w:r w:rsidRPr="00DB34A4">
        <w:rPr>
          <w:rFonts w:asciiTheme="minorHAnsi" w:hAnsiTheme="minorHAnsi" w:cstheme="minorHAnsi"/>
          <w:noProof w:val="0"/>
          <w:sz w:val="16"/>
          <w:szCs w:val="16"/>
        </w:rPr>
        <w:t>** These questions relate to relevance (usefulness) of the guidance/guideline document for answering the primary or secondary research questions.</w:t>
      </w:r>
    </w:p>
    <w:p w14:paraId="1596944D" w14:textId="7A6C74BC" w:rsidR="00CE3D9A" w:rsidRPr="00DB34A4" w:rsidRDefault="00186B46" w:rsidP="00FA0192">
      <w:pPr>
        <w:spacing w:before="0" w:after="0" w:line="240" w:lineRule="auto"/>
        <w:rPr>
          <w:rFonts w:asciiTheme="minorHAnsi" w:hAnsiTheme="minorHAnsi" w:cstheme="minorHAnsi"/>
          <w:noProof w:val="0"/>
          <w:sz w:val="16"/>
          <w:szCs w:val="16"/>
        </w:rPr>
      </w:pPr>
      <w:r w:rsidRPr="00DB34A4">
        <w:rPr>
          <w:rFonts w:asciiTheme="minorHAnsi" w:hAnsiTheme="minorHAnsi" w:cstheme="minorHAnsi"/>
          <w:noProof w:val="0"/>
          <w:sz w:val="16"/>
          <w:szCs w:val="16"/>
        </w:rPr>
        <w:t>Study ID</w:t>
      </w:r>
      <w:r w:rsidR="00CE3D9A" w:rsidRPr="00DB34A4">
        <w:rPr>
          <w:rFonts w:asciiTheme="minorHAnsi" w:hAnsiTheme="minorHAnsi" w:cstheme="minorHAnsi"/>
          <w:noProof w:val="0"/>
          <w:sz w:val="16"/>
          <w:szCs w:val="16"/>
        </w:rPr>
        <w:t xml:space="preserve">: G1: </w:t>
      </w:r>
      <w:r w:rsidR="00CE3D9A" w:rsidRPr="00DB34A4">
        <w:rPr>
          <w:rFonts w:asciiTheme="minorHAnsi" w:hAnsiTheme="minorHAnsi" w:cstheme="minorHAnsi"/>
          <w:noProof w:val="0"/>
          <w:sz w:val="16"/>
          <w:szCs w:val="16"/>
        </w:rPr>
        <w:fldChar w:fldCharType="begin"/>
      </w:r>
      <w:r w:rsidR="00CE3D9A" w:rsidRPr="00DB34A4">
        <w:rPr>
          <w:rFonts w:asciiTheme="minorHAnsi" w:hAnsiTheme="minorHAnsi" w:cstheme="minorHAnsi"/>
          <w:noProof w:val="0"/>
          <w:sz w:val="16"/>
          <w:szCs w:val="16"/>
        </w:rPr>
        <w:instrText xml:space="preserve"> ADDIN ZOTERO_ITEM CSL_CITATION {"citationID":"sd90XMWz","properties":{"custom":"Deere et al. (2015)","formattedCitation":"Deere et al. (2015)","plainCitation":"Deere et al. (2015)","noteIndex":0},"citationItems":[{"id":16227,"uris":["http://zotero.org/users/148142/items/RZB7W3GD"],"uri":["http://zotero.org/users/148142/items/RZB7W3GD"],"itemData":{"id":16227,"type":"report","page":"73","publisher":"Melbourne Water","title":"Microbial indicators and objectives review for Victoria's State Environment Protection Policy (Waters)","author":[{"family":"Deere","given":"D"},{"family":"Billington","given":"K"},{"family":"McCarthy","given":"D"},{"family":"McBride","given":"G"},{"family":"Crosbie","given":"N"}],"issued":{"date-parts":[["2015"]]}}}],"schema":"https://github.com/citation-style-language/schema/raw/master/csl-citation.json"} </w:instrText>
      </w:r>
      <w:r w:rsidR="00CE3D9A" w:rsidRPr="00DB34A4">
        <w:rPr>
          <w:rFonts w:asciiTheme="minorHAnsi" w:hAnsiTheme="minorHAnsi" w:cstheme="minorHAnsi"/>
          <w:noProof w:val="0"/>
          <w:sz w:val="16"/>
          <w:szCs w:val="16"/>
        </w:rPr>
        <w:fldChar w:fldCharType="separate"/>
      </w:r>
      <w:r w:rsidR="00CE3D9A" w:rsidRPr="00DB34A4">
        <w:rPr>
          <w:rFonts w:asciiTheme="minorHAnsi" w:hAnsiTheme="minorHAnsi" w:cstheme="minorHAnsi"/>
          <w:noProof w:val="0"/>
          <w:sz w:val="16"/>
          <w:szCs w:val="16"/>
        </w:rPr>
        <w:t>Deere et al. (2015)</w:t>
      </w:r>
      <w:r w:rsidR="00CE3D9A" w:rsidRPr="00DB34A4">
        <w:rPr>
          <w:rFonts w:asciiTheme="minorHAnsi" w:hAnsiTheme="minorHAnsi" w:cstheme="minorHAnsi"/>
          <w:noProof w:val="0"/>
          <w:sz w:val="16"/>
          <w:szCs w:val="16"/>
        </w:rPr>
        <w:fldChar w:fldCharType="end"/>
      </w:r>
      <w:r w:rsidR="00CE3D9A" w:rsidRPr="00DB34A4">
        <w:rPr>
          <w:rFonts w:asciiTheme="minorHAnsi" w:hAnsiTheme="minorHAnsi" w:cstheme="minorHAnsi"/>
          <w:noProof w:val="0"/>
          <w:sz w:val="16"/>
          <w:szCs w:val="16"/>
        </w:rPr>
        <w:t xml:space="preserve">, G2: </w:t>
      </w:r>
      <w:r w:rsidR="00CE3D9A" w:rsidRPr="00DB34A4">
        <w:rPr>
          <w:rFonts w:asciiTheme="minorHAnsi" w:hAnsiTheme="minorHAnsi" w:cstheme="minorHAnsi"/>
          <w:noProof w:val="0"/>
          <w:sz w:val="16"/>
          <w:szCs w:val="16"/>
        </w:rPr>
        <w:fldChar w:fldCharType="begin"/>
      </w:r>
      <w:r w:rsidR="00CE3D9A" w:rsidRPr="00DB34A4">
        <w:rPr>
          <w:rFonts w:asciiTheme="minorHAnsi" w:hAnsiTheme="minorHAnsi" w:cstheme="minorHAnsi"/>
          <w:noProof w:val="0"/>
          <w:sz w:val="16"/>
          <w:szCs w:val="16"/>
        </w:rPr>
        <w:instrText xml:space="preserve"> ADDIN ZOTERO_ITEM CSL_CITATION {"citationID":"5MkSLixk","properties":{"custom":"EnHealth (2012)","formattedCitation":"EnHealth (2012)","plainCitation":"EnHealth (2012)","noteIndex":0},"citationItems":[{"id":988,"uris":["http://zotero.org/users/148142/items/UVB6JETP"],"uri":["http://zotero.org/users/148142/items/UVB6JETP"],"itemData":{"id":988,"type":"report","page":"131","title":"Environmental Health Risk Assessment Guidelines for Assessing Human Health Risks from Environmental Hazards. Commonwealth of Australia","URL":"https://www1.health.gov.au/internet/main/publishing.nsf/Content/health-pubhlth-publicat-environ.htm","author":[{"literal":"EnHealth"}],"issued":{"date-parts":[["2012"]]}}}],"schema":"https://github.com/citation-style-language/schema/raw/master/csl-citation.json"} </w:instrText>
      </w:r>
      <w:r w:rsidR="00CE3D9A" w:rsidRPr="00DB34A4">
        <w:rPr>
          <w:rFonts w:asciiTheme="minorHAnsi" w:hAnsiTheme="minorHAnsi" w:cstheme="minorHAnsi"/>
          <w:noProof w:val="0"/>
          <w:sz w:val="16"/>
          <w:szCs w:val="16"/>
        </w:rPr>
        <w:fldChar w:fldCharType="separate"/>
      </w:r>
      <w:r w:rsidR="00CE3D9A" w:rsidRPr="00DB34A4">
        <w:rPr>
          <w:rFonts w:asciiTheme="minorHAnsi" w:hAnsiTheme="minorHAnsi" w:cstheme="minorHAnsi"/>
          <w:noProof w:val="0"/>
          <w:sz w:val="16"/>
          <w:szCs w:val="16"/>
        </w:rPr>
        <w:t>EnHealth (2012)</w:t>
      </w:r>
      <w:r w:rsidR="00CE3D9A" w:rsidRPr="00DB34A4">
        <w:rPr>
          <w:rFonts w:asciiTheme="minorHAnsi" w:hAnsiTheme="minorHAnsi" w:cstheme="minorHAnsi"/>
          <w:noProof w:val="0"/>
          <w:sz w:val="16"/>
          <w:szCs w:val="16"/>
        </w:rPr>
        <w:fldChar w:fldCharType="end"/>
      </w:r>
      <w:r w:rsidR="00CE3D9A" w:rsidRPr="00DB34A4">
        <w:rPr>
          <w:rFonts w:asciiTheme="minorHAnsi" w:hAnsiTheme="minorHAnsi" w:cstheme="minorHAnsi"/>
          <w:noProof w:val="0"/>
          <w:sz w:val="16"/>
          <w:szCs w:val="16"/>
        </w:rPr>
        <w:t xml:space="preserve">, G3: </w:t>
      </w:r>
      <w:r w:rsidR="00CE3D9A" w:rsidRPr="00DB34A4">
        <w:rPr>
          <w:rFonts w:asciiTheme="minorHAnsi" w:hAnsiTheme="minorHAnsi" w:cstheme="minorHAnsi"/>
          <w:noProof w:val="0"/>
          <w:sz w:val="16"/>
          <w:szCs w:val="16"/>
        </w:rPr>
        <w:fldChar w:fldCharType="begin"/>
      </w:r>
      <w:r w:rsidR="00CE3D9A" w:rsidRPr="00DB34A4">
        <w:rPr>
          <w:rFonts w:asciiTheme="minorHAnsi" w:hAnsiTheme="minorHAnsi" w:cstheme="minorHAnsi"/>
          <w:noProof w:val="0"/>
          <w:sz w:val="16"/>
          <w:szCs w:val="16"/>
        </w:rPr>
        <w:instrText xml:space="preserve"> ADDIN ZOTERO_ITEM CSL_CITATION {"citationID":"766iLynl","properties":{"custom":"EPA Victoria (2021)","formattedCitation":"EPA Victoria (2021)","plainCitation":"EPA Victoria (2021)","noteIndex":0},"citationItems":[{"id":17578,"uris":["http://zotero.org/users/148142/items/HPITMMGC"],"uri":["http://zotero.org/users/148142/items/HPITMMGC"],"itemData":{"id":17578,"type":"report","publisher":"Environment Protection Authority, Victoria","title":"Quantitative Microbial Risk Assessment (QMRA) for assessing risks to recreational users in Port Phillip Bay. EPA Publication 2007, June 2021","author":[{"literal":"EPA Victoria"}],"issued":{"date-parts":[["2021"]]}}}],"schema":"https://github.com/citation-style-language/schema/raw/master/csl-citation.json"} </w:instrText>
      </w:r>
      <w:r w:rsidR="00CE3D9A" w:rsidRPr="00DB34A4">
        <w:rPr>
          <w:rFonts w:asciiTheme="minorHAnsi" w:hAnsiTheme="minorHAnsi" w:cstheme="minorHAnsi"/>
          <w:noProof w:val="0"/>
          <w:sz w:val="16"/>
          <w:szCs w:val="16"/>
        </w:rPr>
        <w:fldChar w:fldCharType="separate"/>
      </w:r>
      <w:r w:rsidR="00CE3D9A" w:rsidRPr="00DB34A4">
        <w:rPr>
          <w:rFonts w:asciiTheme="minorHAnsi" w:hAnsiTheme="minorHAnsi" w:cstheme="minorHAnsi"/>
          <w:noProof w:val="0"/>
          <w:sz w:val="16"/>
          <w:szCs w:val="16"/>
        </w:rPr>
        <w:t>EPA Victoria (2021)</w:t>
      </w:r>
      <w:r w:rsidR="00CE3D9A" w:rsidRPr="00DB34A4">
        <w:rPr>
          <w:rFonts w:asciiTheme="minorHAnsi" w:hAnsiTheme="minorHAnsi" w:cstheme="minorHAnsi"/>
          <w:noProof w:val="0"/>
          <w:sz w:val="16"/>
          <w:szCs w:val="16"/>
        </w:rPr>
        <w:fldChar w:fldCharType="end"/>
      </w:r>
      <w:r w:rsidR="00CE3D9A" w:rsidRPr="00DB34A4">
        <w:rPr>
          <w:rFonts w:asciiTheme="minorHAnsi" w:hAnsiTheme="minorHAnsi" w:cstheme="minorHAnsi"/>
          <w:noProof w:val="0"/>
          <w:sz w:val="16"/>
          <w:szCs w:val="16"/>
        </w:rPr>
        <w:t xml:space="preserve">, G4: </w:t>
      </w:r>
      <w:r w:rsidR="00CE3D9A" w:rsidRPr="00DB34A4">
        <w:rPr>
          <w:rFonts w:asciiTheme="minorHAnsi" w:hAnsiTheme="minorHAnsi" w:cstheme="minorHAnsi"/>
          <w:noProof w:val="0"/>
          <w:sz w:val="16"/>
          <w:szCs w:val="16"/>
        </w:rPr>
        <w:fldChar w:fldCharType="begin"/>
      </w:r>
      <w:r w:rsidR="00CE3D9A" w:rsidRPr="00DB34A4">
        <w:rPr>
          <w:rFonts w:asciiTheme="minorHAnsi" w:hAnsiTheme="minorHAnsi" w:cstheme="minorHAnsi"/>
          <w:noProof w:val="0"/>
          <w:sz w:val="16"/>
          <w:szCs w:val="16"/>
        </w:rPr>
        <w:instrText xml:space="preserve"> ADDIN ZOTERO_ITEM CSL_CITATION {"citationID":"VjI0h5CI","properties":{"custom":"King et al. (2014)","formattedCitation":"King et al. (2014)","plainCitation":"King et al. (2014)","noteIndex":0},"citationItems":[{"id":15773,"uris":["http://zotero.org/users/148142/items/LATIBYWS"],"uri":["http://zotero.org/users/148142/items/LATIBYWS"],"itemData":{"id":15773,"type":"report","event-place":"United Kingdom","publisher":"Department of Environment, Food and Rural Affairs (DEFRA)","publisher-place":"United Kingdom","title":"The health risks of bathing in recreational waters. A rapid evidence assessment of water quality and gastrointestinal illness. Final report WT1530. A report of research carried out by RAND Europe, on behalf of the UK Department for Environment, Farming and Rural Affairs (DEFRA)","URL":"https://www.rand.org/content/dam/rand/pubs/research_reports/RR600/RR698/RAND_RR698.pdf","author":[{"family":"King","given":"Sarah"},{"family":"Exley","given":"Josephine"},{"family":"Winpenny","given":"Eleanor"},{"family":"Alves","given":"Lottie"},{"family":"Henham","given":"Marie-Louise"},{"family":"Larkin","given":"Jody"}],"issued":{"date-parts":[["2014"]]}}}],"schema":"https://github.com/citation-style-language/schema/raw/master/csl-citation.json"} </w:instrText>
      </w:r>
      <w:r w:rsidR="00CE3D9A" w:rsidRPr="00DB34A4">
        <w:rPr>
          <w:rFonts w:asciiTheme="minorHAnsi" w:hAnsiTheme="minorHAnsi" w:cstheme="minorHAnsi"/>
          <w:noProof w:val="0"/>
          <w:sz w:val="16"/>
          <w:szCs w:val="16"/>
        </w:rPr>
        <w:fldChar w:fldCharType="separate"/>
      </w:r>
      <w:r w:rsidR="00CE3D9A" w:rsidRPr="00DB34A4">
        <w:rPr>
          <w:rFonts w:asciiTheme="minorHAnsi" w:hAnsiTheme="minorHAnsi" w:cstheme="minorHAnsi"/>
          <w:noProof w:val="0"/>
          <w:sz w:val="16"/>
          <w:szCs w:val="16"/>
        </w:rPr>
        <w:t>King et al. (2014)</w:t>
      </w:r>
      <w:r w:rsidR="00CE3D9A" w:rsidRPr="00DB34A4">
        <w:rPr>
          <w:rFonts w:asciiTheme="minorHAnsi" w:hAnsiTheme="minorHAnsi" w:cstheme="minorHAnsi"/>
          <w:noProof w:val="0"/>
          <w:sz w:val="16"/>
          <w:szCs w:val="16"/>
        </w:rPr>
        <w:fldChar w:fldCharType="end"/>
      </w:r>
      <w:r w:rsidR="00CE3D9A" w:rsidRPr="00DB34A4">
        <w:rPr>
          <w:rFonts w:asciiTheme="minorHAnsi" w:hAnsiTheme="minorHAnsi" w:cstheme="minorHAnsi"/>
          <w:noProof w:val="0"/>
          <w:sz w:val="16"/>
          <w:szCs w:val="16"/>
        </w:rPr>
        <w:t xml:space="preserve">, G5: </w:t>
      </w:r>
      <w:r w:rsidR="00CE3D9A" w:rsidRPr="00DB34A4">
        <w:rPr>
          <w:rFonts w:asciiTheme="minorHAnsi" w:hAnsiTheme="minorHAnsi" w:cstheme="minorHAnsi"/>
          <w:noProof w:val="0"/>
          <w:sz w:val="16"/>
          <w:szCs w:val="16"/>
        </w:rPr>
        <w:fldChar w:fldCharType="begin"/>
      </w:r>
      <w:r w:rsidR="00CE3D9A" w:rsidRPr="00DB34A4">
        <w:rPr>
          <w:rFonts w:asciiTheme="minorHAnsi" w:hAnsiTheme="minorHAnsi" w:cstheme="minorHAnsi"/>
          <w:noProof w:val="0"/>
          <w:sz w:val="16"/>
          <w:szCs w:val="16"/>
        </w:rPr>
        <w:instrText xml:space="preserve"> ADDIN ZOTERO_ITEM CSL_CITATION {"citationID":"VDWNBb6P","properties":{"custom":"McBride et al. (2019)","formattedCitation":"McBride et al. (2019)","plainCitation":"McBride et al. (2019)","noteIndex":0},"citationItems":[{"id":16416,"uris":["http://zotero.org/users/148142/items/FGXXASMQ"],"uri":["http://zotero.org/users/148142/items/FGXXASMQ"],"itemData":{"id":16416,"type":"report","page":"90","publisher":"NIWA","title":"National Microbiological Water Quality Guidelines for Marine Recreational Areas: Implications from a Review of Recent Research. NIWA Client Report 2018-333HN: 93.  Prepared for Envirolink","URL":"https://www.envirolink.govt.nz/assets/R12-2-National-Microbiological-Water-Quality-Guidelines-for-Marine-Recreational-Areas-Implications-from-a-Review-of-Recent-Research-v2.pdf","author":[{"family":"McBride","given":"G"},{"family":"Yalden","given":"S"},{"family":"Milne","given":"J.R."}],"issued":{"date-parts":[["2019",5]]}}}],"schema":"https://github.com/citation-style-language/schema/raw/master/csl-citation.json"} </w:instrText>
      </w:r>
      <w:r w:rsidR="00CE3D9A" w:rsidRPr="00DB34A4">
        <w:rPr>
          <w:rFonts w:asciiTheme="minorHAnsi" w:hAnsiTheme="minorHAnsi" w:cstheme="minorHAnsi"/>
          <w:noProof w:val="0"/>
          <w:sz w:val="16"/>
          <w:szCs w:val="16"/>
        </w:rPr>
        <w:fldChar w:fldCharType="separate"/>
      </w:r>
      <w:r w:rsidR="00CE3D9A" w:rsidRPr="00DB34A4">
        <w:rPr>
          <w:rFonts w:asciiTheme="minorHAnsi" w:hAnsiTheme="minorHAnsi" w:cstheme="minorHAnsi"/>
          <w:noProof w:val="0"/>
          <w:sz w:val="16"/>
          <w:szCs w:val="16"/>
        </w:rPr>
        <w:t>McBride et al. (2019)</w:t>
      </w:r>
      <w:r w:rsidR="00CE3D9A" w:rsidRPr="00DB34A4">
        <w:rPr>
          <w:rFonts w:asciiTheme="minorHAnsi" w:hAnsiTheme="minorHAnsi" w:cstheme="minorHAnsi"/>
          <w:noProof w:val="0"/>
          <w:sz w:val="16"/>
          <w:szCs w:val="16"/>
        </w:rPr>
        <w:fldChar w:fldCharType="end"/>
      </w:r>
      <w:r w:rsidR="00CE3D9A" w:rsidRPr="00DB34A4">
        <w:rPr>
          <w:rFonts w:asciiTheme="minorHAnsi" w:hAnsiTheme="minorHAnsi" w:cstheme="minorHAnsi"/>
          <w:noProof w:val="0"/>
          <w:sz w:val="16"/>
          <w:szCs w:val="16"/>
        </w:rPr>
        <w:t xml:space="preserve">, G6: </w:t>
      </w:r>
      <w:r w:rsidR="00CE3D9A" w:rsidRPr="00DB34A4">
        <w:rPr>
          <w:rFonts w:asciiTheme="minorHAnsi" w:hAnsiTheme="minorHAnsi" w:cstheme="minorHAnsi"/>
          <w:noProof w:val="0"/>
          <w:sz w:val="16"/>
          <w:szCs w:val="16"/>
        </w:rPr>
        <w:fldChar w:fldCharType="begin"/>
      </w:r>
      <w:r w:rsidR="00CE3D9A" w:rsidRPr="00DB34A4">
        <w:rPr>
          <w:rFonts w:asciiTheme="minorHAnsi" w:hAnsiTheme="minorHAnsi" w:cstheme="minorHAnsi"/>
          <w:noProof w:val="0"/>
          <w:sz w:val="16"/>
          <w:szCs w:val="16"/>
        </w:rPr>
        <w:instrText xml:space="preserve"> ADDIN ZOTERO_ITEM CSL_CITATION {"citationID":"vKBEn0TM","properties":{"custom":"McCarthy (2017)","formattedCitation":"McCarthy (2017)","plainCitation":"McCarthy (2017)","noteIndex":0},"citationItems":[{"id":15749,"uris":["http://zotero.org/users/148142/items/8XSCQV2S"],"uri":["http://zotero.org/users/148142/items/8XSCQV2S"],"itemData":{"id":15749,"type":"report","publisher":"EPA Victoria","title":"Epidemiological evidence between water quality measures and illnesses in bathers of marine waters","author":[{"family":"McCarthy","given":"D. T."}],"issued":{"date-parts":[["2017"]]}}}],"schema":"https://github.com/citation-style-language/schema/raw/master/csl-citation.json"} </w:instrText>
      </w:r>
      <w:r w:rsidR="00CE3D9A" w:rsidRPr="00DB34A4">
        <w:rPr>
          <w:rFonts w:asciiTheme="minorHAnsi" w:hAnsiTheme="minorHAnsi" w:cstheme="minorHAnsi"/>
          <w:noProof w:val="0"/>
          <w:sz w:val="16"/>
          <w:szCs w:val="16"/>
        </w:rPr>
        <w:fldChar w:fldCharType="separate"/>
      </w:r>
      <w:r w:rsidR="00CE3D9A" w:rsidRPr="00DB34A4">
        <w:rPr>
          <w:rFonts w:asciiTheme="minorHAnsi" w:hAnsiTheme="minorHAnsi" w:cstheme="minorHAnsi"/>
          <w:noProof w:val="0"/>
          <w:sz w:val="16"/>
          <w:szCs w:val="16"/>
        </w:rPr>
        <w:t>McCarthy (2017)</w:t>
      </w:r>
      <w:r w:rsidR="00CE3D9A" w:rsidRPr="00DB34A4">
        <w:rPr>
          <w:rFonts w:asciiTheme="minorHAnsi" w:hAnsiTheme="minorHAnsi" w:cstheme="minorHAnsi"/>
          <w:noProof w:val="0"/>
          <w:sz w:val="16"/>
          <w:szCs w:val="16"/>
        </w:rPr>
        <w:fldChar w:fldCharType="end"/>
      </w:r>
      <w:r w:rsidR="00CE3D9A" w:rsidRPr="00DB34A4">
        <w:rPr>
          <w:rFonts w:asciiTheme="minorHAnsi" w:hAnsiTheme="minorHAnsi" w:cstheme="minorHAnsi"/>
          <w:noProof w:val="0"/>
          <w:sz w:val="16"/>
          <w:szCs w:val="16"/>
        </w:rPr>
        <w:t xml:space="preserve">, G7: </w:t>
      </w:r>
      <w:r w:rsidR="00CE3D9A" w:rsidRPr="00DB34A4">
        <w:rPr>
          <w:rFonts w:asciiTheme="minorHAnsi" w:hAnsiTheme="minorHAnsi" w:cstheme="minorHAnsi"/>
          <w:noProof w:val="0"/>
          <w:sz w:val="16"/>
          <w:szCs w:val="16"/>
        </w:rPr>
        <w:fldChar w:fldCharType="begin"/>
      </w:r>
      <w:r w:rsidR="00CE3D9A" w:rsidRPr="00DB34A4">
        <w:rPr>
          <w:rFonts w:asciiTheme="minorHAnsi" w:hAnsiTheme="minorHAnsi" w:cstheme="minorHAnsi"/>
          <w:noProof w:val="0"/>
          <w:sz w:val="16"/>
          <w:szCs w:val="16"/>
        </w:rPr>
        <w:instrText xml:space="preserve"> ADDIN ZOTERO_ITEM CSL_CITATION {"citationID":"l9dgKa1K","properties":{"custom":"Milne et al. (2017)","formattedCitation":"Milne et al. (2017)","plainCitation":"Milne et al. (2017)","noteIndex":0},"citationItems":[{"id":15751,"uris":["http://zotero.org/users/148142/items/XF4YYKQV"],"uri":["http://zotero.org/users/148142/items/XF4YYKQV"],"itemData":{"id":15751,"type":"report","event-place":"Wellington, New Zealand","publisher":"National Institute of Water &amp; Atmospheric Research Ltd","publisher-place":"Wellington, New Zealand","title":"Recreational water quality monitoring and reporting in New Zealand:  A discussion paper for Regional and Unitary Councils. NIWA Science and Technology Series Report No. 82.","URL":"https://niwa.co.nz/sites/niwa.co.nz/files/FWWQ1720-2017-82-Recreational-Water-Quality-Monitoring-Reporting-V2-May-2018.pdf","author":[{"family":"Milne","given":"J.R."},{"family":"Madarasz-Smith","given":"A"},{"family":"Davies","given":"T"}],"issued":{"date-parts":[["2017"]]}}}],"schema":"https://github.com/citation-style-language/schema/raw/master/csl-citation.json"} </w:instrText>
      </w:r>
      <w:r w:rsidR="00CE3D9A" w:rsidRPr="00DB34A4">
        <w:rPr>
          <w:rFonts w:asciiTheme="minorHAnsi" w:hAnsiTheme="minorHAnsi" w:cstheme="minorHAnsi"/>
          <w:noProof w:val="0"/>
          <w:sz w:val="16"/>
          <w:szCs w:val="16"/>
        </w:rPr>
        <w:fldChar w:fldCharType="separate"/>
      </w:r>
      <w:r w:rsidR="00CE3D9A" w:rsidRPr="00DB34A4">
        <w:rPr>
          <w:rFonts w:asciiTheme="minorHAnsi" w:hAnsiTheme="minorHAnsi" w:cstheme="minorHAnsi"/>
          <w:noProof w:val="0"/>
          <w:sz w:val="16"/>
          <w:szCs w:val="16"/>
        </w:rPr>
        <w:t>Milne et al. (2017)</w:t>
      </w:r>
      <w:r w:rsidR="00CE3D9A" w:rsidRPr="00DB34A4">
        <w:rPr>
          <w:rFonts w:asciiTheme="minorHAnsi" w:hAnsiTheme="minorHAnsi" w:cstheme="minorHAnsi"/>
          <w:noProof w:val="0"/>
          <w:sz w:val="16"/>
          <w:szCs w:val="16"/>
        </w:rPr>
        <w:fldChar w:fldCharType="end"/>
      </w:r>
      <w:r w:rsidR="00CE3D9A" w:rsidRPr="00DB34A4">
        <w:rPr>
          <w:rFonts w:asciiTheme="minorHAnsi" w:hAnsiTheme="minorHAnsi" w:cstheme="minorHAnsi"/>
          <w:noProof w:val="0"/>
          <w:sz w:val="16"/>
          <w:szCs w:val="16"/>
        </w:rPr>
        <w:t xml:space="preserve">, G8: </w:t>
      </w:r>
      <w:r w:rsidR="00CE3D9A" w:rsidRPr="00DB34A4">
        <w:rPr>
          <w:rFonts w:asciiTheme="minorHAnsi" w:hAnsiTheme="minorHAnsi" w:cstheme="minorHAnsi"/>
          <w:noProof w:val="0"/>
          <w:sz w:val="16"/>
          <w:szCs w:val="16"/>
        </w:rPr>
        <w:fldChar w:fldCharType="begin"/>
      </w:r>
      <w:r w:rsidR="00CE3D9A" w:rsidRPr="00DB34A4">
        <w:rPr>
          <w:rFonts w:asciiTheme="minorHAnsi" w:hAnsiTheme="minorHAnsi" w:cstheme="minorHAnsi"/>
          <w:noProof w:val="0"/>
          <w:sz w:val="16"/>
          <w:szCs w:val="16"/>
        </w:rPr>
        <w:instrText xml:space="preserve"> ADDIN ZOTERO_ITEM CSL_CITATION {"citationID":"rDu64nI3","properties":{"custom":"NHMRC (2008)","formattedCitation":"NHMRC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00CE3D9A" w:rsidRPr="00DB34A4">
        <w:rPr>
          <w:rFonts w:asciiTheme="minorHAnsi" w:hAnsiTheme="minorHAnsi" w:cstheme="minorHAnsi"/>
          <w:noProof w:val="0"/>
          <w:sz w:val="16"/>
          <w:szCs w:val="16"/>
        </w:rPr>
        <w:fldChar w:fldCharType="separate"/>
      </w:r>
      <w:r w:rsidR="00CE3D9A" w:rsidRPr="00DB34A4">
        <w:rPr>
          <w:rFonts w:asciiTheme="minorHAnsi" w:hAnsiTheme="minorHAnsi" w:cstheme="minorHAnsi"/>
          <w:noProof w:val="0"/>
          <w:sz w:val="16"/>
          <w:szCs w:val="16"/>
        </w:rPr>
        <w:t>NHMRC (2008)</w:t>
      </w:r>
      <w:r w:rsidR="00CE3D9A" w:rsidRPr="00DB34A4">
        <w:rPr>
          <w:rFonts w:asciiTheme="minorHAnsi" w:hAnsiTheme="minorHAnsi" w:cstheme="minorHAnsi"/>
          <w:noProof w:val="0"/>
          <w:sz w:val="16"/>
          <w:szCs w:val="16"/>
        </w:rPr>
        <w:fldChar w:fldCharType="end"/>
      </w:r>
      <w:r w:rsidR="00CE3D9A" w:rsidRPr="00DB34A4">
        <w:rPr>
          <w:rFonts w:asciiTheme="minorHAnsi" w:hAnsiTheme="minorHAnsi" w:cstheme="minorHAnsi"/>
          <w:noProof w:val="0"/>
          <w:sz w:val="16"/>
          <w:szCs w:val="16"/>
        </w:rPr>
        <w:t xml:space="preserve">, G9: </w:t>
      </w:r>
      <w:r w:rsidR="00CE3D9A" w:rsidRPr="00DB34A4">
        <w:rPr>
          <w:rFonts w:asciiTheme="minorHAnsi" w:hAnsiTheme="minorHAnsi" w:cstheme="minorHAnsi"/>
          <w:noProof w:val="0"/>
          <w:sz w:val="16"/>
          <w:szCs w:val="16"/>
        </w:rPr>
        <w:fldChar w:fldCharType="begin"/>
      </w:r>
      <w:r w:rsidR="00CE3D9A" w:rsidRPr="00DB34A4">
        <w:rPr>
          <w:rFonts w:asciiTheme="minorHAnsi" w:hAnsiTheme="minorHAnsi" w:cstheme="minorHAnsi"/>
          <w:noProof w:val="0"/>
          <w:sz w:val="16"/>
          <w:szCs w:val="16"/>
        </w:rPr>
        <w:instrText xml:space="preserve"> ADDIN ZOTERO_ITEM CSL_CITATION {"citationID":"vDuD73gx","properties":{"custom":"NRMMC et al. (2006)","formattedCitation":"NRMMC et al. (2006)","plainCitation":"NRMMC et al. (2006)","noteIndex":0},"citationItems":[{"id":1341,"uris":["http://zotero.org/users/148142/items/D8JRZKWD"],"uri":["http://zotero.org/users/148142/items/D8JRZKWD"],"itemData":{"id":1341,"type":"report","event-place":"Canberra, Australia","publisher":"Natural Resource Management Ministerial Council. Environment Protection and Heritage Council Australian Health Ministers’ Conference","publisher-place":"Canberra, Australia","title":"Australian Guidelines for Water Recycling: Managing Health and Environmental Risks (Phase 1)","URL":"https://www.nhmrc.gov.au/about-us/publications/australian-guidelines-water-recycling","author":[{"family":"NRMMC","given":""},{"family":"EPHC","given":""},{"family":"AHMC","given":""}],"issued":{"date-parts":[["2006"]]}}}],"schema":"https://github.com/citation-style-language/schema/raw/master/csl-citation.json"} </w:instrText>
      </w:r>
      <w:r w:rsidR="00CE3D9A" w:rsidRPr="00DB34A4">
        <w:rPr>
          <w:rFonts w:asciiTheme="minorHAnsi" w:hAnsiTheme="minorHAnsi" w:cstheme="minorHAnsi"/>
          <w:noProof w:val="0"/>
          <w:sz w:val="16"/>
          <w:szCs w:val="16"/>
        </w:rPr>
        <w:fldChar w:fldCharType="separate"/>
      </w:r>
      <w:r w:rsidR="00CE3D9A" w:rsidRPr="00DB34A4">
        <w:rPr>
          <w:rFonts w:asciiTheme="minorHAnsi" w:hAnsiTheme="minorHAnsi" w:cstheme="minorHAnsi"/>
          <w:noProof w:val="0"/>
          <w:sz w:val="16"/>
          <w:szCs w:val="16"/>
        </w:rPr>
        <w:t>NRMMC et al. (2006)</w:t>
      </w:r>
      <w:r w:rsidR="00CE3D9A" w:rsidRPr="00DB34A4">
        <w:rPr>
          <w:rFonts w:asciiTheme="minorHAnsi" w:hAnsiTheme="minorHAnsi" w:cstheme="minorHAnsi"/>
          <w:noProof w:val="0"/>
          <w:sz w:val="16"/>
          <w:szCs w:val="16"/>
        </w:rPr>
        <w:fldChar w:fldCharType="end"/>
      </w:r>
      <w:r w:rsidR="00CE3D9A" w:rsidRPr="00DB34A4">
        <w:rPr>
          <w:rFonts w:asciiTheme="minorHAnsi" w:hAnsiTheme="minorHAnsi" w:cstheme="minorHAnsi"/>
          <w:noProof w:val="0"/>
          <w:sz w:val="16"/>
          <w:szCs w:val="16"/>
        </w:rPr>
        <w:t xml:space="preserve">, G10: </w:t>
      </w:r>
      <w:r w:rsidR="00CE3D9A" w:rsidRPr="00DB34A4">
        <w:rPr>
          <w:rFonts w:asciiTheme="minorHAnsi" w:hAnsiTheme="minorHAnsi" w:cstheme="minorHAnsi"/>
          <w:noProof w:val="0"/>
          <w:sz w:val="16"/>
          <w:szCs w:val="16"/>
        </w:rPr>
        <w:fldChar w:fldCharType="begin"/>
      </w:r>
      <w:r w:rsidR="00CE3D9A" w:rsidRPr="00DB34A4">
        <w:rPr>
          <w:rFonts w:asciiTheme="minorHAnsi" w:hAnsiTheme="minorHAnsi" w:cstheme="minorHAnsi"/>
          <w:noProof w:val="0"/>
          <w:sz w:val="16"/>
          <w:szCs w:val="16"/>
        </w:rPr>
        <w:instrText xml:space="preserve"> ADDIN ZOTERO_ITEM CSL_CITATION {"citationID":"5QkUy6Mh","properties":{"custom":"NRMMC et al. (2008)","formattedCitation":"NRMMC et al. (2008)","plainCitation":"NRMMC et al. (2008)","noteIndex":0},"citationItems":[{"id":1344,"uris":["http://zotero.org/users/148142/items/HCCZKNFZ"],"uri":["http://zotero.org/users/148142/items/HCCZKNFZ"],"itemData":{"id":1344,"type":"report","event-place":"Canberra, Australia.","publisher":"Natural Resource Management Ministerial Council, Environmental Protection and Heritage Council and National Health and Medical Research Council","publisher-place":"Canberra, Australia.","title":"Australian Guidelines for Water Recycling (Phase 2): Augmentation of Drinking Water Supplies","author":[{"literal":"NRMMC"},{"literal":"EPHC"},{"literal":"NHMRC"}],"issued":{"date-parts":[["2008"]]}}}],"schema":"https://github.com/citation-style-language/schema/raw/master/csl-citation.json"} </w:instrText>
      </w:r>
      <w:r w:rsidR="00CE3D9A" w:rsidRPr="00DB34A4">
        <w:rPr>
          <w:rFonts w:asciiTheme="minorHAnsi" w:hAnsiTheme="minorHAnsi" w:cstheme="minorHAnsi"/>
          <w:noProof w:val="0"/>
          <w:sz w:val="16"/>
          <w:szCs w:val="16"/>
        </w:rPr>
        <w:fldChar w:fldCharType="separate"/>
      </w:r>
      <w:r w:rsidR="00CE3D9A" w:rsidRPr="00DB34A4">
        <w:rPr>
          <w:rFonts w:asciiTheme="minorHAnsi" w:hAnsiTheme="minorHAnsi" w:cstheme="minorHAnsi"/>
          <w:noProof w:val="0"/>
          <w:sz w:val="16"/>
          <w:szCs w:val="16"/>
        </w:rPr>
        <w:t>NRMMC et al. (2008)</w:t>
      </w:r>
      <w:r w:rsidR="00CE3D9A" w:rsidRPr="00DB34A4">
        <w:rPr>
          <w:rFonts w:asciiTheme="minorHAnsi" w:hAnsiTheme="minorHAnsi" w:cstheme="minorHAnsi"/>
          <w:noProof w:val="0"/>
          <w:sz w:val="16"/>
          <w:szCs w:val="16"/>
        </w:rPr>
        <w:fldChar w:fldCharType="end"/>
      </w:r>
      <w:r w:rsidR="00CE3D9A" w:rsidRPr="00DB34A4">
        <w:rPr>
          <w:rFonts w:asciiTheme="minorHAnsi" w:hAnsiTheme="minorHAnsi" w:cstheme="minorHAnsi"/>
          <w:noProof w:val="0"/>
          <w:sz w:val="16"/>
          <w:szCs w:val="16"/>
        </w:rPr>
        <w:t xml:space="preserve">, G11: </w:t>
      </w:r>
      <w:r w:rsidR="00CE3D9A" w:rsidRPr="00DB34A4">
        <w:rPr>
          <w:rFonts w:asciiTheme="minorHAnsi" w:hAnsiTheme="minorHAnsi" w:cstheme="minorHAnsi"/>
          <w:noProof w:val="0"/>
          <w:sz w:val="16"/>
          <w:szCs w:val="16"/>
        </w:rPr>
        <w:fldChar w:fldCharType="begin"/>
      </w:r>
      <w:r w:rsidR="00CE3D9A" w:rsidRPr="00DB34A4">
        <w:rPr>
          <w:rFonts w:asciiTheme="minorHAnsi" w:hAnsiTheme="minorHAnsi" w:cstheme="minorHAnsi"/>
          <w:noProof w:val="0"/>
          <w:sz w:val="16"/>
          <w:szCs w:val="16"/>
        </w:rPr>
        <w:instrText xml:space="preserve"> ADDIN ZOTERO_ITEM CSL_CITATION {"citationID":"wyHwJ1Pa","properties":{"custom":"NSW DPIE (2020)","formattedCitation":"NSW DPIE (2020)","plainCitation":"NSW DPIE (2020)","noteIndex":0},"citationItems":[{"id":16395,"uris":["http://zotero.org/users/148142/items/22QWBZGS"],"uri":["http://zotero.org/users/148142/items/22QWBZGS"],"itemData":{"id":16395,"type":"report","page":"88","title":"Protocol for Assessment and Management of Microbial Risks in Recreational Waters. NSW Department of Planning, Industry &amp; Environment","URL":"https://www.environment.nsw.gov.au/research-and-publications/publications-search/protocol-for-assessment-and-management-of-microbial-risks-in-recreational-waters.","author":[{"literal":"NSW DPIE"}],"issued":{"date-parts":[["2020"]]}}}],"schema":"https://github.com/citation-style-language/schema/raw/master/csl-citation.json"} </w:instrText>
      </w:r>
      <w:r w:rsidR="00CE3D9A" w:rsidRPr="00DB34A4">
        <w:rPr>
          <w:rFonts w:asciiTheme="minorHAnsi" w:hAnsiTheme="minorHAnsi" w:cstheme="minorHAnsi"/>
          <w:noProof w:val="0"/>
          <w:sz w:val="16"/>
          <w:szCs w:val="16"/>
        </w:rPr>
        <w:fldChar w:fldCharType="separate"/>
      </w:r>
      <w:r w:rsidR="00CE3D9A" w:rsidRPr="00DB34A4">
        <w:rPr>
          <w:rFonts w:asciiTheme="minorHAnsi" w:hAnsiTheme="minorHAnsi" w:cstheme="minorHAnsi"/>
          <w:noProof w:val="0"/>
          <w:sz w:val="16"/>
          <w:szCs w:val="16"/>
        </w:rPr>
        <w:t>NSW DPIE (2020)</w:t>
      </w:r>
      <w:r w:rsidR="00CE3D9A" w:rsidRPr="00DB34A4">
        <w:rPr>
          <w:rFonts w:asciiTheme="minorHAnsi" w:hAnsiTheme="minorHAnsi" w:cstheme="minorHAnsi"/>
          <w:noProof w:val="0"/>
          <w:sz w:val="16"/>
          <w:szCs w:val="16"/>
        </w:rPr>
        <w:fldChar w:fldCharType="end"/>
      </w:r>
      <w:r w:rsidR="00CE3D9A" w:rsidRPr="00DB34A4">
        <w:rPr>
          <w:rFonts w:asciiTheme="minorHAnsi" w:hAnsiTheme="minorHAnsi" w:cstheme="minorHAnsi"/>
          <w:noProof w:val="0"/>
          <w:sz w:val="16"/>
          <w:szCs w:val="16"/>
        </w:rPr>
        <w:t xml:space="preserve">, G12: </w:t>
      </w:r>
      <w:r w:rsidR="00CE3D9A" w:rsidRPr="00DB34A4">
        <w:rPr>
          <w:rFonts w:asciiTheme="minorHAnsi" w:hAnsiTheme="minorHAnsi" w:cstheme="minorHAnsi"/>
          <w:noProof w:val="0"/>
          <w:sz w:val="16"/>
          <w:szCs w:val="16"/>
        </w:rPr>
        <w:fldChar w:fldCharType="begin"/>
      </w:r>
      <w:r w:rsidR="00CE3D9A" w:rsidRPr="00DB34A4">
        <w:rPr>
          <w:rFonts w:asciiTheme="minorHAnsi" w:hAnsiTheme="minorHAnsi" w:cstheme="minorHAnsi"/>
          <w:noProof w:val="0"/>
          <w:sz w:val="16"/>
          <w:szCs w:val="16"/>
        </w:rPr>
        <w:instrText xml:space="preserve"> ADDIN ZOTERO_ITEM CSL_CITATION {"citationID":"50dxx9mY","properties":{"custom":"NZMoH (2018)","formattedCitation":"NZMoH (2018)","plainCitation":"NZMoH (2018)","noteIndex":0},"citationItems":[{"id":16327,"uris":["http://zotero.org/users/148142/items/92WX9SXY"],"uri":["http://zotero.org/users/148142/items/92WX9SXY"],"itemData":{"id":16327,"type":"book","ISBN":"978-1-988525-43-3","language":"en","note":"OCLC: 1042919706","source":"Open WorldCat","title":"Regional information for setting draft targets for swimmable lakes and rivers: a report on work underway to improve water quality in terms of effects on human health. New Zealand Ministry of Health","title-short":"Regional information for setting draft targets for swimmable lakes and rivers","URL":"https://www.mfe.govt.nz/publications/fresh-water/regional-information-setting-draft-targets-swimmable-lakes-and-rivers","author":[{"literal":"NZMoH"}],"accessed":{"date-parts":[["2020",12,15]]},"issued":{"date-parts":[["2018"]]}}}],"schema":"https://github.com/citation-style-language/schema/raw/master/csl-citation.json"} </w:instrText>
      </w:r>
      <w:r w:rsidR="00CE3D9A" w:rsidRPr="00DB34A4">
        <w:rPr>
          <w:rFonts w:asciiTheme="minorHAnsi" w:hAnsiTheme="minorHAnsi" w:cstheme="minorHAnsi"/>
          <w:noProof w:val="0"/>
          <w:sz w:val="16"/>
          <w:szCs w:val="16"/>
        </w:rPr>
        <w:fldChar w:fldCharType="separate"/>
      </w:r>
      <w:r w:rsidR="00CE3D9A" w:rsidRPr="00DB34A4">
        <w:rPr>
          <w:rFonts w:asciiTheme="minorHAnsi" w:hAnsiTheme="minorHAnsi" w:cstheme="minorHAnsi"/>
          <w:noProof w:val="0"/>
          <w:sz w:val="16"/>
          <w:szCs w:val="16"/>
        </w:rPr>
        <w:t>NZMoH (2018)</w:t>
      </w:r>
      <w:r w:rsidR="00CE3D9A" w:rsidRPr="00DB34A4">
        <w:rPr>
          <w:rFonts w:asciiTheme="minorHAnsi" w:hAnsiTheme="minorHAnsi" w:cstheme="minorHAnsi"/>
          <w:noProof w:val="0"/>
          <w:sz w:val="16"/>
          <w:szCs w:val="16"/>
        </w:rPr>
        <w:fldChar w:fldCharType="end"/>
      </w:r>
      <w:r w:rsidR="00CE3D9A" w:rsidRPr="00DB34A4">
        <w:rPr>
          <w:rFonts w:asciiTheme="minorHAnsi" w:hAnsiTheme="minorHAnsi" w:cstheme="minorHAnsi"/>
          <w:noProof w:val="0"/>
          <w:sz w:val="16"/>
          <w:szCs w:val="16"/>
        </w:rPr>
        <w:t xml:space="preserve">, G13: </w:t>
      </w:r>
      <w:r w:rsidR="00CE3D9A" w:rsidRPr="00DB34A4">
        <w:rPr>
          <w:rFonts w:asciiTheme="minorHAnsi" w:hAnsiTheme="minorHAnsi" w:cstheme="minorHAnsi"/>
          <w:noProof w:val="0"/>
          <w:sz w:val="16"/>
          <w:szCs w:val="16"/>
        </w:rPr>
        <w:fldChar w:fldCharType="begin"/>
      </w:r>
      <w:r w:rsidR="00CE3D9A" w:rsidRPr="00DB34A4">
        <w:rPr>
          <w:rFonts w:asciiTheme="minorHAnsi" w:hAnsiTheme="minorHAnsi" w:cstheme="minorHAnsi"/>
          <w:noProof w:val="0"/>
          <w:sz w:val="16"/>
          <w:szCs w:val="16"/>
        </w:rPr>
        <w:instrText xml:space="preserve"> ADDIN ZOTERO_ITEM CSL_CITATION {"citationID":"XSfWLN5H","properties":{"custom":"US EPA (2017)","formattedCitation":"US EPA (2017)","plainCitation":"US EPA (2017)","noteIndex":0},"citationItems":[{"id":15763,"uris":["http://zotero.org/users/148142/items/BR87QUJ3"],"uri":["http://zotero.org/users/148142/items/BR87QUJ3"],"itemData":{"id":15763,"type":"report","event-place":"Washington, DC, United States","number":"Office of Water 823-R-18-001","publisher":"US Environmental Protection Agency, Office of Water, Office of Science and Technology","publisher-place":"Washington, DC, United States","title":"2017 Five-Year Review of the 2012 Recreational Water Quality Criteria","URL":"https://www.epa.gov/sites/production/files/2018-05/documents/2017-5year-review-rwqc.pdf","author":[{"literal":"US EPA"}],"issued":{"date-parts":[["2017"]]}}}],"schema":"https://github.com/citation-style-language/schema/raw/master/csl-citation.json"} </w:instrText>
      </w:r>
      <w:r w:rsidR="00CE3D9A" w:rsidRPr="00DB34A4">
        <w:rPr>
          <w:rFonts w:asciiTheme="minorHAnsi" w:hAnsiTheme="minorHAnsi" w:cstheme="minorHAnsi"/>
          <w:noProof w:val="0"/>
          <w:sz w:val="16"/>
          <w:szCs w:val="16"/>
        </w:rPr>
        <w:fldChar w:fldCharType="separate"/>
      </w:r>
      <w:r w:rsidR="00CE3D9A" w:rsidRPr="00DB34A4">
        <w:rPr>
          <w:rFonts w:asciiTheme="minorHAnsi" w:hAnsiTheme="minorHAnsi" w:cstheme="minorHAnsi"/>
          <w:noProof w:val="0"/>
          <w:sz w:val="16"/>
          <w:szCs w:val="16"/>
        </w:rPr>
        <w:t>US EPA (2017)</w:t>
      </w:r>
      <w:r w:rsidR="00CE3D9A" w:rsidRPr="00DB34A4">
        <w:rPr>
          <w:rFonts w:asciiTheme="minorHAnsi" w:hAnsiTheme="minorHAnsi" w:cstheme="minorHAnsi"/>
          <w:noProof w:val="0"/>
          <w:sz w:val="16"/>
          <w:szCs w:val="16"/>
        </w:rPr>
        <w:fldChar w:fldCharType="end"/>
      </w:r>
      <w:r w:rsidR="00CE3D9A" w:rsidRPr="00DB34A4">
        <w:rPr>
          <w:rFonts w:asciiTheme="minorHAnsi" w:hAnsiTheme="minorHAnsi" w:cstheme="minorHAnsi"/>
          <w:noProof w:val="0"/>
          <w:sz w:val="16"/>
          <w:szCs w:val="16"/>
        </w:rPr>
        <w:t xml:space="preserve">, G14: </w:t>
      </w:r>
      <w:r w:rsidR="00CE3D9A" w:rsidRPr="00DB34A4">
        <w:rPr>
          <w:rFonts w:asciiTheme="minorHAnsi" w:hAnsiTheme="minorHAnsi" w:cstheme="minorHAnsi"/>
          <w:noProof w:val="0"/>
          <w:sz w:val="16"/>
          <w:szCs w:val="16"/>
        </w:rPr>
        <w:fldChar w:fldCharType="begin"/>
      </w:r>
      <w:r w:rsidR="00CE3D9A" w:rsidRPr="00DB34A4">
        <w:rPr>
          <w:rFonts w:asciiTheme="minorHAnsi" w:hAnsiTheme="minorHAnsi" w:cstheme="minorHAnsi"/>
          <w:noProof w:val="0"/>
          <w:sz w:val="16"/>
          <w:szCs w:val="16"/>
        </w:rPr>
        <w:instrText xml:space="preserve"> ADDIN ZOTERO_ITEM CSL_CITATION {"citationID":"CMMab7OR","properties":{"custom":"US EPA (2019)","formattedCitation":"US EPA (2019)","plainCitation":"US EPA (2019)","noteIndex":0},"citationItems":[{"id":10953,"uris":["http://zotero.org/users/148142/items/VFFW97QR"],"uri":["http://zotero.org/users/148142/items/VFFW97QR"],"itemData":{"id":10953,"type":"report","publisher":"U.S. Environmental Protection Agency (EPA)","title":"Update for Chapter 3 of the Exposure Factors Handbook: Ingestion of Water and Other Select Liquids. Exposure Factors Handbook: 2011 Edition. National Center for Environmental Assessment, Washington, DC; EPA/600/R-09/052F. Available from the National Technical Information Service, Springfield, VA, and online at http://www.epa.gov/ncea/efh.","URL":"https://www.epa.gov/sites/production/files/2019-02/documents/efh_-_chapter_3_update.pdf","author":[{"literal":"US EPA"}],"issued":{"date-parts":[["2019",2]]}}}],"schema":"https://github.com/citation-style-language/schema/raw/master/csl-citation.json"} </w:instrText>
      </w:r>
      <w:r w:rsidR="00CE3D9A" w:rsidRPr="00DB34A4">
        <w:rPr>
          <w:rFonts w:asciiTheme="minorHAnsi" w:hAnsiTheme="minorHAnsi" w:cstheme="minorHAnsi"/>
          <w:noProof w:val="0"/>
          <w:sz w:val="16"/>
          <w:szCs w:val="16"/>
        </w:rPr>
        <w:fldChar w:fldCharType="separate"/>
      </w:r>
      <w:r w:rsidR="00CE3D9A" w:rsidRPr="00DB34A4">
        <w:rPr>
          <w:rFonts w:asciiTheme="minorHAnsi" w:hAnsiTheme="minorHAnsi" w:cstheme="minorHAnsi"/>
          <w:noProof w:val="0"/>
          <w:sz w:val="16"/>
          <w:szCs w:val="16"/>
        </w:rPr>
        <w:t>US EPA (2019)</w:t>
      </w:r>
      <w:r w:rsidR="00CE3D9A" w:rsidRPr="00DB34A4">
        <w:rPr>
          <w:rFonts w:asciiTheme="minorHAnsi" w:hAnsiTheme="minorHAnsi" w:cstheme="minorHAnsi"/>
          <w:noProof w:val="0"/>
          <w:sz w:val="16"/>
          <w:szCs w:val="16"/>
        </w:rPr>
        <w:fldChar w:fldCharType="end"/>
      </w:r>
      <w:r w:rsidR="00CE3D9A" w:rsidRPr="00DB34A4">
        <w:rPr>
          <w:rFonts w:asciiTheme="minorHAnsi" w:hAnsiTheme="minorHAnsi" w:cstheme="minorHAnsi"/>
          <w:noProof w:val="0"/>
          <w:sz w:val="16"/>
          <w:szCs w:val="16"/>
        </w:rPr>
        <w:t xml:space="preserve">, G15: </w:t>
      </w:r>
      <w:r w:rsidR="00CE3D9A" w:rsidRPr="00DB34A4">
        <w:rPr>
          <w:rFonts w:asciiTheme="minorHAnsi" w:hAnsiTheme="minorHAnsi" w:cstheme="minorHAnsi"/>
          <w:noProof w:val="0"/>
          <w:sz w:val="16"/>
          <w:szCs w:val="16"/>
        </w:rPr>
        <w:fldChar w:fldCharType="begin"/>
      </w:r>
      <w:r w:rsidR="00CE3D9A" w:rsidRPr="00DB34A4">
        <w:rPr>
          <w:rFonts w:asciiTheme="minorHAnsi" w:hAnsiTheme="minorHAnsi" w:cstheme="minorHAnsi"/>
          <w:noProof w:val="0"/>
          <w:sz w:val="16"/>
          <w:szCs w:val="16"/>
        </w:rPr>
        <w:instrText xml:space="preserve"> ADDIN ZOTERO_ITEM CSL_CITATION {"citationID":"K2ezK4Fh","properties":{"custom":"Visby and Weller-Wong (2020)","formattedCitation":"Visby and Weller-Wong (2020)","plainCitation":"Visby and Weller-Wong (2020)","noteIndex":0},"citationItems":[{"id":15759,"uris":["http://zotero.org/users/148142/items/PXIVQKRS"],"uri":["http://zotero.org/users/148142/items/PXIVQKRS"],"itemData":{"id":15759,"type":"report","abstract":"The Derwent Estuary Program (DEP) is a regional partnership between local governments, the Tasmanian State Government, businesses, scientists, and community-based groups to restore and promote our estuary. The DEP was established in 1999 and has been nationally recognised for excellence in coordinating initiatives to reduce water pollution, conserve habitats and species, monitor river health and promote greater use and enjoyment of the foreshore.","event-place":"Tasmania","publisher":"Derwent Estuary Program","publisher-place":"Tasmania","title":"Derwent Estuary Recreational Water Quality Program. Annual Report 2019-20","URL":"https://www.derwentestuary.org.au/assets/2019-20_End_of_season_RWQ_report_2.pdf","author":[{"family":"Visby","given":"I"},{"family":"Weller-Wong","given":"A"}],"issued":{"date-parts":[["2020"]]}}}],"schema":"https://github.com/citation-style-language/schema/raw/master/csl-citation.json"} </w:instrText>
      </w:r>
      <w:r w:rsidR="00CE3D9A" w:rsidRPr="00DB34A4">
        <w:rPr>
          <w:rFonts w:asciiTheme="minorHAnsi" w:hAnsiTheme="minorHAnsi" w:cstheme="minorHAnsi"/>
          <w:noProof w:val="0"/>
          <w:sz w:val="16"/>
          <w:szCs w:val="16"/>
        </w:rPr>
        <w:fldChar w:fldCharType="separate"/>
      </w:r>
      <w:r w:rsidR="00CE3D9A" w:rsidRPr="00DB34A4">
        <w:rPr>
          <w:rFonts w:asciiTheme="minorHAnsi" w:hAnsiTheme="minorHAnsi" w:cstheme="minorHAnsi"/>
          <w:noProof w:val="0"/>
          <w:sz w:val="16"/>
          <w:szCs w:val="16"/>
        </w:rPr>
        <w:t>Visby and Weller-Wong (2020)</w:t>
      </w:r>
      <w:r w:rsidR="00CE3D9A" w:rsidRPr="00DB34A4">
        <w:rPr>
          <w:rFonts w:asciiTheme="minorHAnsi" w:hAnsiTheme="minorHAnsi" w:cstheme="minorHAnsi"/>
          <w:noProof w:val="0"/>
          <w:sz w:val="16"/>
          <w:szCs w:val="16"/>
        </w:rPr>
        <w:fldChar w:fldCharType="end"/>
      </w:r>
      <w:r w:rsidR="00CE3D9A" w:rsidRPr="00DB34A4">
        <w:rPr>
          <w:rFonts w:asciiTheme="minorHAnsi" w:hAnsiTheme="minorHAnsi" w:cstheme="minorHAnsi"/>
          <w:noProof w:val="0"/>
          <w:sz w:val="16"/>
          <w:szCs w:val="16"/>
        </w:rPr>
        <w:t xml:space="preserve">, G16: </w:t>
      </w:r>
      <w:r w:rsidR="00CE3D9A" w:rsidRPr="00DB34A4">
        <w:rPr>
          <w:rFonts w:asciiTheme="minorHAnsi" w:hAnsiTheme="minorHAnsi" w:cstheme="minorHAnsi"/>
          <w:noProof w:val="0"/>
          <w:sz w:val="16"/>
          <w:szCs w:val="16"/>
        </w:rPr>
        <w:fldChar w:fldCharType="begin"/>
      </w:r>
      <w:r w:rsidR="00CE3D9A" w:rsidRPr="00DB34A4">
        <w:rPr>
          <w:rFonts w:asciiTheme="minorHAnsi" w:hAnsiTheme="minorHAnsi" w:cstheme="minorHAnsi"/>
          <w:noProof w:val="0"/>
          <w:sz w:val="16"/>
          <w:szCs w:val="16"/>
        </w:rPr>
        <w:instrText xml:space="preserve"> ADDIN ZOTERO_ITEM CSL_CITATION {"citationID":"EDcWjwrQ","properties":{"custom":"WHO (2018b)","formattedCitation":"WHO (2018b)","plainCitation":"WHO (2018b)","noteIndex":0},"citationItems":[{"id":16342,"uris":["http://zotero.org/users/148142/items/FAQ5QAH6"],"uri":["http://zotero.org/users/148142/items/FAQ5QAH6"],"itemData":{"id":16342,"type":"report","publisher":"World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schema":"https://github.com/citation-style-language/schema/raw/master/csl-citation.json"} </w:instrText>
      </w:r>
      <w:r w:rsidR="00CE3D9A" w:rsidRPr="00DB34A4">
        <w:rPr>
          <w:rFonts w:asciiTheme="minorHAnsi" w:hAnsiTheme="minorHAnsi" w:cstheme="minorHAnsi"/>
          <w:noProof w:val="0"/>
          <w:sz w:val="16"/>
          <w:szCs w:val="16"/>
        </w:rPr>
        <w:fldChar w:fldCharType="separate"/>
      </w:r>
      <w:r w:rsidR="00CE3D9A" w:rsidRPr="00DB34A4">
        <w:rPr>
          <w:rFonts w:asciiTheme="minorHAnsi" w:hAnsiTheme="minorHAnsi" w:cstheme="minorHAnsi"/>
          <w:noProof w:val="0"/>
          <w:sz w:val="16"/>
          <w:szCs w:val="16"/>
        </w:rPr>
        <w:t>WHO (2018)</w:t>
      </w:r>
      <w:r w:rsidR="00CE3D9A" w:rsidRPr="00DB34A4">
        <w:rPr>
          <w:rFonts w:asciiTheme="minorHAnsi" w:hAnsiTheme="minorHAnsi" w:cstheme="minorHAnsi"/>
          <w:noProof w:val="0"/>
          <w:sz w:val="16"/>
          <w:szCs w:val="16"/>
        </w:rPr>
        <w:fldChar w:fldCharType="end"/>
      </w:r>
    </w:p>
    <w:p w14:paraId="07DD369F" w14:textId="77777777" w:rsidR="00823F91" w:rsidRPr="00397A3E" w:rsidRDefault="00823F91" w:rsidP="00823F91">
      <w:pPr>
        <w:rPr>
          <w:noProof w:val="0"/>
        </w:rPr>
      </w:pPr>
    </w:p>
    <w:p w14:paraId="55C1E4D8" w14:textId="77777777" w:rsidR="00136181" w:rsidRDefault="00136181" w:rsidP="00D95B6A">
      <w:pPr>
        <w:pStyle w:val="Heading2"/>
        <w:rPr>
          <w:noProof w:val="0"/>
        </w:rPr>
        <w:sectPr w:rsidR="00136181" w:rsidSect="00DB34A4">
          <w:headerReference w:type="default" r:id="rId23"/>
          <w:headerReference w:type="first" r:id="rId24"/>
          <w:footerReference w:type="first" r:id="rId25"/>
          <w:pgSz w:w="16838" w:h="11906" w:orient="landscape"/>
          <w:pgMar w:top="1588" w:right="1588" w:bottom="1418" w:left="1418" w:header="680" w:footer="709" w:gutter="0"/>
          <w:cols w:space="708"/>
          <w:docGrid w:linePitch="360"/>
        </w:sectPr>
      </w:pPr>
      <w:bookmarkStart w:id="329" w:name="_Ref71819937"/>
    </w:p>
    <w:p w14:paraId="4C852CA8" w14:textId="0F0F371C" w:rsidR="00823F91" w:rsidRPr="00397A3E" w:rsidRDefault="00171C91" w:rsidP="00D95B6A">
      <w:pPr>
        <w:pStyle w:val="Heading2"/>
        <w:rPr>
          <w:noProof w:val="0"/>
        </w:rPr>
      </w:pPr>
      <w:bookmarkStart w:id="330" w:name="_Toc106964828"/>
      <w:r w:rsidRPr="00397A3E">
        <w:rPr>
          <w:noProof w:val="0"/>
        </w:rPr>
        <w:t xml:space="preserve">Primary </w:t>
      </w:r>
      <w:r w:rsidR="00E02706" w:rsidRPr="00397A3E">
        <w:rPr>
          <w:noProof w:val="0"/>
        </w:rPr>
        <w:t>s</w:t>
      </w:r>
      <w:r w:rsidRPr="00397A3E">
        <w:rPr>
          <w:noProof w:val="0"/>
        </w:rPr>
        <w:t>tudies</w:t>
      </w:r>
      <w:bookmarkEnd w:id="329"/>
      <w:bookmarkEnd w:id="330"/>
    </w:p>
    <w:p w14:paraId="2C0EFA08" w14:textId="3E6700E5" w:rsidR="00823F91" w:rsidRPr="00397A3E" w:rsidRDefault="00171C91" w:rsidP="00823F91">
      <w:pPr>
        <w:pStyle w:val="Heading3"/>
        <w:rPr>
          <w:noProof w:val="0"/>
        </w:rPr>
      </w:pPr>
      <w:bookmarkStart w:id="331" w:name="_Toc106964829"/>
      <w:r w:rsidRPr="00397A3E">
        <w:rPr>
          <w:noProof w:val="0"/>
        </w:rPr>
        <w:t>Quality of included studies</w:t>
      </w:r>
      <w:bookmarkEnd w:id="331"/>
    </w:p>
    <w:p w14:paraId="40038168" w14:textId="5CAD85DE" w:rsidR="00047670" w:rsidRPr="00397A3E" w:rsidRDefault="00171C91" w:rsidP="00823F91">
      <w:pPr>
        <w:rPr>
          <w:noProof w:val="0"/>
        </w:rPr>
      </w:pPr>
      <w:r w:rsidRPr="00397A3E">
        <w:rPr>
          <w:noProof w:val="0"/>
        </w:rPr>
        <w:t>Forty-two</w:t>
      </w:r>
      <w:r w:rsidR="00EF72A4" w:rsidRPr="00397A3E">
        <w:rPr>
          <w:noProof w:val="0"/>
        </w:rPr>
        <w:t xml:space="preserve"> </w:t>
      </w:r>
      <w:r w:rsidR="00AC1476">
        <w:rPr>
          <w:noProof w:val="0"/>
        </w:rPr>
        <w:t xml:space="preserve">primary </w:t>
      </w:r>
      <w:r w:rsidR="00EF72A4" w:rsidRPr="00397A3E">
        <w:rPr>
          <w:noProof w:val="0"/>
        </w:rPr>
        <w:t>studies remained after screening and were further assessed for eligibility through a risk</w:t>
      </w:r>
      <w:r w:rsidR="0011078F" w:rsidRPr="00397A3E">
        <w:rPr>
          <w:noProof w:val="0"/>
        </w:rPr>
        <w:t xml:space="preserve"> </w:t>
      </w:r>
      <w:r w:rsidR="00EF72A4" w:rsidRPr="00397A3E">
        <w:rPr>
          <w:noProof w:val="0"/>
        </w:rPr>
        <w:t>of</w:t>
      </w:r>
      <w:r w:rsidR="0011078F" w:rsidRPr="00397A3E">
        <w:rPr>
          <w:noProof w:val="0"/>
        </w:rPr>
        <w:t xml:space="preserve"> </w:t>
      </w:r>
      <w:r w:rsidR="00EF72A4" w:rsidRPr="00397A3E">
        <w:rPr>
          <w:noProof w:val="0"/>
        </w:rPr>
        <w:t xml:space="preserve">bias assessment.  </w:t>
      </w:r>
      <w:r w:rsidRPr="00397A3E">
        <w:rPr>
          <w:noProof w:val="0"/>
        </w:rPr>
        <w:t xml:space="preserve">Classifying the 42 studies by type (see </w:t>
      </w:r>
      <w:r w:rsidR="005101BB" w:rsidRPr="00397A3E">
        <w:rPr>
          <w:noProof w:val="0"/>
        </w:rPr>
        <w:t xml:space="preserve">section </w:t>
      </w:r>
      <w:r w:rsidR="005101BB" w:rsidRPr="00397A3E">
        <w:rPr>
          <w:noProof w:val="0"/>
        </w:rPr>
        <w:fldChar w:fldCharType="begin"/>
      </w:r>
      <w:r w:rsidR="005101BB" w:rsidRPr="00397A3E">
        <w:rPr>
          <w:noProof w:val="0"/>
        </w:rPr>
        <w:instrText xml:space="preserve"> REF _Ref91237485 \r \h </w:instrText>
      </w:r>
      <w:r w:rsidR="005101BB" w:rsidRPr="00397A3E">
        <w:rPr>
          <w:noProof w:val="0"/>
        </w:rPr>
      </w:r>
      <w:r w:rsidR="005101BB" w:rsidRPr="00397A3E">
        <w:rPr>
          <w:noProof w:val="0"/>
        </w:rPr>
        <w:fldChar w:fldCharType="separate"/>
      </w:r>
      <w:r w:rsidR="001A0E9F">
        <w:rPr>
          <w:noProof w:val="0"/>
        </w:rPr>
        <w:t>2.5.1.2</w:t>
      </w:r>
      <w:r w:rsidR="005101BB" w:rsidRPr="00397A3E">
        <w:rPr>
          <w:noProof w:val="0"/>
        </w:rPr>
        <w:fldChar w:fldCharType="end"/>
      </w:r>
      <w:r w:rsidRPr="00397A3E">
        <w:rPr>
          <w:noProof w:val="0"/>
        </w:rPr>
        <w:t>) gave the following breakdown:</w:t>
      </w:r>
    </w:p>
    <w:p w14:paraId="1AD817B1" w14:textId="0F5894CF" w:rsidR="00047670" w:rsidRPr="00397A3E" w:rsidRDefault="00171C91" w:rsidP="00764500">
      <w:pPr>
        <w:pStyle w:val="ListParagraph"/>
        <w:numPr>
          <w:ilvl w:val="0"/>
          <w:numId w:val="21"/>
        </w:numPr>
        <w:ind w:left="714" w:hanging="357"/>
        <w:contextualSpacing/>
        <w:rPr>
          <w:noProof w:val="0"/>
          <w:lang w:val="en-AU"/>
        </w:rPr>
      </w:pPr>
      <w:r w:rsidRPr="00397A3E">
        <w:rPr>
          <w:noProof w:val="0"/>
          <w:lang w:val="en-AU"/>
        </w:rPr>
        <w:t>Qualitative Research = 33</w:t>
      </w:r>
    </w:p>
    <w:p w14:paraId="069FCD9F" w14:textId="0BF712BD" w:rsidR="00047670" w:rsidRPr="00397A3E" w:rsidRDefault="00171C91" w:rsidP="00764500">
      <w:pPr>
        <w:pStyle w:val="ListParagraph"/>
        <w:numPr>
          <w:ilvl w:val="0"/>
          <w:numId w:val="21"/>
        </w:numPr>
        <w:ind w:left="714" w:hanging="357"/>
        <w:contextualSpacing/>
        <w:rPr>
          <w:noProof w:val="0"/>
          <w:lang w:val="en-AU"/>
        </w:rPr>
      </w:pPr>
      <w:r w:rsidRPr="00397A3E">
        <w:rPr>
          <w:noProof w:val="0"/>
          <w:lang w:val="en-AU"/>
        </w:rPr>
        <w:t xml:space="preserve">Cohort </w:t>
      </w:r>
      <w:r w:rsidR="005101BB" w:rsidRPr="00397A3E">
        <w:rPr>
          <w:noProof w:val="0"/>
          <w:lang w:val="en-AU"/>
        </w:rPr>
        <w:t>S</w:t>
      </w:r>
      <w:r w:rsidRPr="00397A3E">
        <w:rPr>
          <w:noProof w:val="0"/>
          <w:lang w:val="en-AU"/>
        </w:rPr>
        <w:t>tudy = 4</w:t>
      </w:r>
    </w:p>
    <w:p w14:paraId="55212775" w14:textId="3FF44674" w:rsidR="00047670" w:rsidRPr="00397A3E" w:rsidRDefault="00171C91" w:rsidP="00764500">
      <w:pPr>
        <w:pStyle w:val="ListParagraph"/>
        <w:numPr>
          <w:ilvl w:val="0"/>
          <w:numId w:val="21"/>
        </w:numPr>
        <w:ind w:left="714" w:hanging="357"/>
        <w:contextualSpacing/>
        <w:rPr>
          <w:noProof w:val="0"/>
          <w:lang w:val="en-AU"/>
        </w:rPr>
      </w:pPr>
      <w:r w:rsidRPr="00397A3E">
        <w:rPr>
          <w:noProof w:val="0"/>
          <w:lang w:val="en-AU"/>
        </w:rPr>
        <w:t>Systematic Review = 5</w:t>
      </w:r>
    </w:p>
    <w:p w14:paraId="193FAF9A" w14:textId="79214C01" w:rsidR="005101BB" w:rsidRPr="00397A3E" w:rsidRDefault="00171C91" w:rsidP="005101BB">
      <w:pPr>
        <w:contextualSpacing/>
        <w:rPr>
          <w:noProof w:val="0"/>
        </w:rPr>
      </w:pPr>
      <w:r w:rsidRPr="00397A3E">
        <w:rPr>
          <w:noProof w:val="0"/>
        </w:rPr>
        <w:t>Eligibility assessment summaries for each study type are described below.</w:t>
      </w:r>
      <w:r w:rsidR="00D71931" w:rsidRPr="00397A3E">
        <w:rPr>
          <w:noProof w:val="0"/>
        </w:rPr>
        <w:t xml:space="preserve"> The full quality assessment results including justifications of all assessment decisions are given in Sections 6 and 7.2 of the associated Technical Report </w:t>
      </w:r>
      <w:r w:rsidR="00D71931" w:rsidRPr="00397A3E">
        <w:rPr>
          <w:noProof w:val="0"/>
        </w:rPr>
        <w:fldChar w:fldCharType="begin"/>
      </w:r>
      <w:r w:rsidR="00F65EDC">
        <w:rPr>
          <w:noProof w:val="0"/>
        </w:rPr>
        <w:instrText xml:space="preserve"> ADDIN ZOTERO_ITEM CSL_CITATION {"citationID":"F5eFXD9d","properties":{"formattedCitation":"(O\\uc0\\u8217{}Connor, 2022)","plainCitation":"(O’Connor, 2022)","noteIndex":0},"citationItems":[{"id":17799,"uris":["http://zotero.org/users/148142/items/2LMPM2CQ"],"uri":["http://zotero.org/users/148142/items/2LMPM2CQ"],"itemData":{"id":17799,"type":"report","title":"Technical Report for Narrative Reviews in support of NHMRC Recreational Water Quality Guidelines: Microbial Risks. DRAFT. Ecos Environmental Consulting, February 2022","author":[{"family":"O'Connor","given":"N.A."}],"issued":{"date-parts":[["2022",2]]}}}],"schema":"https://github.com/citation-style-language/schema/raw/master/csl-citation.json"} </w:instrText>
      </w:r>
      <w:r w:rsidR="00D71931" w:rsidRPr="00397A3E">
        <w:rPr>
          <w:noProof w:val="0"/>
        </w:rPr>
        <w:fldChar w:fldCharType="separate"/>
      </w:r>
      <w:r w:rsidR="00F65EDC" w:rsidRPr="00F65EDC">
        <w:rPr>
          <w:rFonts w:cs="Arial"/>
        </w:rPr>
        <w:t>(O’Connor, 2022)</w:t>
      </w:r>
      <w:r w:rsidR="00D71931" w:rsidRPr="00397A3E">
        <w:rPr>
          <w:noProof w:val="0"/>
        </w:rPr>
        <w:fldChar w:fldCharType="end"/>
      </w:r>
    </w:p>
    <w:p w14:paraId="17F580AE" w14:textId="0E2DB106" w:rsidR="005101BB" w:rsidRPr="00397A3E" w:rsidRDefault="00171C91" w:rsidP="005101BB">
      <w:pPr>
        <w:pStyle w:val="Heading4"/>
        <w:rPr>
          <w:noProof w:val="0"/>
          <w:color w:val="auto"/>
        </w:rPr>
      </w:pPr>
      <w:bookmarkStart w:id="332" w:name="_Toc106964830"/>
      <w:r w:rsidRPr="00397A3E">
        <w:rPr>
          <w:noProof w:val="0"/>
          <w:color w:val="auto"/>
        </w:rPr>
        <w:t>Qualitative Research Studies</w:t>
      </w:r>
      <w:bookmarkEnd w:id="332"/>
    </w:p>
    <w:p w14:paraId="4C1B5EB5" w14:textId="09F5AD20" w:rsidR="006B5FAB" w:rsidRPr="00397A3E" w:rsidRDefault="00171C91" w:rsidP="00823F91">
      <w:pPr>
        <w:rPr>
          <w:noProof w:val="0"/>
        </w:rPr>
      </w:pPr>
      <w:r w:rsidRPr="00397A3E">
        <w:rPr>
          <w:noProof w:val="0"/>
        </w:rPr>
        <w:t xml:space="preserve">Of the 33 Qualitative Research studies, 22 were classified </w:t>
      </w:r>
      <w:r w:rsidR="00F16B7F" w:rsidRPr="00397A3E">
        <w:rPr>
          <w:noProof w:val="0"/>
        </w:rPr>
        <w:t xml:space="preserve">overall </w:t>
      </w:r>
      <w:r w:rsidRPr="00397A3E">
        <w:rPr>
          <w:noProof w:val="0"/>
        </w:rPr>
        <w:t>as having either a probable or</w:t>
      </w:r>
      <w:r w:rsidR="00781798">
        <w:rPr>
          <w:noProof w:val="0"/>
        </w:rPr>
        <w:t xml:space="preserve"> definite</w:t>
      </w:r>
      <w:r w:rsidR="006007A0">
        <w:rPr>
          <w:noProof w:val="0"/>
        </w:rPr>
        <w:t>ly</w:t>
      </w:r>
      <w:r w:rsidRPr="00397A3E">
        <w:rPr>
          <w:noProof w:val="0"/>
        </w:rPr>
        <w:t xml:space="preserve"> high risk of bias (</w:t>
      </w:r>
      <w:r w:rsidRPr="00397A3E">
        <w:rPr>
          <w:noProof w:val="0"/>
        </w:rPr>
        <w:fldChar w:fldCharType="begin"/>
      </w:r>
      <w:r w:rsidRPr="00397A3E">
        <w:rPr>
          <w:noProof w:val="0"/>
        </w:rPr>
        <w:instrText xml:space="preserve"> REF _Ref71820151 \h </w:instrText>
      </w:r>
      <w:r w:rsidRPr="00397A3E">
        <w:rPr>
          <w:noProof w:val="0"/>
        </w:rPr>
      </w:r>
      <w:r w:rsidRPr="00397A3E">
        <w:rPr>
          <w:noProof w:val="0"/>
        </w:rPr>
        <w:fldChar w:fldCharType="separate"/>
      </w:r>
      <w:r w:rsidR="001A0E9F" w:rsidRPr="00397A3E">
        <w:rPr>
          <w:noProof w:val="0"/>
        </w:rPr>
        <w:t xml:space="preserve">Table </w:t>
      </w:r>
      <w:r w:rsidR="001A0E9F">
        <w:t>4</w:t>
      </w:r>
      <w:r w:rsidR="001A0E9F">
        <w:rPr>
          <w:noProof w:val="0"/>
        </w:rPr>
        <w:noBreakHyphen/>
      </w:r>
      <w:r w:rsidR="001A0E9F">
        <w:t>2</w:t>
      </w:r>
      <w:r w:rsidRPr="00397A3E">
        <w:rPr>
          <w:noProof w:val="0"/>
        </w:rPr>
        <w:fldChar w:fldCharType="end"/>
      </w:r>
      <w:r w:rsidRPr="00397A3E">
        <w:rPr>
          <w:noProof w:val="0"/>
        </w:rPr>
        <w:t>)</w:t>
      </w:r>
      <w:r w:rsidR="00F16B7F" w:rsidRPr="00397A3E">
        <w:rPr>
          <w:noProof w:val="0"/>
        </w:rPr>
        <w:t xml:space="preserve">.  These studies were excluded from further consideration. Of the remaining 11 studies, </w:t>
      </w:r>
      <w:r w:rsidR="00CA530A">
        <w:rPr>
          <w:noProof w:val="0"/>
        </w:rPr>
        <w:t>one</w:t>
      </w:r>
      <w:r w:rsidR="00CA530A" w:rsidRPr="00397A3E">
        <w:rPr>
          <w:noProof w:val="0"/>
        </w:rPr>
        <w:t xml:space="preserve"> </w:t>
      </w:r>
      <w:r w:rsidR="00F16B7F" w:rsidRPr="00397A3E">
        <w:rPr>
          <w:noProof w:val="0"/>
        </w:rPr>
        <w:t xml:space="preserve">study </w:t>
      </w:r>
      <w:r w:rsidR="005D7C59" w:rsidRPr="00397A3E">
        <w:rPr>
          <w:noProof w:val="0"/>
        </w:rPr>
        <w:fldChar w:fldCharType="begin"/>
      </w:r>
      <w:r w:rsidR="005D7C59" w:rsidRPr="00397A3E">
        <w:rPr>
          <w:noProof w:val="0"/>
        </w:rPr>
        <w:instrText xml:space="preserve"> ADDIN ZOTERO_ITEM CSL_CITATION {"citationID":"yV9IZP7B","properties":{"formattedCitation":"(Schoen, Boehm, et al., 2020)","plainCitation":"(Schoen, Boehm, et al., 2020)","noteIndex":0},"citationItems":[{"id":13550,"uris":["http://zotero.org/users/148142/items/YHHTP6FN"],"uri":["http://zotero.org/users/148142/items/YHHTP6FN"],"itemData":{"id":13550,"type":"article-journal","abstract":"Fecal pollution at beaches can pose a health risk to recreators. Quantitative Microbial Risk Assessment (QMRA) is a tool to evaluate the use of candidate fecal indicators to signify health risk from enteric pathogens in sewage-impacted waters. We extend the QMRA approach to model mixtures of sewage at different ages using genetic marker concentrations for human-associated crAssphage, Bacteroides spp., and polyomavirus in sewage samples from 49 wastewater facilities across the contiguous United States. Risk-based threshold (RBT) estimates varied across different mixture and sewage age scenarios. Fresh sewage RBT estimates were not always protective when aged sewage was present and aged sewage RBT estimates often fell below the marker lower limit of quantification. Conservative RBT estimates of 9.3×102 and 9.1×103 (copies/100 mL) for HF183/BacR287 and CPQ_056, respectively, were predicted when fresh sewage was greater (by volume) than aged at the time of measurement. Conversely, genetic markers may not be effective indicators when aged sewage contributes the majority of pathogens, relative to fresh contamination, but minimal marker levels. Results highlight the utility of QMRA that incorporates pollutant age and mixture scenarios, the potential advantages of a crAssphage fecal indicator, and the potential influence of site-specific factors on estimating RBT values.","container-title":"Environmental Science &amp; Technology","DOI":"10.1021/acs.est.0c02189","ISSN":"1520-5851","journalAbbreviation":"Environ. Sci. Technol.","language":"eng","source":"PubMed","title":"Contamination scenario matters when using viral and bacterial human-associated genetic markers as indicators of health risk in untreated sewage-impacted recreational waters","URL":"http://www.ncbi.nlm.nih.gov/pubmed/32969642","author":[{"family":"Schoen","given":"Mary E."},{"family":"Boehm","given":"Alexandria B."},{"family":"Soller","given":"Jeffrey"},{"family":"Shanks","given":"Orin C."}],"issued":{"date-parts":[["2020",9,24]]}}}],"schema":"https://github.com/citation-style-language/schema/raw/master/csl-citation.json"} </w:instrText>
      </w:r>
      <w:r w:rsidR="005D7C59" w:rsidRPr="00397A3E">
        <w:rPr>
          <w:noProof w:val="0"/>
        </w:rPr>
        <w:fldChar w:fldCharType="separate"/>
      </w:r>
      <w:r w:rsidR="005D7C59" w:rsidRPr="00397A3E">
        <w:rPr>
          <w:rFonts w:cs="Arial"/>
          <w:noProof w:val="0"/>
        </w:rPr>
        <w:t>(Schoen, Boehm, et al., 2020)</w:t>
      </w:r>
      <w:r w:rsidR="005D7C59" w:rsidRPr="00397A3E">
        <w:rPr>
          <w:noProof w:val="0"/>
        </w:rPr>
        <w:fldChar w:fldCharType="end"/>
      </w:r>
      <w:r w:rsidR="005D7C59" w:rsidRPr="00397A3E">
        <w:rPr>
          <w:noProof w:val="0"/>
        </w:rPr>
        <w:t xml:space="preserve"> </w:t>
      </w:r>
      <w:r w:rsidR="00F16B7F" w:rsidRPr="00397A3E">
        <w:rPr>
          <w:noProof w:val="0"/>
        </w:rPr>
        <w:t xml:space="preserve">was classified as having a definitely low risk of bias and the remaining 10 </w:t>
      </w:r>
      <w:r w:rsidR="006007A0">
        <w:rPr>
          <w:noProof w:val="0"/>
        </w:rPr>
        <w:t xml:space="preserve">were found to </w:t>
      </w:r>
      <w:r w:rsidR="00F16B7F" w:rsidRPr="00397A3E">
        <w:rPr>
          <w:noProof w:val="0"/>
        </w:rPr>
        <w:t xml:space="preserve">have a probable low risk of bias.  </w:t>
      </w:r>
      <w:r w:rsidR="005D7C59" w:rsidRPr="00397A3E">
        <w:rPr>
          <w:noProof w:val="0"/>
        </w:rPr>
        <w:t xml:space="preserve">The study by Schoen, Boehm, et al. was </w:t>
      </w:r>
      <w:r w:rsidR="001E7A58" w:rsidRPr="00397A3E">
        <w:rPr>
          <w:noProof w:val="0"/>
        </w:rPr>
        <w:t xml:space="preserve">a </w:t>
      </w:r>
      <w:r w:rsidR="0087793F" w:rsidRPr="00397A3E">
        <w:rPr>
          <w:noProof w:val="0"/>
        </w:rPr>
        <w:t>high-quality</w:t>
      </w:r>
      <w:r w:rsidR="005D7C59" w:rsidRPr="00397A3E">
        <w:rPr>
          <w:noProof w:val="0"/>
        </w:rPr>
        <w:t xml:space="preserve"> study by a research team with extensive experience in </w:t>
      </w:r>
      <w:r w:rsidR="001E7A58" w:rsidRPr="00397A3E">
        <w:rPr>
          <w:noProof w:val="0"/>
        </w:rPr>
        <w:t>microbiological risk assessment and recreational water quality.</w:t>
      </w:r>
    </w:p>
    <w:p w14:paraId="7ED5E460" w14:textId="17C6CE0A" w:rsidR="00FD0F38" w:rsidRPr="00397A3E" w:rsidRDefault="00FD0F38" w:rsidP="00823F91">
      <w:pPr>
        <w:rPr>
          <w:noProof w:val="0"/>
          <w:color w:val="365F91" w:themeColor="accent1" w:themeShade="BF"/>
        </w:rPr>
        <w:sectPr w:rsidR="00FD0F38" w:rsidRPr="00397A3E" w:rsidSect="00CE6913">
          <w:headerReference w:type="default" r:id="rId26"/>
          <w:footerReference w:type="default" r:id="rId27"/>
          <w:headerReference w:type="first" r:id="rId28"/>
          <w:footerReference w:type="first" r:id="rId29"/>
          <w:pgSz w:w="11906" w:h="16838"/>
          <w:pgMar w:top="1588" w:right="1418" w:bottom="1418" w:left="2835" w:header="680" w:footer="709" w:gutter="0"/>
          <w:cols w:space="708"/>
          <w:docGrid w:linePitch="360"/>
        </w:sectPr>
      </w:pPr>
    </w:p>
    <w:p w14:paraId="47FA1A37" w14:textId="43B3277D" w:rsidR="00823F91" w:rsidRPr="00397A3E" w:rsidRDefault="00171C91" w:rsidP="00615D62">
      <w:pPr>
        <w:pStyle w:val="Caption"/>
        <w:keepNext/>
        <w:ind w:left="-567"/>
        <w:rPr>
          <w:noProof w:val="0"/>
        </w:rPr>
      </w:pPr>
      <w:bookmarkStart w:id="333" w:name="_Ref71820151"/>
      <w:bookmarkStart w:id="334" w:name="_Toc106964863"/>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4</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2</w:t>
      </w:r>
      <w:r w:rsidR="00F178D7">
        <w:rPr>
          <w:noProof w:val="0"/>
        </w:rPr>
        <w:fldChar w:fldCharType="end"/>
      </w:r>
      <w:bookmarkEnd w:id="333"/>
      <w:r w:rsidRPr="00397A3E">
        <w:rPr>
          <w:noProof w:val="0"/>
        </w:rPr>
        <w:t xml:space="preserve">.  </w:t>
      </w:r>
      <w:r w:rsidR="00A40245" w:rsidRPr="00397A3E">
        <w:rPr>
          <w:noProof w:val="0"/>
        </w:rPr>
        <w:t xml:space="preserve">Primary </w:t>
      </w:r>
      <w:r w:rsidR="00D95421">
        <w:rPr>
          <w:noProof w:val="0"/>
        </w:rPr>
        <w:t>s</w:t>
      </w:r>
      <w:r w:rsidR="00A40245" w:rsidRPr="00397A3E">
        <w:rPr>
          <w:noProof w:val="0"/>
        </w:rPr>
        <w:t xml:space="preserve">tudies [Qualitative </w:t>
      </w:r>
      <w:r w:rsidR="004473C5">
        <w:rPr>
          <w:noProof w:val="0"/>
        </w:rPr>
        <w:t>r</w:t>
      </w:r>
      <w:r w:rsidR="00A40245" w:rsidRPr="00397A3E">
        <w:rPr>
          <w:noProof w:val="0"/>
        </w:rPr>
        <w:t xml:space="preserve">esearch] </w:t>
      </w:r>
      <w:r w:rsidR="00EF72A4" w:rsidRPr="00397A3E">
        <w:rPr>
          <w:noProof w:val="0"/>
        </w:rPr>
        <w:t>o</w:t>
      </w:r>
      <w:r w:rsidRPr="00397A3E">
        <w:rPr>
          <w:noProof w:val="0"/>
        </w:rPr>
        <w:t>verall risk of bias (body of evidence) (protocol adapted from</w:t>
      </w:r>
      <w:r w:rsidR="006B2439" w:rsidRPr="00397A3E">
        <w:rPr>
          <w:noProof w:val="0"/>
        </w:rPr>
        <w:t xml:space="preserve"> </w:t>
      </w:r>
      <w:r w:rsidR="004473C5">
        <w:rPr>
          <w:noProof w:val="0"/>
        </w:rPr>
        <w:t xml:space="preserve">the </w:t>
      </w:r>
      <w:r w:rsidR="004315D5">
        <w:rPr>
          <w:noProof w:val="0"/>
        </w:rPr>
        <w:t>CASP</w:t>
      </w:r>
      <w:r w:rsidR="004473C5">
        <w:rPr>
          <w:noProof w:val="0"/>
        </w:rPr>
        <w:t xml:space="preserve"> </w:t>
      </w:r>
      <w:r w:rsidR="00BB3ABB">
        <w:rPr>
          <w:noProof w:val="0"/>
        </w:rPr>
        <w:t>appraisal t</w:t>
      </w:r>
      <w:r w:rsidR="003B6754">
        <w:rPr>
          <w:noProof w:val="0"/>
        </w:rPr>
        <w:t>ool [Oxford CVTH, 2020]</w:t>
      </w:r>
      <w:r w:rsidR="004315D5">
        <w:rPr>
          <w:noProof w:val="0"/>
        </w:rPr>
        <w:t xml:space="preserve"> </w:t>
      </w:r>
      <w:r w:rsidR="006B2439">
        <w:rPr>
          <w:noProof w:val="0"/>
        </w:rPr>
        <w:t>and</w:t>
      </w:r>
      <w:r w:rsidR="00BB3ABB">
        <w:rPr>
          <w:noProof w:val="0"/>
        </w:rPr>
        <w:t xml:space="preserve"> the</w:t>
      </w:r>
      <w:r w:rsidR="006B2439">
        <w:rPr>
          <w:noProof w:val="0"/>
        </w:rPr>
        <w:t xml:space="preserve"> </w:t>
      </w:r>
      <w:r w:rsidRPr="00397A3E">
        <w:rPr>
          <w:noProof w:val="0"/>
        </w:rPr>
        <w:t xml:space="preserve">OHAT </w:t>
      </w:r>
      <w:r w:rsidR="00EB360F">
        <w:rPr>
          <w:noProof w:val="0"/>
        </w:rPr>
        <w:t>Risk-of-</w:t>
      </w:r>
      <w:r w:rsidR="00BB3ABB">
        <w:rPr>
          <w:noProof w:val="0"/>
        </w:rPr>
        <w:t xml:space="preserve">Bias </w:t>
      </w:r>
      <w:r w:rsidR="009E0977">
        <w:rPr>
          <w:noProof w:val="0"/>
        </w:rPr>
        <w:t xml:space="preserve">ratings system </w:t>
      </w:r>
      <w:r w:rsidR="007B300B">
        <w:rPr>
          <w:noProof w:val="0"/>
        </w:rPr>
        <w:t>[OHAT, 2015]</w:t>
      </w:r>
      <w:r w:rsidRPr="00397A3E">
        <w:rPr>
          <w:noProof w:val="0"/>
        </w:rPr>
        <w:fldChar w:fldCharType="begin"/>
      </w:r>
      <w:r w:rsidRPr="00397A3E">
        <w:rPr>
          <w:noProof w:val="0"/>
        </w:rPr>
        <w:instrText xml:space="preserve"> ADDIN ZOTERO_ITEM CSL_CITATION {"citationID":"AXKsSRlD","properties":{"custom":"OHAT, 2019)","formattedCitation":"OHAT, 2019)","plainCitation":"OHAT, 2019)","noteIndex":0},"citationItems":[{"id":11791,"uris":["http://zotero.org/users/148142/items/QNVMZ3M2"],"uri":["http://zotero.org/users/148142/items/QNVMZ3M2"],"itemData":{"id":11791,"type":"report","page":"101","publisher":"Office of Health Assessment and Translation (OHAT), US Department of Health and Human Services","title":"Handbook for Conducting a Literature-Based Health Assessment Using OHAT Approach for Systematic Review and Evidence Integration","URL":"https://ntp.niehs.nih.gov/go/ohathandbook","author":[{"literal":"OHAT"}],"issued":{"date-parts":[["2019",3,4]]}}}],"schema":"https://github.com/citation-style-language/schema/raw/master/csl-citation.json"} </w:instrText>
      </w:r>
      <w:r w:rsidRPr="00397A3E">
        <w:rPr>
          <w:noProof w:val="0"/>
        </w:rPr>
        <w:fldChar w:fldCharType="separate"/>
      </w:r>
      <w:r w:rsidR="00A643B8" w:rsidRPr="00A643B8">
        <w:rPr>
          <w:rFonts w:cs="Arial"/>
        </w:rPr>
        <w:t>OHAT, 2019)</w:t>
      </w:r>
      <w:r w:rsidRPr="00397A3E">
        <w:rPr>
          <w:noProof w:val="0"/>
        </w:rPr>
        <w:fldChar w:fldCharType="end"/>
      </w:r>
      <w:r w:rsidRPr="00397A3E">
        <w:rPr>
          <w:noProof w:val="0"/>
        </w:rPr>
        <w:t>.</w:t>
      </w:r>
      <w:r w:rsidR="00206FD7" w:rsidRPr="00397A3E">
        <w:rPr>
          <w:noProof w:val="0"/>
        </w:rPr>
        <w:t xml:space="preserve">  Study authors and titles are listed on the following page.</w:t>
      </w:r>
      <w:bookmarkEnd w:id="334"/>
    </w:p>
    <w:tbl>
      <w:tblPr>
        <w:tblW w:w="15280" w:type="dxa"/>
        <w:tblInd w:w="-567" w:type="dxa"/>
        <w:tblLook w:val="04A0" w:firstRow="1" w:lastRow="0" w:firstColumn="1" w:lastColumn="0" w:noHBand="0" w:noVBand="1"/>
      </w:tblPr>
      <w:tblGrid>
        <w:gridCol w:w="695"/>
        <w:gridCol w:w="460"/>
        <w:gridCol w:w="460"/>
        <w:gridCol w:w="460"/>
        <w:gridCol w:w="460"/>
        <w:gridCol w:w="460"/>
        <w:gridCol w:w="460"/>
        <w:gridCol w:w="460"/>
        <w:gridCol w:w="460"/>
        <w:gridCol w:w="460"/>
        <w:gridCol w:w="460"/>
        <w:gridCol w:w="460"/>
        <w:gridCol w:w="460"/>
        <w:gridCol w:w="460"/>
        <w:gridCol w:w="460"/>
        <w:gridCol w:w="460"/>
        <w:gridCol w:w="460"/>
        <w:gridCol w:w="460"/>
        <w:gridCol w:w="460"/>
        <w:gridCol w:w="460"/>
        <w:gridCol w:w="460"/>
        <w:gridCol w:w="460"/>
        <w:gridCol w:w="460"/>
        <w:gridCol w:w="460"/>
        <w:gridCol w:w="460"/>
        <w:gridCol w:w="460"/>
        <w:gridCol w:w="460"/>
        <w:gridCol w:w="460"/>
        <w:gridCol w:w="460"/>
        <w:gridCol w:w="460"/>
        <w:gridCol w:w="460"/>
        <w:gridCol w:w="460"/>
        <w:gridCol w:w="460"/>
      </w:tblGrid>
      <w:tr w:rsidR="00785848" w14:paraId="4328122C" w14:textId="77777777" w:rsidTr="002E63E7">
        <w:tc>
          <w:tcPr>
            <w:tcW w:w="560"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1FDAA2FB"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 </w:t>
            </w:r>
          </w:p>
        </w:tc>
        <w:tc>
          <w:tcPr>
            <w:tcW w:w="14720" w:type="dxa"/>
            <w:gridSpan w:val="32"/>
            <w:tcBorders>
              <w:top w:val="single" w:sz="8" w:space="0" w:color="B5DDDC"/>
              <w:left w:val="nil"/>
              <w:bottom w:val="single" w:sz="8" w:space="0" w:color="B5DDDC"/>
              <w:right w:val="single" w:sz="8" w:space="0" w:color="B5DDDC"/>
            </w:tcBorders>
            <w:shd w:val="clear" w:color="000000" w:fill="B5DDDC"/>
            <w:noWrap/>
            <w:vAlign w:val="center"/>
            <w:hideMark/>
          </w:tcPr>
          <w:p w14:paraId="21AB494F"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Study ID</w:t>
            </w:r>
          </w:p>
        </w:tc>
      </w:tr>
      <w:tr w:rsidR="00785848" w14:paraId="2AB6CBAF" w14:textId="77777777" w:rsidTr="002E63E7">
        <w:tc>
          <w:tcPr>
            <w:tcW w:w="560" w:type="dxa"/>
            <w:tcBorders>
              <w:top w:val="nil"/>
              <w:left w:val="single" w:sz="8" w:space="0" w:color="B5DDDC"/>
              <w:bottom w:val="single" w:sz="8" w:space="0" w:color="B5DDDC"/>
              <w:right w:val="single" w:sz="8" w:space="0" w:color="B5DDDC"/>
            </w:tcBorders>
            <w:shd w:val="clear" w:color="000000" w:fill="B5DDDC"/>
            <w:vAlign w:val="center"/>
            <w:hideMark/>
          </w:tcPr>
          <w:p w14:paraId="734DFDD8"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 xml:space="preserve">Q. </w:t>
            </w:r>
          </w:p>
        </w:tc>
        <w:tc>
          <w:tcPr>
            <w:tcW w:w="460" w:type="dxa"/>
            <w:tcBorders>
              <w:top w:val="nil"/>
              <w:left w:val="nil"/>
              <w:bottom w:val="single" w:sz="8" w:space="0" w:color="B5DDDC"/>
              <w:right w:val="single" w:sz="8" w:space="0" w:color="B5DDDC"/>
            </w:tcBorders>
            <w:shd w:val="clear" w:color="000000" w:fill="B5DDDC"/>
            <w:vAlign w:val="center"/>
            <w:hideMark/>
          </w:tcPr>
          <w:p w14:paraId="12103BD6"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J2</w:t>
            </w:r>
          </w:p>
        </w:tc>
        <w:tc>
          <w:tcPr>
            <w:tcW w:w="460" w:type="dxa"/>
            <w:tcBorders>
              <w:top w:val="nil"/>
              <w:left w:val="nil"/>
              <w:bottom w:val="single" w:sz="8" w:space="0" w:color="B5DDDC"/>
              <w:right w:val="single" w:sz="8" w:space="0" w:color="B5DDDC"/>
            </w:tcBorders>
            <w:shd w:val="clear" w:color="000000" w:fill="B5DDDC"/>
            <w:vAlign w:val="center"/>
            <w:hideMark/>
          </w:tcPr>
          <w:p w14:paraId="13D437AB"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J3</w:t>
            </w:r>
          </w:p>
        </w:tc>
        <w:tc>
          <w:tcPr>
            <w:tcW w:w="460" w:type="dxa"/>
            <w:tcBorders>
              <w:top w:val="nil"/>
              <w:left w:val="nil"/>
              <w:bottom w:val="single" w:sz="8" w:space="0" w:color="B5DDDC"/>
              <w:right w:val="single" w:sz="8" w:space="0" w:color="B5DDDC"/>
            </w:tcBorders>
            <w:shd w:val="clear" w:color="000000" w:fill="B5DDDC"/>
            <w:vAlign w:val="center"/>
            <w:hideMark/>
          </w:tcPr>
          <w:p w14:paraId="4F685411"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J4</w:t>
            </w:r>
          </w:p>
        </w:tc>
        <w:tc>
          <w:tcPr>
            <w:tcW w:w="460" w:type="dxa"/>
            <w:tcBorders>
              <w:top w:val="nil"/>
              <w:left w:val="nil"/>
              <w:bottom w:val="single" w:sz="8" w:space="0" w:color="B5DDDC"/>
              <w:right w:val="single" w:sz="8" w:space="0" w:color="B5DDDC"/>
            </w:tcBorders>
            <w:shd w:val="clear" w:color="000000" w:fill="B5DDDC"/>
            <w:vAlign w:val="center"/>
            <w:hideMark/>
          </w:tcPr>
          <w:p w14:paraId="706DEBCF"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J5</w:t>
            </w:r>
          </w:p>
        </w:tc>
        <w:tc>
          <w:tcPr>
            <w:tcW w:w="460" w:type="dxa"/>
            <w:tcBorders>
              <w:top w:val="nil"/>
              <w:left w:val="nil"/>
              <w:bottom w:val="single" w:sz="8" w:space="0" w:color="B5DDDC"/>
              <w:right w:val="single" w:sz="8" w:space="0" w:color="B5DDDC"/>
            </w:tcBorders>
            <w:shd w:val="clear" w:color="000000" w:fill="B5DDDC"/>
            <w:vAlign w:val="center"/>
            <w:hideMark/>
          </w:tcPr>
          <w:p w14:paraId="43FC6A05"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J7</w:t>
            </w:r>
          </w:p>
        </w:tc>
        <w:tc>
          <w:tcPr>
            <w:tcW w:w="460" w:type="dxa"/>
            <w:tcBorders>
              <w:top w:val="nil"/>
              <w:left w:val="nil"/>
              <w:bottom w:val="single" w:sz="8" w:space="0" w:color="B5DDDC"/>
              <w:right w:val="single" w:sz="8" w:space="0" w:color="B5DDDC"/>
            </w:tcBorders>
            <w:shd w:val="clear" w:color="000000" w:fill="B5DDDC"/>
            <w:vAlign w:val="center"/>
            <w:hideMark/>
          </w:tcPr>
          <w:p w14:paraId="457C2B8A"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J9</w:t>
            </w:r>
          </w:p>
        </w:tc>
        <w:tc>
          <w:tcPr>
            <w:tcW w:w="460" w:type="dxa"/>
            <w:tcBorders>
              <w:top w:val="nil"/>
              <w:left w:val="nil"/>
              <w:bottom w:val="single" w:sz="8" w:space="0" w:color="B5DDDC"/>
              <w:right w:val="single" w:sz="8" w:space="0" w:color="B5DDDC"/>
            </w:tcBorders>
            <w:shd w:val="clear" w:color="000000" w:fill="B5DDDC"/>
            <w:vAlign w:val="center"/>
            <w:hideMark/>
          </w:tcPr>
          <w:p w14:paraId="479F3249"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J10</w:t>
            </w:r>
          </w:p>
        </w:tc>
        <w:tc>
          <w:tcPr>
            <w:tcW w:w="460" w:type="dxa"/>
            <w:tcBorders>
              <w:top w:val="nil"/>
              <w:left w:val="nil"/>
              <w:bottom w:val="single" w:sz="8" w:space="0" w:color="B5DDDC"/>
              <w:right w:val="single" w:sz="8" w:space="0" w:color="B5DDDC"/>
            </w:tcBorders>
            <w:shd w:val="clear" w:color="000000" w:fill="B5DDDC"/>
            <w:vAlign w:val="center"/>
            <w:hideMark/>
          </w:tcPr>
          <w:p w14:paraId="4158FC9A"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J11</w:t>
            </w:r>
          </w:p>
        </w:tc>
        <w:tc>
          <w:tcPr>
            <w:tcW w:w="460" w:type="dxa"/>
            <w:tcBorders>
              <w:top w:val="nil"/>
              <w:left w:val="nil"/>
              <w:bottom w:val="single" w:sz="8" w:space="0" w:color="B5DDDC"/>
              <w:right w:val="single" w:sz="8" w:space="0" w:color="B5DDDC"/>
            </w:tcBorders>
            <w:shd w:val="clear" w:color="000000" w:fill="B5DDDC"/>
            <w:vAlign w:val="center"/>
            <w:hideMark/>
          </w:tcPr>
          <w:p w14:paraId="0DDF70DF"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J12</w:t>
            </w:r>
          </w:p>
        </w:tc>
        <w:tc>
          <w:tcPr>
            <w:tcW w:w="460" w:type="dxa"/>
            <w:tcBorders>
              <w:top w:val="nil"/>
              <w:left w:val="nil"/>
              <w:bottom w:val="single" w:sz="8" w:space="0" w:color="B5DDDC"/>
              <w:right w:val="single" w:sz="8" w:space="0" w:color="B5DDDC"/>
            </w:tcBorders>
            <w:shd w:val="clear" w:color="000000" w:fill="B5DDDC"/>
            <w:vAlign w:val="center"/>
            <w:hideMark/>
          </w:tcPr>
          <w:p w14:paraId="4FF9D515"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J13</w:t>
            </w:r>
          </w:p>
        </w:tc>
        <w:tc>
          <w:tcPr>
            <w:tcW w:w="460" w:type="dxa"/>
            <w:tcBorders>
              <w:top w:val="nil"/>
              <w:left w:val="nil"/>
              <w:bottom w:val="single" w:sz="8" w:space="0" w:color="B5DDDC"/>
              <w:right w:val="single" w:sz="8" w:space="0" w:color="B5DDDC"/>
            </w:tcBorders>
            <w:shd w:val="clear" w:color="000000" w:fill="B5DDDC"/>
            <w:vAlign w:val="center"/>
            <w:hideMark/>
          </w:tcPr>
          <w:p w14:paraId="3E7057B4"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J15</w:t>
            </w:r>
          </w:p>
        </w:tc>
        <w:tc>
          <w:tcPr>
            <w:tcW w:w="460" w:type="dxa"/>
            <w:tcBorders>
              <w:top w:val="nil"/>
              <w:left w:val="nil"/>
              <w:bottom w:val="single" w:sz="8" w:space="0" w:color="B5DDDC"/>
              <w:right w:val="single" w:sz="8" w:space="0" w:color="B5DDDC"/>
            </w:tcBorders>
            <w:shd w:val="clear" w:color="000000" w:fill="B5DDDC"/>
            <w:vAlign w:val="center"/>
            <w:hideMark/>
          </w:tcPr>
          <w:p w14:paraId="76E15C65"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J16</w:t>
            </w:r>
          </w:p>
        </w:tc>
        <w:tc>
          <w:tcPr>
            <w:tcW w:w="460" w:type="dxa"/>
            <w:tcBorders>
              <w:top w:val="nil"/>
              <w:left w:val="nil"/>
              <w:bottom w:val="single" w:sz="8" w:space="0" w:color="B5DDDC"/>
              <w:right w:val="single" w:sz="8" w:space="0" w:color="B5DDDC"/>
            </w:tcBorders>
            <w:shd w:val="clear" w:color="000000" w:fill="B5DDDC"/>
            <w:vAlign w:val="center"/>
            <w:hideMark/>
          </w:tcPr>
          <w:p w14:paraId="3EA27DE3"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J17</w:t>
            </w:r>
          </w:p>
        </w:tc>
        <w:tc>
          <w:tcPr>
            <w:tcW w:w="460" w:type="dxa"/>
            <w:tcBorders>
              <w:top w:val="nil"/>
              <w:left w:val="nil"/>
              <w:bottom w:val="single" w:sz="8" w:space="0" w:color="B5DDDC"/>
              <w:right w:val="single" w:sz="8" w:space="0" w:color="B5DDDC"/>
            </w:tcBorders>
            <w:shd w:val="clear" w:color="000000" w:fill="B5DDDC"/>
            <w:vAlign w:val="center"/>
            <w:hideMark/>
          </w:tcPr>
          <w:p w14:paraId="7AC43638"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J18</w:t>
            </w:r>
          </w:p>
        </w:tc>
        <w:tc>
          <w:tcPr>
            <w:tcW w:w="460" w:type="dxa"/>
            <w:tcBorders>
              <w:top w:val="nil"/>
              <w:left w:val="nil"/>
              <w:bottom w:val="single" w:sz="8" w:space="0" w:color="B5DDDC"/>
              <w:right w:val="single" w:sz="8" w:space="0" w:color="B5DDDC"/>
            </w:tcBorders>
            <w:shd w:val="clear" w:color="000000" w:fill="B5DDDC"/>
            <w:vAlign w:val="center"/>
            <w:hideMark/>
          </w:tcPr>
          <w:p w14:paraId="5460EA7E"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J19</w:t>
            </w:r>
          </w:p>
        </w:tc>
        <w:tc>
          <w:tcPr>
            <w:tcW w:w="460" w:type="dxa"/>
            <w:tcBorders>
              <w:top w:val="nil"/>
              <w:left w:val="nil"/>
              <w:bottom w:val="single" w:sz="8" w:space="0" w:color="B5DDDC"/>
              <w:right w:val="single" w:sz="8" w:space="0" w:color="B5DDDC"/>
            </w:tcBorders>
            <w:shd w:val="clear" w:color="000000" w:fill="B5DDDC"/>
            <w:vAlign w:val="center"/>
            <w:hideMark/>
          </w:tcPr>
          <w:p w14:paraId="2510D032"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J20</w:t>
            </w:r>
          </w:p>
        </w:tc>
        <w:tc>
          <w:tcPr>
            <w:tcW w:w="460" w:type="dxa"/>
            <w:tcBorders>
              <w:top w:val="nil"/>
              <w:left w:val="nil"/>
              <w:bottom w:val="single" w:sz="8" w:space="0" w:color="B5DDDC"/>
              <w:right w:val="single" w:sz="8" w:space="0" w:color="B5DDDC"/>
            </w:tcBorders>
            <w:shd w:val="clear" w:color="000000" w:fill="B5DDDC"/>
            <w:vAlign w:val="center"/>
            <w:hideMark/>
          </w:tcPr>
          <w:p w14:paraId="110FE1A3"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J21</w:t>
            </w:r>
          </w:p>
        </w:tc>
        <w:tc>
          <w:tcPr>
            <w:tcW w:w="460" w:type="dxa"/>
            <w:tcBorders>
              <w:top w:val="nil"/>
              <w:left w:val="nil"/>
              <w:bottom w:val="single" w:sz="8" w:space="0" w:color="B5DDDC"/>
              <w:right w:val="single" w:sz="8" w:space="0" w:color="B5DDDC"/>
            </w:tcBorders>
            <w:shd w:val="clear" w:color="000000" w:fill="B5DDDC"/>
            <w:vAlign w:val="center"/>
            <w:hideMark/>
          </w:tcPr>
          <w:p w14:paraId="294FEB08"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J23</w:t>
            </w:r>
          </w:p>
        </w:tc>
        <w:tc>
          <w:tcPr>
            <w:tcW w:w="460" w:type="dxa"/>
            <w:tcBorders>
              <w:top w:val="nil"/>
              <w:left w:val="nil"/>
              <w:bottom w:val="single" w:sz="8" w:space="0" w:color="B5DDDC"/>
              <w:right w:val="single" w:sz="8" w:space="0" w:color="B5DDDC"/>
            </w:tcBorders>
            <w:shd w:val="clear" w:color="000000" w:fill="B5DDDC"/>
            <w:vAlign w:val="center"/>
            <w:hideMark/>
          </w:tcPr>
          <w:p w14:paraId="79F849F3"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J24</w:t>
            </w:r>
          </w:p>
        </w:tc>
        <w:tc>
          <w:tcPr>
            <w:tcW w:w="460" w:type="dxa"/>
            <w:tcBorders>
              <w:top w:val="nil"/>
              <w:left w:val="nil"/>
              <w:bottom w:val="single" w:sz="8" w:space="0" w:color="B5DDDC"/>
              <w:right w:val="single" w:sz="8" w:space="0" w:color="B5DDDC"/>
            </w:tcBorders>
            <w:shd w:val="clear" w:color="000000" w:fill="B5DDDC"/>
            <w:vAlign w:val="center"/>
            <w:hideMark/>
          </w:tcPr>
          <w:p w14:paraId="4539EA62"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J25</w:t>
            </w:r>
          </w:p>
        </w:tc>
        <w:tc>
          <w:tcPr>
            <w:tcW w:w="460" w:type="dxa"/>
            <w:tcBorders>
              <w:top w:val="nil"/>
              <w:left w:val="nil"/>
              <w:bottom w:val="single" w:sz="8" w:space="0" w:color="B5DDDC"/>
              <w:right w:val="single" w:sz="8" w:space="0" w:color="B5DDDC"/>
            </w:tcBorders>
            <w:shd w:val="clear" w:color="000000" w:fill="B5DDDC"/>
            <w:vAlign w:val="center"/>
            <w:hideMark/>
          </w:tcPr>
          <w:p w14:paraId="59E19C39"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J28</w:t>
            </w:r>
          </w:p>
        </w:tc>
        <w:tc>
          <w:tcPr>
            <w:tcW w:w="460" w:type="dxa"/>
            <w:tcBorders>
              <w:top w:val="nil"/>
              <w:left w:val="nil"/>
              <w:bottom w:val="single" w:sz="8" w:space="0" w:color="B5DDDC"/>
              <w:right w:val="single" w:sz="8" w:space="0" w:color="B5DDDC"/>
            </w:tcBorders>
            <w:shd w:val="clear" w:color="000000" w:fill="B5DDDC"/>
            <w:vAlign w:val="center"/>
            <w:hideMark/>
          </w:tcPr>
          <w:p w14:paraId="3F3322C1"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J30</w:t>
            </w:r>
          </w:p>
        </w:tc>
        <w:tc>
          <w:tcPr>
            <w:tcW w:w="460" w:type="dxa"/>
            <w:tcBorders>
              <w:top w:val="nil"/>
              <w:left w:val="nil"/>
              <w:bottom w:val="single" w:sz="8" w:space="0" w:color="B5DDDC"/>
              <w:right w:val="single" w:sz="8" w:space="0" w:color="B5DDDC"/>
            </w:tcBorders>
            <w:shd w:val="clear" w:color="000000" w:fill="B5DDDC"/>
            <w:vAlign w:val="center"/>
            <w:hideMark/>
          </w:tcPr>
          <w:p w14:paraId="27C91D1B"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J32</w:t>
            </w:r>
          </w:p>
        </w:tc>
        <w:tc>
          <w:tcPr>
            <w:tcW w:w="460" w:type="dxa"/>
            <w:tcBorders>
              <w:top w:val="nil"/>
              <w:left w:val="nil"/>
              <w:bottom w:val="single" w:sz="8" w:space="0" w:color="B5DDDC"/>
              <w:right w:val="single" w:sz="8" w:space="0" w:color="B5DDDC"/>
            </w:tcBorders>
            <w:shd w:val="clear" w:color="000000" w:fill="B5DDDC"/>
            <w:vAlign w:val="center"/>
            <w:hideMark/>
          </w:tcPr>
          <w:p w14:paraId="696E6A3A"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J33</w:t>
            </w:r>
          </w:p>
        </w:tc>
        <w:tc>
          <w:tcPr>
            <w:tcW w:w="460" w:type="dxa"/>
            <w:tcBorders>
              <w:top w:val="nil"/>
              <w:left w:val="nil"/>
              <w:bottom w:val="single" w:sz="8" w:space="0" w:color="B5DDDC"/>
              <w:right w:val="single" w:sz="8" w:space="0" w:color="B5DDDC"/>
            </w:tcBorders>
            <w:shd w:val="clear" w:color="000000" w:fill="B5DDDC"/>
            <w:vAlign w:val="center"/>
            <w:hideMark/>
          </w:tcPr>
          <w:p w14:paraId="4BEE0F9B"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J35</w:t>
            </w:r>
          </w:p>
        </w:tc>
        <w:tc>
          <w:tcPr>
            <w:tcW w:w="460" w:type="dxa"/>
            <w:tcBorders>
              <w:top w:val="nil"/>
              <w:left w:val="nil"/>
              <w:bottom w:val="single" w:sz="8" w:space="0" w:color="B5DDDC"/>
              <w:right w:val="single" w:sz="8" w:space="0" w:color="B5DDDC"/>
            </w:tcBorders>
            <w:shd w:val="clear" w:color="000000" w:fill="B5DDDC"/>
            <w:vAlign w:val="center"/>
            <w:hideMark/>
          </w:tcPr>
          <w:p w14:paraId="06D993AA"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J36</w:t>
            </w:r>
          </w:p>
        </w:tc>
        <w:tc>
          <w:tcPr>
            <w:tcW w:w="460" w:type="dxa"/>
            <w:tcBorders>
              <w:top w:val="nil"/>
              <w:left w:val="nil"/>
              <w:bottom w:val="single" w:sz="8" w:space="0" w:color="B5DDDC"/>
              <w:right w:val="single" w:sz="8" w:space="0" w:color="B5DDDC"/>
            </w:tcBorders>
            <w:shd w:val="clear" w:color="000000" w:fill="B5DDDC"/>
            <w:vAlign w:val="center"/>
            <w:hideMark/>
          </w:tcPr>
          <w:p w14:paraId="640298E1"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J37</w:t>
            </w:r>
          </w:p>
        </w:tc>
        <w:tc>
          <w:tcPr>
            <w:tcW w:w="460" w:type="dxa"/>
            <w:tcBorders>
              <w:top w:val="nil"/>
              <w:left w:val="nil"/>
              <w:bottom w:val="single" w:sz="8" w:space="0" w:color="B5DDDC"/>
              <w:right w:val="single" w:sz="8" w:space="0" w:color="B5DDDC"/>
            </w:tcBorders>
            <w:shd w:val="clear" w:color="000000" w:fill="B5DDDC"/>
            <w:vAlign w:val="center"/>
            <w:hideMark/>
          </w:tcPr>
          <w:p w14:paraId="52AFCB73"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J38</w:t>
            </w:r>
          </w:p>
        </w:tc>
        <w:tc>
          <w:tcPr>
            <w:tcW w:w="460" w:type="dxa"/>
            <w:tcBorders>
              <w:top w:val="nil"/>
              <w:left w:val="nil"/>
              <w:bottom w:val="single" w:sz="8" w:space="0" w:color="B5DDDC"/>
              <w:right w:val="single" w:sz="8" w:space="0" w:color="B5DDDC"/>
            </w:tcBorders>
            <w:shd w:val="clear" w:color="000000" w:fill="B5DDDC"/>
            <w:vAlign w:val="center"/>
            <w:hideMark/>
          </w:tcPr>
          <w:p w14:paraId="3D1CE134"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J39</w:t>
            </w:r>
          </w:p>
        </w:tc>
        <w:tc>
          <w:tcPr>
            <w:tcW w:w="460" w:type="dxa"/>
            <w:tcBorders>
              <w:top w:val="nil"/>
              <w:left w:val="nil"/>
              <w:bottom w:val="single" w:sz="8" w:space="0" w:color="B5DDDC"/>
              <w:right w:val="single" w:sz="8" w:space="0" w:color="B5DDDC"/>
            </w:tcBorders>
            <w:shd w:val="clear" w:color="000000" w:fill="B5DDDC"/>
            <w:vAlign w:val="center"/>
            <w:hideMark/>
          </w:tcPr>
          <w:p w14:paraId="17F86D59"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J40</w:t>
            </w:r>
          </w:p>
        </w:tc>
        <w:tc>
          <w:tcPr>
            <w:tcW w:w="460" w:type="dxa"/>
            <w:tcBorders>
              <w:top w:val="nil"/>
              <w:left w:val="nil"/>
              <w:bottom w:val="single" w:sz="8" w:space="0" w:color="B5DDDC"/>
              <w:right w:val="single" w:sz="8" w:space="0" w:color="B5DDDC"/>
            </w:tcBorders>
            <w:shd w:val="clear" w:color="000000" w:fill="B5DDDC"/>
            <w:vAlign w:val="center"/>
            <w:hideMark/>
          </w:tcPr>
          <w:p w14:paraId="3087A090"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J41</w:t>
            </w:r>
          </w:p>
        </w:tc>
        <w:tc>
          <w:tcPr>
            <w:tcW w:w="460" w:type="dxa"/>
            <w:tcBorders>
              <w:top w:val="nil"/>
              <w:left w:val="nil"/>
              <w:bottom w:val="single" w:sz="8" w:space="0" w:color="B5DDDC"/>
              <w:right w:val="single" w:sz="8" w:space="0" w:color="B5DDDC"/>
            </w:tcBorders>
            <w:shd w:val="clear" w:color="000000" w:fill="B5DDDC"/>
            <w:vAlign w:val="center"/>
            <w:hideMark/>
          </w:tcPr>
          <w:p w14:paraId="5E2774C0" w14:textId="77777777" w:rsidR="002E63E7" w:rsidRPr="00397A3E" w:rsidRDefault="00171C91" w:rsidP="002E63E7">
            <w:pPr>
              <w:spacing w:before="0" w:after="0" w:line="240" w:lineRule="auto"/>
              <w:jc w:val="center"/>
              <w:rPr>
                <w:rFonts w:ascii="Calibri" w:hAnsi="Calibri" w:cs="Calibri"/>
                <w:b/>
                <w:bCs/>
                <w:noProof w:val="0"/>
                <w:color w:val="008000"/>
                <w:sz w:val="16"/>
                <w:szCs w:val="16"/>
              </w:rPr>
            </w:pPr>
            <w:r w:rsidRPr="00397A3E">
              <w:rPr>
                <w:rFonts w:ascii="Calibri" w:hAnsi="Calibri" w:cs="Calibri"/>
                <w:b/>
                <w:bCs/>
                <w:noProof w:val="0"/>
                <w:color w:val="008000"/>
                <w:sz w:val="16"/>
                <w:szCs w:val="16"/>
              </w:rPr>
              <w:t>J42</w:t>
            </w:r>
          </w:p>
        </w:tc>
      </w:tr>
      <w:tr w:rsidR="00785848" w14:paraId="341845A0" w14:textId="77777777" w:rsidTr="002E63E7">
        <w:tc>
          <w:tcPr>
            <w:tcW w:w="15280" w:type="dxa"/>
            <w:gridSpan w:val="33"/>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41B0BB8F" w14:textId="77777777" w:rsidR="002E63E7" w:rsidRPr="00397A3E" w:rsidRDefault="00171C91" w:rsidP="002E63E7">
            <w:pPr>
              <w:spacing w:before="0" w:after="0" w:line="240" w:lineRule="auto"/>
              <w:rPr>
                <w:rFonts w:ascii="Calibri" w:hAnsi="Calibri" w:cs="Calibri"/>
                <w:b/>
                <w:bCs/>
                <w:noProof w:val="0"/>
                <w:color w:val="000000"/>
                <w:sz w:val="16"/>
                <w:szCs w:val="16"/>
              </w:rPr>
            </w:pPr>
            <w:r w:rsidRPr="00397A3E">
              <w:rPr>
                <w:rFonts w:ascii="Calibri" w:hAnsi="Calibri" w:cs="Calibri"/>
                <w:b/>
                <w:bCs/>
                <w:noProof w:val="0"/>
                <w:color w:val="000000"/>
                <w:sz w:val="16"/>
                <w:szCs w:val="16"/>
              </w:rPr>
              <w:t>Section A1: Are the results valid?</w:t>
            </w:r>
          </w:p>
        </w:tc>
      </w:tr>
      <w:tr w:rsidR="00785848" w14:paraId="2C4FB304" w14:textId="77777777" w:rsidTr="002E63E7">
        <w:tc>
          <w:tcPr>
            <w:tcW w:w="560" w:type="dxa"/>
            <w:tcBorders>
              <w:top w:val="nil"/>
              <w:left w:val="single" w:sz="8" w:space="0" w:color="B5DDDC"/>
              <w:bottom w:val="single" w:sz="8" w:space="0" w:color="B5DDDC"/>
              <w:right w:val="single" w:sz="8" w:space="0" w:color="B5DDDC"/>
            </w:tcBorders>
            <w:vAlign w:val="center"/>
            <w:hideMark/>
          </w:tcPr>
          <w:p w14:paraId="2233DB73" w14:textId="77777777" w:rsidR="002E63E7" w:rsidRPr="00397A3E" w:rsidRDefault="00171C91" w:rsidP="002E63E7">
            <w:pPr>
              <w:spacing w:before="0" w:after="0" w:line="240" w:lineRule="auto"/>
              <w:jc w:val="center"/>
              <w:rPr>
                <w:rFonts w:ascii="Calibri" w:hAnsi="Calibri" w:cs="Calibri"/>
                <w:b/>
                <w:bCs/>
                <w:noProof w:val="0"/>
                <w:sz w:val="16"/>
                <w:szCs w:val="16"/>
              </w:rPr>
            </w:pPr>
            <w:r w:rsidRPr="00397A3E">
              <w:rPr>
                <w:rFonts w:ascii="Calibri" w:hAnsi="Calibri" w:cs="Calibri"/>
                <w:b/>
                <w:bCs/>
                <w:noProof w:val="0"/>
                <w:sz w:val="16"/>
                <w:szCs w:val="16"/>
              </w:rPr>
              <w:t>1</w:t>
            </w:r>
          </w:p>
        </w:tc>
        <w:tc>
          <w:tcPr>
            <w:tcW w:w="460" w:type="dxa"/>
            <w:tcBorders>
              <w:top w:val="nil"/>
              <w:left w:val="nil"/>
              <w:bottom w:val="single" w:sz="8" w:space="0" w:color="B5DDDC"/>
              <w:right w:val="single" w:sz="8" w:space="0" w:color="B5DDDC"/>
            </w:tcBorders>
            <w:shd w:val="clear" w:color="000000" w:fill="70AD47"/>
            <w:vAlign w:val="center"/>
            <w:hideMark/>
          </w:tcPr>
          <w:p w14:paraId="3A7699D4" w14:textId="6AF4415E"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70AD47"/>
            <w:vAlign w:val="center"/>
            <w:hideMark/>
          </w:tcPr>
          <w:p w14:paraId="72F825B1" w14:textId="377C9D19"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34CAE2AD" w14:textId="42A3A751"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70AD47"/>
            <w:vAlign w:val="center"/>
            <w:hideMark/>
          </w:tcPr>
          <w:p w14:paraId="6666C590" w14:textId="1B56A319"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0FB6006E" w14:textId="65BBB34C"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543B2AA4" w14:textId="6CDA53CE"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7CDFB5A2" w14:textId="0ECE06F1"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2D4802CF" w14:textId="10ECFDD5"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FF0000"/>
            <w:vAlign w:val="center"/>
            <w:hideMark/>
          </w:tcPr>
          <w:p w14:paraId="3EA09BE3" w14:textId="6ED28348"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32892164" w14:textId="1D03561F"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51D2CF92" w14:textId="240BAB92"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FF0000"/>
            <w:vAlign w:val="center"/>
            <w:hideMark/>
          </w:tcPr>
          <w:p w14:paraId="1F71F081" w14:textId="6EC1BE60"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71243DE2" w14:textId="19B16DE0"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1666E9B6" w14:textId="46D0EDBC"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0520A018" w14:textId="583D2A73"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4FAA7C4E" w14:textId="3D925FDC"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5A6F9008" w14:textId="33744BD8"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04F558A1" w14:textId="0F8E7DE8"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5355C42C" w14:textId="6880D7FD"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1C53A1DB" w14:textId="31EAF348"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70AD47"/>
            <w:vAlign w:val="center"/>
            <w:hideMark/>
          </w:tcPr>
          <w:p w14:paraId="4F75082E" w14:textId="1D83D9FD"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57C79A56" w14:textId="664E87AA"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FF0000"/>
            <w:vAlign w:val="center"/>
            <w:hideMark/>
          </w:tcPr>
          <w:p w14:paraId="1F78B5FA" w14:textId="6DB76CE8"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74E9FE66" w14:textId="30D9EC8E"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4FD1934D" w14:textId="3354C932"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360CE1BE" w14:textId="56B75330"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273CF7AA" w14:textId="51FF31FA"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68F5ECBA" w14:textId="462D1FFB"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3D878FB6" w14:textId="4C30CA0F"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14A1016D" w14:textId="06C46E2E"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7FC070EF" w14:textId="38C38E30"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14B985D3" w14:textId="4132991C"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r>
      <w:tr w:rsidR="00785848" w14:paraId="3E4F2D47" w14:textId="77777777" w:rsidTr="002E63E7">
        <w:tc>
          <w:tcPr>
            <w:tcW w:w="560" w:type="dxa"/>
            <w:tcBorders>
              <w:top w:val="nil"/>
              <w:left w:val="single" w:sz="8" w:space="0" w:color="B5DDDC"/>
              <w:bottom w:val="single" w:sz="8" w:space="0" w:color="B5DDDC"/>
              <w:right w:val="single" w:sz="8" w:space="0" w:color="B5DDDC"/>
            </w:tcBorders>
            <w:vAlign w:val="center"/>
            <w:hideMark/>
          </w:tcPr>
          <w:p w14:paraId="08935F3F" w14:textId="77777777" w:rsidR="002E63E7" w:rsidRPr="00397A3E" w:rsidRDefault="00171C91" w:rsidP="002E63E7">
            <w:pPr>
              <w:spacing w:before="0" w:after="0" w:line="240" w:lineRule="auto"/>
              <w:jc w:val="center"/>
              <w:rPr>
                <w:rFonts w:ascii="Calibri" w:hAnsi="Calibri" w:cs="Calibri"/>
                <w:b/>
                <w:bCs/>
                <w:noProof w:val="0"/>
                <w:sz w:val="16"/>
                <w:szCs w:val="16"/>
              </w:rPr>
            </w:pPr>
            <w:r w:rsidRPr="00397A3E">
              <w:rPr>
                <w:rFonts w:ascii="Calibri" w:hAnsi="Calibri" w:cs="Calibri"/>
                <w:b/>
                <w:bCs/>
                <w:noProof w:val="0"/>
                <w:sz w:val="16"/>
                <w:szCs w:val="16"/>
              </w:rPr>
              <w:t>2</w:t>
            </w:r>
          </w:p>
        </w:tc>
        <w:tc>
          <w:tcPr>
            <w:tcW w:w="460" w:type="dxa"/>
            <w:tcBorders>
              <w:top w:val="nil"/>
              <w:left w:val="nil"/>
              <w:bottom w:val="single" w:sz="8" w:space="0" w:color="B5DDDC"/>
              <w:right w:val="single" w:sz="8" w:space="0" w:color="B5DDDC"/>
            </w:tcBorders>
            <w:shd w:val="clear" w:color="000000" w:fill="E2EFDA"/>
            <w:vAlign w:val="center"/>
            <w:hideMark/>
          </w:tcPr>
          <w:p w14:paraId="18B9AF9B" w14:textId="4D28A090"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26929E3C" w14:textId="2AA4828A"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61CD1DDD" w14:textId="0430B3E4"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70AD47"/>
            <w:vAlign w:val="center"/>
            <w:hideMark/>
          </w:tcPr>
          <w:p w14:paraId="14FF9EB9" w14:textId="5B71D771"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2D78E737" w14:textId="3962EAEF"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124AF1D0" w14:textId="22DBA758"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602B8151" w14:textId="5FAFB09C"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000CE895" w14:textId="7217421C"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FF0000"/>
            <w:vAlign w:val="center"/>
            <w:hideMark/>
          </w:tcPr>
          <w:p w14:paraId="0A433BAD" w14:textId="01502C87"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FF0000"/>
            <w:vAlign w:val="center"/>
            <w:hideMark/>
          </w:tcPr>
          <w:p w14:paraId="50552162" w14:textId="7BC8F05C"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6CEE834F" w14:textId="66B9F7E6"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15306C1B" w14:textId="07682F50"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7DB00BC4" w14:textId="42EBD419"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70AD47"/>
            <w:vAlign w:val="center"/>
            <w:hideMark/>
          </w:tcPr>
          <w:p w14:paraId="65C054BD" w14:textId="6C349A39"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single" w:sz="8" w:space="0" w:color="B5DDDC"/>
              <w:left w:val="nil"/>
              <w:bottom w:val="single" w:sz="8" w:space="0" w:color="B5DDDC"/>
              <w:right w:val="single" w:sz="8" w:space="0" w:color="B5DDDC"/>
            </w:tcBorders>
            <w:shd w:val="clear" w:color="000000" w:fill="E2EFDA"/>
            <w:vAlign w:val="center"/>
            <w:hideMark/>
          </w:tcPr>
          <w:p w14:paraId="1E7FBE4A" w14:textId="390D6010"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25B3D861" w14:textId="512B1A42"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B5DDDC"/>
              <w:left w:val="nil"/>
              <w:bottom w:val="single" w:sz="8" w:space="0" w:color="B5DDDC"/>
              <w:right w:val="single" w:sz="8" w:space="0" w:color="B5DDDC"/>
            </w:tcBorders>
            <w:shd w:val="clear" w:color="000000" w:fill="E2EFDA"/>
            <w:vAlign w:val="center"/>
            <w:hideMark/>
          </w:tcPr>
          <w:p w14:paraId="7F80BD41" w14:textId="7D9B24A6"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08E9536A" w14:textId="43D9E9DE"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7A31B317" w14:textId="19EDC357"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5FB0724A" w14:textId="516BA457"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0F1D6152" w14:textId="298C7F3D"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752B317F" w14:textId="0DFA14A4"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FF0000"/>
            <w:vAlign w:val="center"/>
            <w:hideMark/>
          </w:tcPr>
          <w:p w14:paraId="1516C382" w14:textId="4DF68403"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25571B22" w14:textId="053335EB"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70AD47"/>
            <w:vAlign w:val="center"/>
            <w:hideMark/>
          </w:tcPr>
          <w:p w14:paraId="19B8B714" w14:textId="18A82F25"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70AD47"/>
            <w:vAlign w:val="center"/>
            <w:hideMark/>
          </w:tcPr>
          <w:p w14:paraId="5E5437EE" w14:textId="07256FD1"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5FF2921B" w14:textId="423F6271"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77DBFE2E" w14:textId="14B067C3"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4DB32BE3" w14:textId="4E896E18"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6DA782FF" w14:textId="095168C9"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4E59612E" w14:textId="132DA73C"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55F1F4F5" w14:textId="597575D2"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r>
      <w:tr w:rsidR="00785848" w14:paraId="5F68BB82" w14:textId="77777777" w:rsidTr="002E63E7">
        <w:tc>
          <w:tcPr>
            <w:tcW w:w="15280" w:type="dxa"/>
            <w:gridSpan w:val="33"/>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7E88C133" w14:textId="77777777" w:rsidR="002E63E7" w:rsidRPr="00397A3E" w:rsidRDefault="00171C91" w:rsidP="002E63E7">
            <w:pPr>
              <w:spacing w:before="0" w:after="0" w:line="240" w:lineRule="auto"/>
              <w:rPr>
                <w:rFonts w:ascii="Calibri" w:hAnsi="Calibri" w:cs="Calibri"/>
                <w:b/>
                <w:bCs/>
                <w:noProof w:val="0"/>
                <w:color w:val="000000"/>
                <w:sz w:val="16"/>
                <w:szCs w:val="16"/>
              </w:rPr>
            </w:pPr>
            <w:r w:rsidRPr="00397A3E">
              <w:rPr>
                <w:rFonts w:ascii="Calibri" w:hAnsi="Calibri" w:cs="Calibri"/>
                <w:b/>
                <w:bCs/>
                <w:noProof w:val="0"/>
                <w:color w:val="000000"/>
                <w:sz w:val="16"/>
                <w:szCs w:val="16"/>
              </w:rPr>
              <w:t>Section A2: Is it worth continuing?</w:t>
            </w:r>
          </w:p>
        </w:tc>
      </w:tr>
      <w:tr w:rsidR="00785848" w14:paraId="021874A7" w14:textId="77777777" w:rsidTr="002E63E7">
        <w:tc>
          <w:tcPr>
            <w:tcW w:w="560" w:type="dxa"/>
            <w:tcBorders>
              <w:top w:val="nil"/>
              <w:left w:val="single" w:sz="8" w:space="0" w:color="B5DDDC"/>
              <w:bottom w:val="single" w:sz="8" w:space="0" w:color="B5DDDC"/>
              <w:right w:val="single" w:sz="8" w:space="0" w:color="B5DDDC"/>
            </w:tcBorders>
            <w:shd w:val="clear" w:color="000000" w:fill="D6EAEB"/>
            <w:vAlign w:val="center"/>
            <w:hideMark/>
          </w:tcPr>
          <w:p w14:paraId="4FEE5F57" w14:textId="77777777" w:rsidR="002E63E7" w:rsidRPr="00397A3E" w:rsidRDefault="00171C91" w:rsidP="002E63E7">
            <w:pPr>
              <w:spacing w:before="0" w:after="0" w:line="240" w:lineRule="auto"/>
              <w:jc w:val="center"/>
              <w:rPr>
                <w:rFonts w:ascii="Calibri" w:hAnsi="Calibri" w:cs="Calibri"/>
                <w:b/>
                <w:bCs/>
                <w:noProof w:val="0"/>
                <w:color w:val="000000"/>
                <w:sz w:val="16"/>
                <w:szCs w:val="16"/>
              </w:rPr>
            </w:pPr>
            <w:r w:rsidRPr="00397A3E">
              <w:rPr>
                <w:rFonts w:ascii="Calibri" w:hAnsi="Calibri" w:cs="Calibri"/>
                <w:b/>
                <w:bCs/>
                <w:noProof w:val="0"/>
                <w:color w:val="000000"/>
                <w:sz w:val="16"/>
                <w:szCs w:val="16"/>
              </w:rPr>
              <w:t>-</w:t>
            </w:r>
          </w:p>
        </w:tc>
        <w:tc>
          <w:tcPr>
            <w:tcW w:w="460" w:type="dxa"/>
            <w:tcBorders>
              <w:top w:val="nil"/>
              <w:left w:val="nil"/>
              <w:bottom w:val="single" w:sz="8" w:space="0" w:color="B5DDDC"/>
              <w:right w:val="single" w:sz="8" w:space="0" w:color="B5DDDC"/>
            </w:tcBorders>
            <w:shd w:val="clear" w:color="000000" w:fill="D6EAEB"/>
            <w:vAlign w:val="center"/>
            <w:hideMark/>
          </w:tcPr>
          <w:p w14:paraId="06CC62C7"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69F61B6C"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2186E1BE"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4E8EF1E4"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5CE296B0"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7BBBB620"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6B46E1CF"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1951A987"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6CE16619"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1E16C6EB"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6AD9E655"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4466373A"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206178B9"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56612414"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67B1E90E"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2F46BD77"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47DF4FFA"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5D0C0A2D"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31EF50D1"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44FC2E0E"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197F978B"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4EE57BC6"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54CA3152"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No</w:t>
            </w:r>
          </w:p>
        </w:tc>
        <w:tc>
          <w:tcPr>
            <w:tcW w:w="460" w:type="dxa"/>
            <w:tcBorders>
              <w:top w:val="nil"/>
              <w:left w:val="nil"/>
              <w:bottom w:val="single" w:sz="8" w:space="0" w:color="B5DDDC"/>
              <w:right w:val="single" w:sz="8" w:space="0" w:color="B5DDDC"/>
            </w:tcBorders>
            <w:shd w:val="clear" w:color="000000" w:fill="D6EAEB"/>
            <w:vAlign w:val="center"/>
            <w:hideMark/>
          </w:tcPr>
          <w:p w14:paraId="6BD3012F"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18E16595"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1A02C233"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76E0D36C"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2A1BDF94"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0A5D08A9"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2E21F158"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67348E6A"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c>
          <w:tcPr>
            <w:tcW w:w="460" w:type="dxa"/>
            <w:tcBorders>
              <w:top w:val="nil"/>
              <w:left w:val="nil"/>
              <w:bottom w:val="single" w:sz="8" w:space="0" w:color="B5DDDC"/>
              <w:right w:val="single" w:sz="8" w:space="0" w:color="B5DDDC"/>
            </w:tcBorders>
            <w:shd w:val="clear" w:color="000000" w:fill="D6EAEB"/>
            <w:vAlign w:val="center"/>
            <w:hideMark/>
          </w:tcPr>
          <w:p w14:paraId="6648635B" w14:textId="77777777" w:rsidR="002E63E7" w:rsidRPr="00397A3E" w:rsidRDefault="00171C91" w:rsidP="002E63E7">
            <w:pPr>
              <w:spacing w:before="0" w:after="0" w:line="240" w:lineRule="auto"/>
              <w:jc w:val="center"/>
              <w:rPr>
                <w:rFonts w:ascii="Calibri" w:hAnsi="Calibri" w:cs="Calibri"/>
                <w:noProof w:val="0"/>
                <w:color w:val="000000"/>
                <w:sz w:val="16"/>
                <w:szCs w:val="16"/>
              </w:rPr>
            </w:pPr>
            <w:r w:rsidRPr="00397A3E">
              <w:rPr>
                <w:rFonts w:ascii="Calibri" w:hAnsi="Calibri" w:cs="Calibri"/>
                <w:noProof w:val="0"/>
                <w:color w:val="000000"/>
                <w:sz w:val="16"/>
                <w:szCs w:val="16"/>
              </w:rPr>
              <w:t>Yes</w:t>
            </w:r>
          </w:p>
        </w:tc>
      </w:tr>
      <w:tr w:rsidR="00785848" w14:paraId="5AF36E4B" w14:textId="77777777" w:rsidTr="00D73126">
        <w:tc>
          <w:tcPr>
            <w:tcW w:w="560" w:type="dxa"/>
            <w:tcBorders>
              <w:top w:val="nil"/>
              <w:left w:val="single" w:sz="8" w:space="0" w:color="B5DDDC"/>
              <w:bottom w:val="single" w:sz="8" w:space="0" w:color="B5DDDC"/>
              <w:right w:val="single" w:sz="8" w:space="0" w:color="B5DDDC"/>
            </w:tcBorders>
            <w:vAlign w:val="center"/>
            <w:hideMark/>
          </w:tcPr>
          <w:p w14:paraId="7F3FCEEE" w14:textId="77777777" w:rsidR="002E63E7" w:rsidRPr="00397A3E" w:rsidRDefault="00171C91" w:rsidP="002E63E7">
            <w:pPr>
              <w:spacing w:before="0" w:after="0" w:line="240" w:lineRule="auto"/>
              <w:jc w:val="center"/>
              <w:rPr>
                <w:rFonts w:ascii="Calibri" w:hAnsi="Calibri" w:cs="Calibri"/>
                <w:b/>
                <w:bCs/>
                <w:noProof w:val="0"/>
                <w:sz w:val="16"/>
                <w:szCs w:val="16"/>
              </w:rPr>
            </w:pPr>
            <w:r w:rsidRPr="00397A3E">
              <w:rPr>
                <w:rFonts w:ascii="Calibri" w:hAnsi="Calibri" w:cs="Calibri"/>
                <w:b/>
                <w:bCs/>
                <w:noProof w:val="0"/>
                <w:sz w:val="16"/>
                <w:szCs w:val="16"/>
              </w:rPr>
              <w:t>3</w:t>
            </w:r>
          </w:p>
        </w:tc>
        <w:tc>
          <w:tcPr>
            <w:tcW w:w="460" w:type="dxa"/>
            <w:tcBorders>
              <w:top w:val="nil"/>
              <w:left w:val="nil"/>
              <w:bottom w:val="single" w:sz="8" w:space="0" w:color="B5DDDC"/>
              <w:right w:val="single" w:sz="8" w:space="0" w:color="B5DDDC"/>
            </w:tcBorders>
            <w:shd w:val="clear" w:color="000000" w:fill="70AD47"/>
            <w:vAlign w:val="center"/>
            <w:hideMark/>
          </w:tcPr>
          <w:p w14:paraId="4DF27D5E" w14:textId="0A35EF01"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70AD47"/>
            <w:vAlign w:val="center"/>
            <w:hideMark/>
          </w:tcPr>
          <w:p w14:paraId="6AC0681F" w14:textId="521EBA8D"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72675975" w14:textId="7FE78E1B"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70AD47"/>
            <w:vAlign w:val="center"/>
            <w:hideMark/>
          </w:tcPr>
          <w:p w14:paraId="01DFC270" w14:textId="7143AEAC"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nil"/>
              <w:right w:val="single" w:sz="8" w:space="0" w:color="B5DDDC"/>
            </w:tcBorders>
            <w:shd w:val="clear" w:color="000000" w:fill="F8CBAD"/>
            <w:vAlign w:val="center"/>
            <w:hideMark/>
          </w:tcPr>
          <w:p w14:paraId="0032E994" w14:textId="4C90E8E8"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FF0000"/>
            <w:vAlign w:val="center"/>
            <w:hideMark/>
          </w:tcPr>
          <w:p w14:paraId="3C3790A9" w14:textId="6E43DFD3"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3AB56F38" w14:textId="3CEE8FCC"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5D787A07" w14:textId="270F5F8D"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auto" w:fill="F8CBAD"/>
            <w:vAlign w:val="center"/>
            <w:hideMark/>
          </w:tcPr>
          <w:p w14:paraId="71EE51B4" w14:textId="13D160EB"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FF0000"/>
            <w:vAlign w:val="center"/>
            <w:hideMark/>
          </w:tcPr>
          <w:p w14:paraId="5EC16D8F" w14:textId="627FCFCA"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3D94FADD" w14:textId="5C536FF8"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FF0000"/>
            <w:vAlign w:val="center"/>
            <w:hideMark/>
          </w:tcPr>
          <w:p w14:paraId="1768CA0D" w14:textId="07FB530A"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2A1C1F6E" w14:textId="4FAD6738"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70AD47"/>
            <w:vAlign w:val="center"/>
            <w:hideMark/>
          </w:tcPr>
          <w:p w14:paraId="13EE761C" w14:textId="4A5DBF36"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nil"/>
              <w:right w:val="single" w:sz="8" w:space="0" w:color="B5DDDC"/>
            </w:tcBorders>
            <w:shd w:val="clear" w:color="000000" w:fill="F8CBAD"/>
            <w:vAlign w:val="center"/>
            <w:hideMark/>
          </w:tcPr>
          <w:p w14:paraId="3E35DE06" w14:textId="097D5BBA"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33935B74" w14:textId="2934B1A2"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372851B9" w14:textId="658F5D21"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20D40538" w14:textId="47F4AD8E"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00D8F51D" w14:textId="10B2F003"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FF0000"/>
            <w:vAlign w:val="center"/>
            <w:hideMark/>
          </w:tcPr>
          <w:p w14:paraId="1E3FFCC1" w14:textId="3BAE6B3F"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17D039D4" w14:textId="2D5526A8"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2A474475" w14:textId="36B8BB8C"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vAlign w:val="center"/>
            <w:hideMark/>
          </w:tcPr>
          <w:p w14:paraId="0B1A14CF"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nil</w:t>
            </w:r>
          </w:p>
        </w:tc>
        <w:tc>
          <w:tcPr>
            <w:tcW w:w="460" w:type="dxa"/>
            <w:tcBorders>
              <w:top w:val="nil"/>
              <w:left w:val="nil"/>
              <w:bottom w:val="single" w:sz="8" w:space="0" w:color="B5DDDC"/>
              <w:right w:val="single" w:sz="8" w:space="0" w:color="B5DDDC"/>
            </w:tcBorders>
            <w:shd w:val="clear" w:color="000000" w:fill="FF0000"/>
            <w:vAlign w:val="center"/>
            <w:hideMark/>
          </w:tcPr>
          <w:p w14:paraId="029D124C" w14:textId="67FFAC65"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70AD47"/>
            <w:vAlign w:val="center"/>
            <w:hideMark/>
          </w:tcPr>
          <w:p w14:paraId="5ED39535" w14:textId="568583EB"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760FFF29" w14:textId="5B22B76B"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5EBCCC71" w14:textId="5DE37709"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0BFBF155" w14:textId="7A5A7513"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FF0000"/>
            <w:vAlign w:val="center"/>
            <w:hideMark/>
          </w:tcPr>
          <w:p w14:paraId="5B65FB08" w14:textId="7B4A4DD0"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725C41BD" w14:textId="6C9824C3"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5852D5B6" w14:textId="23C744F4"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7CDD903D" w14:textId="2EACFEB6"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r>
      <w:tr w:rsidR="00785848" w14:paraId="2F4BA514" w14:textId="77777777" w:rsidTr="002E63E7">
        <w:tc>
          <w:tcPr>
            <w:tcW w:w="560" w:type="dxa"/>
            <w:tcBorders>
              <w:top w:val="nil"/>
              <w:left w:val="single" w:sz="8" w:space="0" w:color="B5DDDC"/>
              <w:bottom w:val="single" w:sz="8" w:space="0" w:color="B5DDDC"/>
              <w:right w:val="single" w:sz="8" w:space="0" w:color="B5DDDC"/>
            </w:tcBorders>
            <w:vAlign w:val="center"/>
            <w:hideMark/>
          </w:tcPr>
          <w:p w14:paraId="47DB1015" w14:textId="77777777" w:rsidR="002E63E7" w:rsidRPr="00397A3E" w:rsidRDefault="00171C91" w:rsidP="002E63E7">
            <w:pPr>
              <w:spacing w:before="0" w:after="0" w:line="240" w:lineRule="auto"/>
              <w:jc w:val="center"/>
              <w:rPr>
                <w:rFonts w:ascii="Calibri" w:hAnsi="Calibri" w:cs="Calibri"/>
                <w:b/>
                <w:bCs/>
                <w:noProof w:val="0"/>
                <w:sz w:val="16"/>
                <w:szCs w:val="16"/>
              </w:rPr>
            </w:pPr>
            <w:r w:rsidRPr="00397A3E">
              <w:rPr>
                <w:rFonts w:ascii="Calibri" w:hAnsi="Calibri" w:cs="Calibri"/>
                <w:b/>
                <w:bCs/>
                <w:noProof w:val="0"/>
                <w:sz w:val="16"/>
                <w:szCs w:val="16"/>
              </w:rPr>
              <w:t>4</w:t>
            </w:r>
          </w:p>
        </w:tc>
        <w:tc>
          <w:tcPr>
            <w:tcW w:w="460" w:type="dxa"/>
            <w:tcBorders>
              <w:top w:val="nil"/>
              <w:left w:val="nil"/>
              <w:bottom w:val="single" w:sz="8" w:space="0" w:color="B5DDDC"/>
              <w:right w:val="single" w:sz="8" w:space="0" w:color="B5DDDC"/>
            </w:tcBorders>
            <w:shd w:val="clear" w:color="000000" w:fill="E2EFDA"/>
            <w:vAlign w:val="center"/>
            <w:hideMark/>
          </w:tcPr>
          <w:p w14:paraId="3A04D17E" w14:textId="3DB45D31"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65E59CC6" w14:textId="4B67E8CE"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34BC3524" w14:textId="6C5B1607"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vAlign w:val="center"/>
            <w:hideMark/>
          </w:tcPr>
          <w:p w14:paraId="334F7E6B"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n/a</w:t>
            </w:r>
          </w:p>
        </w:tc>
        <w:tc>
          <w:tcPr>
            <w:tcW w:w="460" w:type="dxa"/>
            <w:tcBorders>
              <w:top w:val="single" w:sz="8" w:space="0" w:color="B5DDDC"/>
              <w:left w:val="nil"/>
              <w:bottom w:val="single" w:sz="8" w:space="0" w:color="B5DDDC"/>
              <w:right w:val="single" w:sz="8" w:space="0" w:color="B5DDDC"/>
            </w:tcBorders>
            <w:vAlign w:val="center"/>
            <w:hideMark/>
          </w:tcPr>
          <w:p w14:paraId="0BB1AEA2"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n/a</w:t>
            </w:r>
          </w:p>
        </w:tc>
        <w:tc>
          <w:tcPr>
            <w:tcW w:w="460" w:type="dxa"/>
            <w:tcBorders>
              <w:top w:val="nil"/>
              <w:left w:val="nil"/>
              <w:bottom w:val="single" w:sz="8" w:space="0" w:color="B5DDDC"/>
              <w:right w:val="single" w:sz="8" w:space="0" w:color="B5DDDC"/>
            </w:tcBorders>
            <w:shd w:val="clear" w:color="000000" w:fill="E2EFDA"/>
            <w:vAlign w:val="center"/>
            <w:hideMark/>
          </w:tcPr>
          <w:p w14:paraId="3A853593" w14:textId="7D68F9A9"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23650F23" w14:textId="3F3EB09F"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vAlign w:val="center"/>
            <w:hideMark/>
          </w:tcPr>
          <w:p w14:paraId="7702772C"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n/a</w:t>
            </w:r>
          </w:p>
        </w:tc>
        <w:tc>
          <w:tcPr>
            <w:tcW w:w="460" w:type="dxa"/>
            <w:tcBorders>
              <w:top w:val="single" w:sz="8" w:space="0" w:color="B5DDDC"/>
              <w:left w:val="nil"/>
              <w:bottom w:val="single" w:sz="8" w:space="0" w:color="B5DDDC"/>
              <w:right w:val="single" w:sz="8" w:space="0" w:color="B5DDDC"/>
            </w:tcBorders>
            <w:shd w:val="clear" w:color="000000" w:fill="E2EFDA"/>
            <w:vAlign w:val="center"/>
            <w:hideMark/>
          </w:tcPr>
          <w:p w14:paraId="34A2BB6F" w14:textId="630A90B6"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vAlign w:val="center"/>
            <w:hideMark/>
          </w:tcPr>
          <w:p w14:paraId="61FD7341"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n/a</w:t>
            </w:r>
          </w:p>
        </w:tc>
        <w:tc>
          <w:tcPr>
            <w:tcW w:w="460" w:type="dxa"/>
            <w:tcBorders>
              <w:top w:val="nil"/>
              <w:left w:val="nil"/>
              <w:bottom w:val="single" w:sz="8" w:space="0" w:color="B5DDDC"/>
              <w:right w:val="single" w:sz="8" w:space="0" w:color="B5DDDC"/>
            </w:tcBorders>
            <w:shd w:val="clear" w:color="000000" w:fill="E2EFDA"/>
            <w:vAlign w:val="center"/>
            <w:hideMark/>
          </w:tcPr>
          <w:p w14:paraId="533B6DF6" w14:textId="275E84DD"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29F65F0B" w14:textId="701BD797"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6BA8F951" w14:textId="772ABCBB"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vAlign w:val="center"/>
            <w:hideMark/>
          </w:tcPr>
          <w:p w14:paraId="4C718DD7"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n/a</w:t>
            </w:r>
          </w:p>
        </w:tc>
        <w:tc>
          <w:tcPr>
            <w:tcW w:w="460" w:type="dxa"/>
            <w:tcBorders>
              <w:top w:val="single" w:sz="8" w:space="0" w:color="B5DDDC"/>
              <w:left w:val="nil"/>
              <w:bottom w:val="single" w:sz="8" w:space="0" w:color="B5DDDC"/>
              <w:right w:val="single" w:sz="8" w:space="0" w:color="B5DDDC"/>
            </w:tcBorders>
            <w:vAlign w:val="center"/>
            <w:hideMark/>
          </w:tcPr>
          <w:p w14:paraId="3B5B3CDC"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n/a</w:t>
            </w:r>
          </w:p>
        </w:tc>
        <w:tc>
          <w:tcPr>
            <w:tcW w:w="460" w:type="dxa"/>
            <w:tcBorders>
              <w:top w:val="nil"/>
              <w:left w:val="nil"/>
              <w:bottom w:val="single" w:sz="8" w:space="0" w:color="B5DDDC"/>
              <w:right w:val="single" w:sz="8" w:space="0" w:color="B5DDDC"/>
            </w:tcBorders>
            <w:vAlign w:val="center"/>
            <w:hideMark/>
          </w:tcPr>
          <w:p w14:paraId="363A8FE6"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n/a</w:t>
            </w:r>
          </w:p>
        </w:tc>
        <w:tc>
          <w:tcPr>
            <w:tcW w:w="460" w:type="dxa"/>
            <w:tcBorders>
              <w:top w:val="single" w:sz="8" w:space="0" w:color="B5DDDC"/>
              <w:left w:val="nil"/>
              <w:bottom w:val="single" w:sz="8" w:space="0" w:color="B5DDDC"/>
              <w:right w:val="single" w:sz="8" w:space="0" w:color="B5DDDC"/>
            </w:tcBorders>
            <w:vAlign w:val="center"/>
            <w:hideMark/>
          </w:tcPr>
          <w:p w14:paraId="7FAF4B6F"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n/a</w:t>
            </w:r>
          </w:p>
        </w:tc>
        <w:tc>
          <w:tcPr>
            <w:tcW w:w="460" w:type="dxa"/>
            <w:tcBorders>
              <w:top w:val="nil"/>
              <w:left w:val="nil"/>
              <w:bottom w:val="single" w:sz="8" w:space="0" w:color="B5DDDC"/>
              <w:right w:val="single" w:sz="8" w:space="0" w:color="B5DDDC"/>
            </w:tcBorders>
            <w:vAlign w:val="center"/>
            <w:hideMark/>
          </w:tcPr>
          <w:p w14:paraId="02EDDC36"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n/a</w:t>
            </w:r>
          </w:p>
        </w:tc>
        <w:tc>
          <w:tcPr>
            <w:tcW w:w="460" w:type="dxa"/>
            <w:tcBorders>
              <w:top w:val="nil"/>
              <w:left w:val="nil"/>
              <w:bottom w:val="single" w:sz="8" w:space="0" w:color="B5DDDC"/>
              <w:right w:val="single" w:sz="8" w:space="0" w:color="B5DDDC"/>
            </w:tcBorders>
            <w:vAlign w:val="center"/>
            <w:hideMark/>
          </w:tcPr>
          <w:p w14:paraId="7A25B2E5"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n/a</w:t>
            </w:r>
          </w:p>
        </w:tc>
        <w:tc>
          <w:tcPr>
            <w:tcW w:w="460" w:type="dxa"/>
            <w:tcBorders>
              <w:top w:val="nil"/>
              <w:left w:val="nil"/>
              <w:bottom w:val="single" w:sz="8" w:space="0" w:color="B5DDDC"/>
              <w:right w:val="single" w:sz="8" w:space="0" w:color="B5DDDC"/>
            </w:tcBorders>
            <w:vAlign w:val="center"/>
            <w:hideMark/>
          </w:tcPr>
          <w:p w14:paraId="134CECA3"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n/a</w:t>
            </w:r>
          </w:p>
        </w:tc>
        <w:tc>
          <w:tcPr>
            <w:tcW w:w="460" w:type="dxa"/>
            <w:tcBorders>
              <w:top w:val="nil"/>
              <w:left w:val="nil"/>
              <w:bottom w:val="single" w:sz="8" w:space="0" w:color="B5DDDC"/>
              <w:right w:val="single" w:sz="8" w:space="0" w:color="B5DDDC"/>
            </w:tcBorders>
            <w:vAlign w:val="center"/>
            <w:hideMark/>
          </w:tcPr>
          <w:p w14:paraId="091EF3EC"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n/a</w:t>
            </w:r>
          </w:p>
        </w:tc>
        <w:tc>
          <w:tcPr>
            <w:tcW w:w="460" w:type="dxa"/>
            <w:tcBorders>
              <w:top w:val="nil"/>
              <w:left w:val="nil"/>
              <w:bottom w:val="single" w:sz="8" w:space="0" w:color="B5DDDC"/>
              <w:right w:val="single" w:sz="8" w:space="0" w:color="B5DDDC"/>
            </w:tcBorders>
            <w:vAlign w:val="center"/>
            <w:hideMark/>
          </w:tcPr>
          <w:p w14:paraId="03805BE3"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n/a</w:t>
            </w:r>
          </w:p>
        </w:tc>
        <w:tc>
          <w:tcPr>
            <w:tcW w:w="460" w:type="dxa"/>
            <w:tcBorders>
              <w:top w:val="nil"/>
              <w:left w:val="nil"/>
              <w:bottom w:val="single" w:sz="8" w:space="0" w:color="B5DDDC"/>
              <w:right w:val="single" w:sz="8" w:space="0" w:color="B5DDDC"/>
            </w:tcBorders>
            <w:vAlign w:val="center"/>
            <w:hideMark/>
          </w:tcPr>
          <w:p w14:paraId="6E51BAF3"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nil</w:t>
            </w:r>
          </w:p>
        </w:tc>
        <w:tc>
          <w:tcPr>
            <w:tcW w:w="460" w:type="dxa"/>
            <w:tcBorders>
              <w:top w:val="nil"/>
              <w:left w:val="nil"/>
              <w:bottom w:val="single" w:sz="8" w:space="0" w:color="B5DDDC"/>
              <w:right w:val="single" w:sz="8" w:space="0" w:color="B5DDDC"/>
            </w:tcBorders>
            <w:vAlign w:val="center"/>
            <w:hideMark/>
          </w:tcPr>
          <w:p w14:paraId="507DF1EA"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n/a</w:t>
            </w:r>
          </w:p>
        </w:tc>
        <w:tc>
          <w:tcPr>
            <w:tcW w:w="460" w:type="dxa"/>
            <w:tcBorders>
              <w:top w:val="nil"/>
              <w:left w:val="nil"/>
              <w:bottom w:val="single" w:sz="8" w:space="0" w:color="B5DDDC"/>
              <w:right w:val="single" w:sz="8" w:space="0" w:color="B5DDDC"/>
            </w:tcBorders>
            <w:shd w:val="clear" w:color="000000" w:fill="E2EFDA"/>
            <w:vAlign w:val="center"/>
            <w:hideMark/>
          </w:tcPr>
          <w:p w14:paraId="0AB67EBE" w14:textId="3D973BF5"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1629059C" w14:textId="6DE400BD"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3EC8E932" w14:textId="5EFD5196"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vAlign w:val="center"/>
            <w:hideMark/>
          </w:tcPr>
          <w:p w14:paraId="3CA6ED7E"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n/a</w:t>
            </w:r>
          </w:p>
        </w:tc>
        <w:tc>
          <w:tcPr>
            <w:tcW w:w="460" w:type="dxa"/>
            <w:tcBorders>
              <w:top w:val="nil"/>
              <w:left w:val="nil"/>
              <w:bottom w:val="single" w:sz="8" w:space="0" w:color="B5DDDC"/>
              <w:right w:val="single" w:sz="8" w:space="0" w:color="B5DDDC"/>
            </w:tcBorders>
            <w:vAlign w:val="center"/>
            <w:hideMark/>
          </w:tcPr>
          <w:p w14:paraId="6AF1DBCE"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n/a</w:t>
            </w:r>
          </w:p>
        </w:tc>
        <w:tc>
          <w:tcPr>
            <w:tcW w:w="460" w:type="dxa"/>
            <w:tcBorders>
              <w:top w:val="nil"/>
              <w:left w:val="nil"/>
              <w:bottom w:val="single" w:sz="8" w:space="0" w:color="B5DDDC"/>
              <w:right w:val="single" w:sz="8" w:space="0" w:color="B5DDDC"/>
            </w:tcBorders>
            <w:vAlign w:val="center"/>
            <w:hideMark/>
          </w:tcPr>
          <w:p w14:paraId="5B8A504A"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n/a</w:t>
            </w:r>
          </w:p>
        </w:tc>
        <w:tc>
          <w:tcPr>
            <w:tcW w:w="460" w:type="dxa"/>
            <w:tcBorders>
              <w:top w:val="nil"/>
              <w:left w:val="nil"/>
              <w:bottom w:val="single" w:sz="8" w:space="0" w:color="B5DDDC"/>
              <w:right w:val="single" w:sz="8" w:space="0" w:color="B5DDDC"/>
            </w:tcBorders>
            <w:vAlign w:val="center"/>
            <w:hideMark/>
          </w:tcPr>
          <w:p w14:paraId="64371ACC"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n/a</w:t>
            </w:r>
          </w:p>
        </w:tc>
        <w:tc>
          <w:tcPr>
            <w:tcW w:w="460" w:type="dxa"/>
            <w:tcBorders>
              <w:top w:val="nil"/>
              <w:left w:val="nil"/>
              <w:bottom w:val="single" w:sz="8" w:space="0" w:color="B5DDDC"/>
              <w:right w:val="single" w:sz="8" w:space="0" w:color="B5DDDC"/>
            </w:tcBorders>
            <w:vAlign w:val="center"/>
            <w:hideMark/>
          </w:tcPr>
          <w:p w14:paraId="310BDDE0"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n/a</w:t>
            </w:r>
          </w:p>
        </w:tc>
      </w:tr>
      <w:tr w:rsidR="00785848" w14:paraId="18B85677" w14:textId="77777777" w:rsidTr="002E63E7">
        <w:tc>
          <w:tcPr>
            <w:tcW w:w="560" w:type="dxa"/>
            <w:tcBorders>
              <w:top w:val="nil"/>
              <w:left w:val="single" w:sz="8" w:space="0" w:color="B5DDDC"/>
              <w:bottom w:val="single" w:sz="8" w:space="0" w:color="B5DDDC"/>
              <w:right w:val="single" w:sz="8" w:space="0" w:color="B5DDDC"/>
            </w:tcBorders>
            <w:vAlign w:val="center"/>
            <w:hideMark/>
          </w:tcPr>
          <w:p w14:paraId="0408CDC8" w14:textId="77777777" w:rsidR="002E63E7" w:rsidRPr="00397A3E" w:rsidRDefault="00171C91" w:rsidP="002E63E7">
            <w:pPr>
              <w:spacing w:before="0" w:after="0" w:line="240" w:lineRule="auto"/>
              <w:jc w:val="center"/>
              <w:rPr>
                <w:rFonts w:ascii="Calibri" w:hAnsi="Calibri" w:cs="Calibri"/>
                <w:b/>
                <w:bCs/>
                <w:noProof w:val="0"/>
                <w:sz w:val="16"/>
                <w:szCs w:val="16"/>
              </w:rPr>
            </w:pPr>
            <w:r w:rsidRPr="00397A3E">
              <w:rPr>
                <w:rFonts w:ascii="Calibri" w:hAnsi="Calibri" w:cs="Calibri"/>
                <w:b/>
                <w:bCs/>
                <w:noProof w:val="0"/>
                <w:sz w:val="16"/>
                <w:szCs w:val="16"/>
              </w:rPr>
              <w:t>5</w:t>
            </w:r>
          </w:p>
        </w:tc>
        <w:tc>
          <w:tcPr>
            <w:tcW w:w="460" w:type="dxa"/>
            <w:tcBorders>
              <w:top w:val="nil"/>
              <w:left w:val="nil"/>
              <w:bottom w:val="single" w:sz="8" w:space="0" w:color="B5DDDC"/>
              <w:right w:val="single" w:sz="8" w:space="0" w:color="B5DDDC"/>
            </w:tcBorders>
            <w:shd w:val="clear" w:color="000000" w:fill="E2EFDA"/>
            <w:vAlign w:val="center"/>
            <w:hideMark/>
          </w:tcPr>
          <w:p w14:paraId="60CB1924" w14:textId="372FDC4E"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70AD47"/>
            <w:vAlign w:val="center"/>
            <w:hideMark/>
          </w:tcPr>
          <w:p w14:paraId="6A906FB7" w14:textId="42237CFE"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421AA010" w14:textId="667F0240"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70AD47"/>
            <w:vAlign w:val="center"/>
            <w:hideMark/>
          </w:tcPr>
          <w:p w14:paraId="127B64D3" w14:textId="31863342"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22D7B26B" w14:textId="046934EF"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47E47C73" w14:textId="53207304"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23872FDB" w14:textId="1EE93127"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1443A380" w14:textId="730F70B1"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01E42F29" w14:textId="32633A1A"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FF0000"/>
            <w:vAlign w:val="center"/>
            <w:hideMark/>
          </w:tcPr>
          <w:p w14:paraId="29F1DA37" w14:textId="23B8BE68"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3E4D2ACD" w14:textId="016D4FC9"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316FDB82" w14:textId="599A87BE"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2B44C652" w14:textId="185666EF"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08790532" w14:textId="45B794C6"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25C8F4A1" w14:textId="2ED34161"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295D9770" w14:textId="797FEAB8"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06875A17" w14:textId="3B5C95CC"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vAlign w:val="center"/>
            <w:hideMark/>
          </w:tcPr>
          <w:p w14:paraId="1197D2E4"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n/a</w:t>
            </w:r>
          </w:p>
        </w:tc>
        <w:tc>
          <w:tcPr>
            <w:tcW w:w="460" w:type="dxa"/>
            <w:tcBorders>
              <w:top w:val="nil"/>
              <w:left w:val="nil"/>
              <w:bottom w:val="single" w:sz="8" w:space="0" w:color="B5DDDC"/>
              <w:right w:val="single" w:sz="8" w:space="0" w:color="B5DDDC"/>
            </w:tcBorders>
            <w:shd w:val="clear" w:color="000000" w:fill="E2EFDA"/>
            <w:vAlign w:val="center"/>
            <w:hideMark/>
          </w:tcPr>
          <w:p w14:paraId="08822097" w14:textId="69EB7DD0"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0328F755" w14:textId="0A467214"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55A52D60" w14:textId="4B9310C1"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3CCAB03E" w14:textId="63F68B63"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vAlign w:val="center"/>
            <w:hideMark/>
          </w:tcPr>
          <w:p w14:paraId="46D80860"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nil</w:t>
            </w:r>
          </w:p>
        </w:tc>
        <w:tc>
          <w:tcPr>
            <w:tcW w:w="460" w:type="dxa"/>
            <w:tcBorders>
              <w:top w:val="nil"/>
              <w:left w:val="nil"/>
              <w:bottom w:val="single" w:sz="8" w:space="0" w:color="B5DDDC"/>
              <w:right w:val="single" w:sz="8" w:space="0" w:color="B5DDDC"/>
            </w:tcBorders>
            <w:shd w:val="clear" w:color="000000" w:fill="E2EFDA"/>
            <w:vAlign w:val="center"/>
            <w:hideMark/>
          </w:tcPr>
          <w:p w14:paraId="68C61A26" w14:textId="044E358D"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70AD47"/>
            <w:vAlign w:val="center"/>
            <w:hideMark/>
          </w:tcPr>
          <w:p w14:paraId="12E60464" w14:textId="47691ADE"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1D4328FA" w14:textId="26389CC7"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3487BE96" w14:textId="64E347DF"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56A74A12" w14:textId="7E491E15"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6AD17C9D" w14:textId="5614174B"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01A67858" w14:textId="5BCE8843"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6A636B42" w14:textId="1D4E6163"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0316B207" w14:textId="62FACDC8"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r>
      <w:tr w:rsidR="00785848" w14:paraId="29D69D57" w14:textId="77777777" w:rsidTr="002E63E7">
        <w:tc>
          <w:tcPr>
            <w:tcW w:w="15280" w:type="dxa"/>
            <w:gridSpan w:val="33"/>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72D9D53E" w14:textId="77777777" w:rsidR="002E63E7" w:rsidRPr="00397A3E" w:rsidRDefault="00171C91" w:rsidP="002E63E7">
            <w:pPr>
              <w:spacing w:before="0" w:after="0" w:line="240" w:lineRule="auto"/>
              <w:rPr>
                <w:rFonts w:ascii="Calibri" w:hAnsi="Calibri" w:cs="Calibri"/>
                <w:b/>
                <w:bCs/>
                <w:noProof w:val="0"/>
                <w:color w:val="000000"/>
                <w:sz w:val="16"/>
                <w:szCs w:val="16"/>
              </w:rPr>
            </w:pPr>
            <w:r w:rsidRPr="00397A3E">
              <w:rPr>
                <w:rFonts w:ascii="Calibri" w:hAnsi="Calibri" w:cs="Calibri"/>
                <w:b/>
                <w:bCs/>
                <w:noProof w:val="0"/>
                <w:color w:val="000000"/>
                <w:sz w:val="16"/>
                <w:szCs w:val="16"/>
              </w:rPr>
              <w:t>Section B: What are the results?</w:t>
            </w:r>
          </w:p>
        </w:tc>
      </w:tr>
      <w:tr w:rsidR="00785848" w14:paraId="41AF66D5" w14:textId="77777777" w:rsidTr="00D73126">
        <w:tc>
          <w:tcPr>
            <w:tcW w:w="560" w:type="dxa"/>
            <w:tcBorders>
              <w:top w:val="nil"/>
              <w:left w:val="single" w:sz="8" w:space="0" w:color="B5DDDC"/>
              <w:bottom w:val="single" w:sz="8" w:space="0" w:color="B5DDDC"/>
              <w:right w:val="single" w:sz="8" w:space="0" w:color="B5DDDC"/>
            </w:tcBorders>
            <w:vAlign w:val="center"/>
            <w:hideMark/>
          </w:tcPr>
          <w:p w14:paraId="295EE926" w14:textId="77777777" w:rsidR="002E63E7" w:rsidRPr="00397A3E" w:rsidRDefault="00171C91" w:rsidP="002E63E7">
            <w:pPr>
              <w:spacing w:before="0" w:after="0" w:line="240" w:lineRule="auto"/>
              <w:jc w:val="center"/>
              <w:rPr>
                <w:rFonts w:ascii="Calibri" w:hAnsi="Calibri" w:cs="Calibri"/>
                <w:b/>
                <w:bCs/>
                <w:noProof w:val="0"/>
                <w:sz w:val="16"/>
                <w:szCs w:val="16"/>
              </w:rPr>
            </w:pPr>
            <w:r w:rsidRPr="00397A3E">
              <w:rPr>
                <w:rFonts w:ascii="Calibri" w:hAnsi="Calibri" w:cs="Calibri"/>
                <w:b/>
                <w:bCs/>
                <w:noProof w:val="0"/>
                <w:sz w:val="16"/>
                <w:szCs w:val="16"/>
              </w:rPr>
              <w:t>8</w:t>
            </w:r>
          </w:p>
        </w:tc>
        <w:tc>
          <w:tcPr>
            <w:tcW w:w="460" w:type="dxa"/>
            <w:tcBorders>
              <w:top w:val="nil"/>
              <w:left w:val="nil"/>
              <w:bottom w:val="single" w:sz="8" w:space="0" w:color="B5DDDC"/>
              <w:right w:val="single" w:sz="8" w:space="0" w:color="B5DDDC"/>
            </w:tcBorders>
            <w:shd w:val="clear" w:color="000000" w:fill="E2EFDA"/>
            <w:vAlign w:val="center"/>
            <w:hideMark/>
          </w:tcPr>
          <w:p w14:paraId="392328C7" w14:textId="4AB5620C"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14E02932" w14:textId="2B7F51E2"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769920E7" w14:textId="4E7517AD"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70AD47"/>
            <w:vAlign w:val="center"/>
            <w:hideMark/>
          </w:tcPr>
          <w:p w14:paraId="6B903188" w14:textId="7D1A3A1C"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15C912BD" w14:textId="72344472"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5DE09887" w14:textId="5A32C86B"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0C4851E8" w14:textId="693F8636"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4D7AE31C" w14:textId="450CC18C"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7E677AFD" w14:textId="156A0256"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FF0000"/>
            <w:vAlign w:val="center"/>
            <w:hideMark/>
          </w:tcPr>
          <w:p w14:paraId="62E64999" w14:textId="1EE854FE"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37A25F01" w14:textId="52114D25"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auto" w:fill="E2EFDA"/>
            <w:vAlign w:val="center"/>
            <w:hideMark/>
          </w:tcPr>
          <w:p w14:paraId="6B237CD5" w14:textId="7CC9591B"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FF0000"/>
            <w:vAlign w:val="center"/>
            <w:hideMark/>
          </w:tcPr>
          <w:p w14:paraId="4B78DE8E" w14:textId="536C6AC0"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76FECC11" w14:textId="01483107"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FF0000"/>
            <w:vAlign w:val="center"/>
            <w:hideMark/>
          </w:tcPr>
          <w:p w14:paraId="27E7AA41" w14:textId="498D94E3"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7D7B3FAC" w14:textId="57959CE9"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7C46B54C" w14:textId="21B170C9"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3FA622B7" w14:textId="2F409634"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638E94EE" w14:textId="5BCF11CB"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6FF44F1E" w14:textId="31EA8ED6"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0A8C17E1" w14:textId="0E766569"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3B7CCE75" w14:textId="6F1D336D"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vAlign w:val="center"/>
            <w:hideMark/>
          </w:tcPr>
          <w:p w14:paraId="3E092F6D"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nil</w:t>
            </w:r>
          </w:p>
        </w:tc>
        <w:tc>
          <w:tcPr>
            <w:tcW w:w="460" w:type="dxa"/>
            <w:tcBorders>
              <w:top w:val="nil"/>
              <w:left w:val="nil"/>
              <w:bottom w:val="single" w:sz="8" w:space="0" w:color="B5DDDC"/>
              <w:right w:val="single" w:sz="8" w:space="0" w:color="B5DDDC"/>
            </w:tcBorders>
            <w:shd w:val="clear" w:color="000000" w:fill="E2EFDA"/>
            <w:vAlign w:val="center"/>
            <w:hideMark/>
          </w:tcPr>
          <w:p w14:paraId="016D4909" w14:textId="4E4AC4F9"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70AD47"/>
            <w:vAlign w:val="center"/>
            <w:hideMark/>
          </w:tcPr>
          <w:p w14:paraId="589788FA" w14:textId="25735F59"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70AD47"/>
            <w:vAlign w:val="center"/>
            <w:hideMark/>
          </w:tcPr>
          <w:p w14:paraId="486ECD31" w14:textId="561D9978"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5DC2A518" w14:textId="48957D04"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70AD47"/>
            <w:vAlign w:val="center"/>
            <w:hideMark/>
          </w:tcPr>
          <w:p w14:paraId="0F4470D3" w14:textId="29E9D5ED"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FF0000"/>
            <w:vAlign w:val="center"/>
            <w:hideMark/>
          </w:tcPr>
          <w:p w14:paraId="4FA8FFBB" w14:textId="0AC0A5EA"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216781CD" w14:textId="1BA9BA0F"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1AEB5949" w14:textId="59537FD4"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51CD07C1" w14:textId="735BD290"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r>
      <w:tr w:rsidR="00785848" w14:paraId="2DDEB757" w14:textId="77777777" w:rsidTr="002E63E7">
        <w:tc>
          <w:tcPr>
            <w:tcW w:w="560" w:type="dxa"/>
            <w:tcBorders>
              <w:top w:val="nil"/>
              <w:left w:val="single" w:sz="8" w:space="0" w:color="B5DDDC"/>
              <w:bottom w:val="single" w:sz="8" w:space="0" w:color="B5DDDC"/>
              <w:right w:val="single" w:sz="8" w:space="0" w:color="B5DDDC"/>
            </w:tcBorders>
            <w:vAlign w:val="center"/>
            <w:hideMark/>
          </w:tcPr>
          <w:p w14:paraId="0108CC8E" w14:textId="77777777" w:rsidR="002E63E7" w:rsidRPr="00397A3E" w:rsidRDefault="00171C91" w:rsidP="002E63E7">
            <w:pPr>
              <w:spacing w:before="0" w:after="0" w:line="240" w:lineRule="auto"/>
              <w:jc w:val="center"/>
              <w:rPr>
                <w:rFonts w:ascii="Calibri" w:hAnsi="Calibri" w:cs="Calibri"/>
                <w:b/>
                <w:bCs/>
                <w:noProof w:val="0"/>
                <w:sz w:val="16"/>
                <w:szCs w:val="16"/>
              </w:rPr>
            </w:pPr>
            <w:r w:rsidRPr="00397A3E">
              <w:rPr>
                <w:rFonts w:ascii="Calibri" w:hAnsi="Calibri" w:cs="Calibri"/>
                <w:b/>
                <w:bCs/>
                <w:noProof w:val="0"/>
                <w:sz w:val="16"/>
                <w:szCs w:val="16"/>
              </w:rPr>
              <w:t>9</w:t>
            </w:r>
          </w:p>
        </w:tc>
        <w:tc>
          <w:tcPr>
            <w:tcW w:w="460" w:type="dxa"/>
            <w:tcBorders>
              <w:top w:val="nil"/>
              <w:left w:val="nil"/>
              <w:bottom w:val="single" w:sz="8" w:space="0" w:color="B5DDDC"/>
              <w:right w:val="single" w:sz="8" w:space="0" w:color="B5DDDC"/>
            </w:tcBorders>
            <w:shd w:val="clear" w:color="000000" w:fill="70AD47"/>
            <w:vAlign w:val="center"/>
            <w:hideMark/>
          </w:tcPr>
          <w:p w14:paraId="499C0886" w14:textId="24A9C365"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nil"/>
              <w:right w:val="single" w:sz="8" w:space="0" w:color="B5DDDC"/>
            </w:tcBorders>
            <w:shd w:val="clear" w:color="000000" w:fill="F8CBAD"/>
            <w:vAlign w:val="center"/>
            <w:hideMark/>
          </w:tcPr>
          <w:p w14:paraId="01FFEB94" w14:textId="1FB9AE85"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51FD451C" w14:textId="3168D9F7"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E2EFDA"/>
            <w:vAlign w:val="center"/>
            <w:hideMark/>
          </w:tcPr>
          <w:p w14:paraId="7C5133CA" w14:textId="1E7EB4AB"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523CBD73" w14:textId="7DE5D916"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FF0000"/>
            <w:vAlign w:val="center"/>
            <w:hideMark/>
          </w:tcPr>
          <w:p w14:paraId="7F3CC25C" w14:textId="75C62071"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nil"/>
              <w:right w:val="single" w:sz="8" w:space="0" w:color="B5DDDC"/>
            </w:tcBorders>
            <w:shd w:val="clear" w:color="000000" w:fill="E2EFDA"/>
            <w:vAlign w:val="center"/>
            <w:hideMark/>
          </w:tcPr>
          <w:p w14:paraId="58F93E9A" w14:textId="4CD78E34"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E2EFDA"/>
            <w:vAlign w:val="center"/>
            <w:hideMark/>
          </w:tcPr>
          <w:p w14:paraId="6CE38B76" w14:textId="0477442D"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B5DDDC"/>
              <w:left w:val="nil"/>
              <w:bottom w:val="nil"/>
              <w:right w:val="single" w:sz="8" w:space="0" w:color="B5DDDC"/>
            </w:tcBorders>
            <w:shd w:val="clear" w:color="000000" w:fill="E2EFDA"/>
            <w:vAlign w:val="center"/>
            <w:hideMark/>
          </w:tcPr>
          <w:p w14:paraId="706A0ED2" w14:textId="6E7F194F"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FF0000"/>
            <w:vAlign w:val="center"/>
            <w:hideMark/>
          </w:tcPr>
          <w:p w14:paraId="2FC7904A" w14:textId="1CFAD6ED"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15F7466B" w14:textId="5E13F2E0"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4A55410D" w14:textId="3E595EBB"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43AD62D1" w14:textId="0594003B"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6DB4D69F" w14:textId="19D9982D"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4D9A84C7" w14:textId="4BAFA76D"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3BE4993D" w14:textId="2CB6D977"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4BD795EC" w14:textId="7DC16E0A"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289F53A1" w14:textId="00A75E3D"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B5DDDC"/>
              <w:left w:val="nil"/>
              <w:bottom w:val="nil"/>
              <w:right w:val="single" w:sz="8" w:space="0" w:color="B5DDDC"/>
            </w:tcBorders>
            <w:shd w:val="clear" w:color="000000" w:fill="F8CBAD"/>
            <w:vAlign w:val="center"/>
            <w:hideMark/>
          </w:tcPr>
          <w:p w14:paraId="0358199D" w14:textId="2FD6ED27"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65DB5282" w14:textId="6354C456"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B5DDDC"/>
              <w:left w:val="nil"/>
              <w:bottom w:val="nil"/>
              <w:right w:val="single" w:sz="8" w:space="0" w:color="B5DDDC"/>
            </w:tcBorders>
            <w:shd w:val="clear" w:color="000000" w:fill="F8CBAD"/>
            <w:vAlign w:val="center"/>
            <w:hideMark/>
          </w:tcPr>
          <w:p w14:paraId="29F92117" w14:textId="45FD1469"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55773D5B" w14:textId="1904D75D"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vAlign w:val="center"/>
            <w:hideMark/>
          </w:tcPr>
          <w:p w14:paraId="5A79A945"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nil</w:t>
            </w:r>
          </w:p>
        </w:tc>
        <w:tc>
          <w:tcPr>
            <w:tcW w:w="460" w:type="dxa"/>
            <w:tcBorders>
              <w:top w:val="nil"/>
              <w:left w:val="nil"/>
              <w:bottom w:val="nil"/>
              <w:right w:val="single" w:sz="8" w:space="0" w:color="B5DDDC"/>
            </w:tcBorders>
            <w:shd w:val="clear" w:color="000000" w:fill="F8CBAD"/>
            <w:vAlign w:val="center"/>
            <w:hideMark/>
          </w:tcPr>
          <w:p w14:paraId="085F9469" w14:textId="69C6CEBE"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70AD47"/>
            <w:vAlign w:val="center"/>
            <w:hideMark/>
          </w:tcPr>
          <w:p w14:paraId="55CD398A" w14:textId="0AF64590"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70AD47"/>
            <w:vAlign w:val="center"/>
            <w:hideMark/>
          </w:tcPr>
          <w:p w14:paraId="3D254238" w14:textId="24D7666D"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596A2513" w14:textId="76813784"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581D35B9" w14:textId="563BAD93"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73A2E2A7" w14:textId="4A7ECC86"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4ADE28D0" w14:textId="7D790EA3"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single" w:sz="8" w:space="0" w:color="B5DDDC"/>
              <w:right w:val="single" w:sz="8" w:space="0" w:color="B5DDDC"/>
            </w:tcBorders>
            <w:shd w:val="clear" w:color="000000" w:fill="E2EFDA"/>
            <w:vAlign w:val="center"/>
            <w:hideMark/>
          </w:tcPr>
          <w:p w14:paraId="47D08F0D" w14:textId="28337AE1"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B5DDDC"/>
              <w:left w:val="nil"/>
              <w:bottom w:val="nil"/>
              <w:right w:val="single" w:sz="8" w:space="0" w:color="B5DDDC"/>
            </w:tcBorders>
            <w:shd w:val="clear" w:color="000000" w:fill="F8CBAD"/>
            <w:vAlign w:val="center"/>
            <w:hideMark/>
          </w:tcPr>
          <w:p w14:paraId="270CB73F" w14:textId="59FDC05C"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r>
      <w:tr w:rsidR="00785848" w14:paraId="44AEB2E8" w14:textId="77777777" w:rsidTr="002E63E7">
        <w:tc>
          <w:tcPr>
            <w:tcW w:w="15280" w:type="dxa"/>
            <w:gridSpan w:val="33"/>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542C5B12" w14:textId="77777777" w:rsidR="002E63E7" w:rsidRPr="00397A3E" w:rsidRDefault="00171C91" w:rsidP="002E63E7">
            <w:pPr>
              <w:spacing w:before="0" w:after="0" w:line="240" w:lineRule="auto"/>
              <w:rPr>
                <w:rFonts w:ascii="Calibri" w:hAnsi="Calibri" w:cs="Calibri"/>
                <w:b/>
                <w:bCs/>
                <w:noProof w:val="0"/>
                <w:color w:val="000000"/>
                <w:sz w:val="16"/>
                <w:szCs w:val="16"/>
              </w:rPr>
            </w:pPr>
            <w:r w:rsidRPr="00397A3E">
              <w:rPr>
                <w:rFonts w:ascii="Calibri" w:hAnsi="Calibri" w:cs="Calibri"/>
                <w:b/>
                <w:bCs/>
                <w:noProof w:val="0"/>
                <w:color w:val="000000"/>
                <w:sz w:val="16"/>
                <w:szCs w:val="16"/>
              </w:rPr>
              <w:t>Section C: Will the results help locally?</w:t>
            </w:r>
          </w:p>
        </w:tc>
      </w:tr>
      <w:tr w:rsidR="00785848" w14:paraId="69517EBA" w14:textId="77777777" w:rsidTr="002E63E7">
        <w:tc>
          <w:tcPr>
            <w:tcW w:w="560" w:type="dxa"/>
            <w:tcBorders>
              <w:top w:val="nil"/>
              <w:left w:val="single" w:sz="8" w:space="0" w:color="B5DDDC"/>
              <w:bottom w:val="single" w:sz="8" w:space="0" w:color="B5DDDC"/>
              <w:right w:val="single" w:sz="8" w:space="0" w:color="B5DDDC"/>
            </w:tcBorders>
            <w:vAlign w:val="center"/>
            <w:hideMark/>
          </w:tcPr>
          <w:p w14:paraId="7D12414C" w14:textId="77777777" w:rsidR="002E63E7" w:rsidRPr="00397A3E" w:rsidRDefault="00171C91" w:rsidP="002E63E7">
            <w:pPr>
              <w:spacing w:before="0" w:after="0" w:line="240" w:lineRule="auto"/>
              <w:jc w:val="center"/>
              <w:rPr>
                <w:rFonts w:ascii="Calibri" w:hAnsi="Calibri" w:cs="Calibri"/>
                <w:b/>
                <w:bCs/>
                <w:noProof w:val="0"/>
                <w:sz w:val="16"/>
                <w:szCs w:val="16"/>
              </w:rPr>
            </w:pPr>
            <w:r w:rsidRPr="00397A3E">
              <w:rPr>
                <w:rFonts w:ascii="Calibri" w:hAnsi="Calibri" w:cs="Calibri"/>
                <w:b/>
                <w:bCs/>
                <w:noProof w:val="0"/>
                <w:sz w:val="16"/>
                <w:szCs w:val="16"/>
              </w:rPr>
              <w:t>10</w:t>
            </w:r>
          </w:p>
        </w:tc>
        <w:tc>
          <w:tcPr>
            <w:tcW w:w="460" w:type="dxa"/>
            <w:tcBorders>
              <w:top w:val="nil"/>
              <w:left w:val="nil"/>
              <w:bottom w:val="nil"/>
              <w:right w:val="single" w:sz="8" w:space="0" w:color="B5DDDC"/>
            </w:tcBorders>
            <w:shd w:val="clear" w:color="000000" w:fill="E2EFDA"/>
            <w:vAlign w:val="center"/>
            <w:hideMark/>
          </w:tcPr>
          <w:p w14:paraId="40600AB4" w14:textId="76C97338"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E2EFDA"/>
            <w:vAlign w:val="center"/>
            <w:hideMark/>
          </w:tcPr>
          <w:p w14:paraId="3F876C3D" w14:textId="29561778"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E2EFDA"/>
            <w:vAlign w:val="center"/>
            <w:hideMark/>
          </w:tcPr>
          <w:p w14:paraId="495039A0" w14:textId="66CF0E43"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70AD47"/>
            <w:vAlign w:val="center"/>
            <w:hideMark/>
          </w:tcPr>
          <w:p w14:paraId="25BF8452" w14:textId="30631EF8"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nil"/>
              <w:right w:val="single" w:sz="8" w:space="0" w:color="B5DDDC"/>
            </w:tcBorders>
            <w:shd w:val="clear" w:color="000000" w:fill="F8CBAD"/>
            <w:vAlign w:val="center"/>
            <w:hideMark/>
          </w:tcPr>
          <w:p w14:paraId="3F44056C" w14:textId="65A7E8E2"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2F90CC96" w14:textId="759E094E"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F0000"/>
            <w:vAlign w:val="center"/>
            <w:hideMark/>
          </w:tcPr>
          <w:p w14:paraId="610573DA" w14:textId="4AD7E20E"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nil"/>
              <w:right w:val="single" w:sz="8" w:space="0" w:color="B5DDDC"/>
            </w:tcBorders>
            <w:shd w:val="clear" w:color="000000" w:fill="F8CBAD"/>
            <w:vAlign w:val="center"/>
            <w:hideMark/>
          </w:tcPr>
          <w:p w14:paraId="293A5879" w14:textId="57082281"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3E60F179" w14:textId="6E208C85"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F0000"/>
            <w:vAlign w:val="center"/>
            <w:hideMark/>
          </w:tcPr>
          <w:p w14:paraId="281C8ECB" w14:textId="71BBCC77"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nil"/>
              <w:right w:val="single" w:sz="8" w:space="0" w:color="B5DDDC"/>
            </w:tcBorders>
            <w:shd w:val="clear" w:color="000000" w:fill="E2EFDA"/>
            <w:vAlign w:val="center"/>
            <w:hideMark/>
          </w:tcPr>
          <w:p w14:paraId="6A9EC16F" w14:textId="4C9FDEB3"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676FA84C" w14:textId="2C2F6167"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F0000"/>
            <w:vAlign w:val="center"/>
            <w:hideMark/>
          </w:tcPr>
          <w:p w14:paraId="419857CE" w14:textId="30B8873B"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nil"/>
              <w:right w:val="single" w:sz="8" w:space="0" w:color="B5DDDC"/>
            </w:tcBorders>
            <w:shd w:val="clear" w:color="000000" w:fill="E2EFDA"/>
            <w:vAlign w:val="center"/>
            <w:hideMark/>
          </w:tcPr>
          <w:p w14:paraId="0C6D5EC5" w14:textId="3228C1F8"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F0000"/>
            <w:vAlign w:val="center"/>
            <w:hideMark/>
          </w:tcPr>
          <w:p w14:paraId="5AD95261" w14:textId="60A61145"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nil"/>
              <w:right w:val="single" w:sz="8" w:space="0" w:color="B5DDDC"/>
            </w:tcBorders>
            <w:shd w:val="clear" w:color="000000" w:fill="E2EFDA"/>
            <w:vAlign w:val="center"/>
            <w:hideMark/>
          </w:tcPr>
          <w:p w14:paraId="5E3A3086" w14:textId="5DF17D86"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796463FC" w14:textId="14696861"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E2EFDA"/>
            <w:vAlign w:val="center"/>
            <w:hideMark/>
          </w:tcPr>
          <w:p w14:paraId="1B5CBC8D" w14:textId="2AD61DE4"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4FBA2664" w14:textId="734586B2"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335FBADF" w14:textId="4D4D56D2"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7A90D01B" w14:textId="2B088F61"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E2EFDA"/>
            <w:vAlign w:val="center"/>
            <w:hideMark/>
          </w:tcPr>
          <w:p w14:paraId="208C8682" w14:textId="027154F5"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vAlign w:val="center"/>
            <w:hideMark/>
          </w:tcPr>
          <w:p w14:paraId="4A10F5E1" w14:textId="77777777" w:rsidR="002E63E7" w:rsidRPr="00397A3E" w:rsidRDefault="00171C91" w:rsidP="002E63E7">
            <w:pPr>
              <w:spacing w:before="0" w:after="0" w:line="240" w:lineRule="auto"/>
              <w:jc w:val="center"/>
              <w:rPr>
                <w:rFonts w:ascii="Calibri" w:hAnsi="Calibri" w:cs="Calibri"/>
                <w:noProof w:val="0"/>
                <w:sz w:val="16"/>
                <w:szCs w:val="16"/>
              </w:rPr>
            </w:pPr>
            <w:r w:rsidRPr="00397A3E">
              <w:rPr>
                <w:rFonts w:ascii="Calibri" w:hAnsi="Calibri" w:cs="Calibri"/>
                <w:noProof w:val="0"/>
                <w:sz w:val="16"/>
                <w:szCs w:val="16"/>
              </w:rPr>
              <w:t>nil</w:t>
            </w:r>
          </w:p>
        </w:tc>
        <w:tc>
          <w:tcPr>
            <w:tcW w:w="460" w:type="dxa"/>
            <w:tcBorders>
              <w:top w:val="nil"/>
              <w:left w:val="nil"/>
              <w:bottom w:val="nil"/>
              <w:right w:val="single" w:sz="8" w:space="0" w:color="B5DDDC"/>
            </w:tcBorders>
            <w:shd w:val="clear" w:color="000000" w:fill="F8CBAD"/>
            <w:vAlign w:val="center"/>
            <w:hideMark/>
          </w:tcPr>
          <w:p w14:paraId="07B58B9D" w14:textId="50D4F0E0"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70AD47"/>
            <w:vAlign w:val="center"/>
            <w:hideMark/>
          </w:tcPr>
          <w:p w14:paraId="5AB9B577" w14:textId="1429B239"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nil"/>
              <w:left w:val="nil"/>
              <w:bottom w:val="nil"/>
              <w:right w:val="single" w:sz="8" w:space="0" w:color="B5DDDC"/>
            </w:tcBorders>
            <w:shd w:val="clear" w:color="000000" w:fill="E2EFDA"/>
            <w:vAlign w:val="center"/>
            <w:hideMark/>
          </w:tcPr>
          <w:p w14:paraId="21736F3F" w14:textId="1EA6EDF4"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647F95A2" w14:textId="05037ACB"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0D9C4836" w14:textId="718A665B"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3F8B09B9" w14:textId="65859C21"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5400CA55" w14:textId="51C38D8E"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3D5F0DB3" w14:textId="561A6C2F"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nil"/>
              <w:left w:val="nil"/>
              <w:bottom w:val="nil"/>
              <w:right w:val="single" w:sz="8" w:space="0" w:color="B5DDDC"/>
            </w:tcBorders>
            <w:shd w:val="clear" w:color="000000" w:fill="F8CBAD"/>
            <w:vAlign w:val="center"/>
            <w:hideMark/>
          </w:tcPr>
          <w:p w14:paraId="029D584F" w14:textId="4EB51A9E"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r>
      <w:tr w:rsidR="00785848" w14:paraId="374CD1D6" w14:textId="77777777" w:rsidTr="00D73126">
        <w:tc>
          <w:tcPr>
            <w:tcW w:w="560"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76778FF8" w14:textId="14CB0D8C" w:rsidR="002E63E7" w:rsidRPr="00397A3E" w:rsidRDefault="00171C91" w:rsidP="002E63E7">
            <w:pPr>
              <w:spacing w:before="0" w:after="0" w:line="240" w:lineRule="auto"/>
              <w:rPr>
                <w:rFonts w:ascii="Calibri" w:hAnsi="Calibri" w:cs="Calibri"/>
                <w:b/>
                <w:bCs/>
                <w:noProof w:val="0"/>
                <w:color w:val="000000"/>
                <w:sz w:val="16"/>
                <w:szCs w:val="16"/>
              </w:rPr>
            </w:pPr>
            <w:r w:rsidRPr="00397A3E">
              <w:rPr>
                <w:rFonts w:ascii="Calibri" w:hAnsi="Calibri" w:cs="Calibri"/>
                <w:b/>
                <w:bCs/>
                <w:noProof w:val="0"/>
                <w:color w:val="000000"/>
                <w:sz w:val="16"/>
                <w:szCs w:val="16"/>
              </w:rPr>
              <w:t>Overall</w:t>
            </w:r>
          </w:p>
        </w:tc>
        <w:tc>
          <w:tcPr>
            <w:tcW w:w="460" w:type="dxa"/>
            <w:tcBorders>
              <w:top w:val="single" w:sz="8" w:space="0" w:color="008000"/>
              <w:left w:val="single" w:sz="8" w:space="0" w:color="B5DDDC"/>
              <w:bottom w:val="single" w:sz="8" w:space="0" w:color="008000"/>
              <w:right w:val="single" w:sz="8" w:space="0" w:color="B5DDDC"/>
            </w:tcBorders>
            <w:shd w:val="clear" w:color="000000" w:fill="E2EFDA"/>
            <w:vAlign w:val="center"/>
            <w:hideMark/>
          </w:tcPr>
          <w:p w14:paraId="63DB0B3D" w14:textId="4CD367C9"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E2EFDA"/>
            <w:vAlign w:val="center"/>
            <w:hideMark/>
          </w:tcPr>
          <w:p w14:paraId="654AFD99" w14:textId="65415F23"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E2EFDA"/>
            <w:vAlign w:val="center"/>
            <w:hideMark/>
          </w:tcPr>
          <w:p w14:paraId="08EFB9A4" w14:textId="17EBA8BE"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E2EFDA"/>
            <w:vAlign w:val="center"/>
            <w:hideMark/>
          </w:tcPr>
          <w:p w14:paraId="6FB180FF" w14:textId="46B5517F"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F8CBAD"/>
            <w:vAlign w:val="center"/>
            <w:hideMark/>
          </w:tcPr>
          <w:p w14:paraId="07AEAE3A" w14:textId="35045220"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F8CBAD"/>
            <w:vAlign w:val="center"/>
            <w:hideMark/>
          </w:tcPr>
          <w:p w14:paraId="535E96A6" w14:textId="01CF5911"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F8CBAD"/>
            <w:vAlign w:val="center"/>
            <w:hideMark/>
          </w:tcPr>
          <w:p w14:paraId="6EC64541" w14:textId="0A988093"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F8CBAD"/>
            <w:vAlign w:val="center"/>
            <w:hideMark/>
          </w:tcPr>
          <w:p w14:paraId="475BBE7B" w14:textId="17893F01"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F8CBAD"/>
            <w:vAlign w:val="center"/>
            <w:hideMark/>
          </w:tcPr>
          <w:p w14:paraId="25A755DE" w14:textId="0742CB4B"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FF0000"/>
            <w:vAlign w:val="center"/>
            <w:hideMark/>
          </w:tcPr>
          <w:p w14:paraId="1F95EFAE" w14:textId="287DC0D8"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single" w:sz="8" w:space="0" w:color="008000"/>
              <w:left w:val="nil"/>
              <w:bottom w:val="single" w:sz="8" w:space="0" w:color="008000"/>
              <w:right w:val="single" w:sz="8" w:space="0" w:color="B5DDDC"/>
            </w:tcBorders>
            <w:shd w:val="clear" w:color="000000" w:fill="E2EFDA"/>
            <w:vAlign w:val="center"/>
            <w:hideMark/>
          </w:tcPr>
          <w:p w14:paraId="5618AB5E" w14:textId="7B5BF053"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FF0000"/>
            <w:vAlign w:val="center"/>
            <w:hideMark/>
          </w:tcPr>
          <w:p w14:paraId="0B732818" w14:textId="111F9E26"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single" w:sz="8" w:space="0" w:color="008000"/>
              <w:left w:val="nil"/>
              <w:bottom w:val="single" w:sz="8" w:space="0" w:color="008000"/>
              <w:right w:val="single" w:sz="8" w:space="0" w:color="B5DDDC"/>
            </w:tcBorders>
            <w:shd w:val="clear" w:color="auto" w:fill="FF0000"/>
            <w:vAlign w:val="center"/>
            <w:hideMark/>
          </w:tcPr>
          <w:p w14:paraId="5BD5C642" w14:textId="0502C896"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single" w:sz="8" w:space="0" w:color="008000"/>
              <w:left w:val="nil"/>
              <w:bottom w:val="single" w:sz="8" w:space="0" w:color="008000"/>
              <w:right w:val="single" w:sz="8" w:space="0" w:color="B5DDDC"/>
            </w:tcBorders>
            <w:shd w:val="clear" w:color="000000" w:fill="E2EFDA"/>
            <w:vAlign w:val="center"/>
            <w:hideMark/>
          </w:tcPr>
          <w:p w14:paraId="3323ABE4" w14:textId="56D5DF7C"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FF0000"/>
            <w:vAlign w:val="center"/>
            <w:hideMark/>
          </w:tcPr>
          <w:p w14:paraId="7A862277" w14:textId="65EB6C57"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single" w:sz="8" w:space="0" w:color="008000"/>
              <w:left w:val="nil"/>
              <w:bottom w:val="single" w:sz="8" w:space="0" w:color="008000"/>
              <w:right w:val="single" w:sz="8" w:space="0" w:color="B5DDDC"/>
            </w:tcBorders>
            <w:shd w:val="clear" w:color="000000" w:fill="E2EFDA"/>
            <w:vAlign w:val="center"/>
            <w:hideMark/>
          </w:tcPr>
          <w:p w14:paraId="06E52ADE" w14:textId="13A82CB6"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F8CBAD"/>
            <w:vAlign w:val="center"/>
            <w:hideMark/>
          </w:tcPr>
          <w:p w14:paraId="20AA2F09" w14:textId="35C7F332"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E2EFDA"/>
            <w:vAlign w:val="center"/>
            <w:hideMark/>
          </w:tcPr>
          <w:p w14:paraId="3BDB4270" w14:textId="52C99E07"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F8CBAD"/>
            <w:vAlign w:val="center"/>
            <w:hideMark/>
          </w:tcPr>
          <w:p w14:paraId="6590982E" w14:textId="1BC05CB8"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F8CBAD"/>
            <w:vAlign w:val="center"/>
            <w:hideMark/>
          </w:tcPr>
          <w:p w14:paraId="772B0036" w14:textId="3DB1C115"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F8CBAD"/>
            <w:vAlign w:val="center"/>
            <w:hideMark/>
          </w:tcPr>
          <w:p w14:paraId="47B42036" w14:textId="67490BFB"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E2EFDA"/>
            <w:vAlign w:val="center"/>
            <w:hideMark/>
          </w:tcPr>
          <w:p w14:paraId="6444968D" w14:textId="785D95B7"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FF0000"/>
            <w:vAlign w:val="center"/>
            <w:hideMark/>
          </w:tcPr>
          <w:p w14:paraId="36507E62" w14:textId="39457F26"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single" w:sz="8" w:space="0" w:color="008000"/>
              <w:left w:val="nil"/>
              <w:bottom w:val="single" w:sz="8" w:space="0" w:color="008000"/>
              <w:right w:val="single" w:sz="8" w:space="0" w:color="B5DDDC"/>
            </w:tcBorders>
            <w:shd w:val="clear" w:color="000000" w:fill="F8CBAD"/>
            <w:vAlign w:val="center"/>
            <w:hideMark/>
          </w:tcPr>
          <w:p w14:paraId="490D434D" w14:textId="3A2B9D69"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70AD47"/>
            <w:vAlign w:val="center"/>
            <w:hideMark/>
          </w:tcPr>
          <w:p w14:paraId="1CDBC8AD" w14:textId="36429F5C" w:rsidR="002E63E7" w:rsidRPr="00397A3E" w:rsidRDefault="00171C91" w:rsidP="002E63E7">
            <w:pPr>
              <w:spacing w:before="0" w:after="0" w:line="240" w:lineRule="auto"/>
              <w:jc w:val="center"/>
              <w:rPr>
                <w:rFonts w:ascii="Calibri" w:hAnsi="Calibri" w:cs="Calibri"/>
                <w:b/>
                <w:bCs/>
                <w:noProof w:val="0"/>
                <w:color w:val="FFFFFF"/>
                <w:szCs w:val="20"/>
              </w:rPr>
            </w:pPr>
            <w:r w:rsidRPr="00397A3E">
              <w:rPr>
                <w:rFonts w:ascii="Calibri" w:hAnsi="Calibri" w:cs="Calibri"/>
                <w:b/>
                <w:bCs/>
                <w:noProof w:val="0"/>
                <w:color w:val="FFFFFF"/>
                <w:szCs w:val="20"/>
              </w:rPr>
              <w:t>++</w:t>
            </w:r>
          </w:p>
        </w:tc>
        <w:tc>
          <w:tcPr>
            <w:tcW w:w="460" w:type="dxa"/>
            <w:tcBorders>
              <w:top w:val="single" w:sz="8" w:space="0" w:color="008000"/>
              <w:left w:val="nil"/>
              <w:bottom w:val="single" w:sz="8" w:space="0" w:color="008000"/>
              <w:right w:val="single" w:sz="8" w:space="0" w:color="B5DDDC"/>
            </w:tcBorders>
            <w:shd w:val="clear" w:color="000000" w:fill="E2EFDA"/>
            <w:vAlign w:val="center"/>
            <w:hideMark/>
          </w:tcPr>
          <w:p w14:paraId="36AE574F" w14:textId="34E85A93"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F8CBAD"/>
            <w:vAlign w:val="center"/>
            <w:hideMark/>
          </w:tcPr>
          <w:p w14:paraId="59584FF5" w14:textId="50E77E30"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F8CBAD"/>
            <w:vAlign w:val="center"/>
            <w:hideMark/>
          </w:tcPr>
          <w:p w14:paraId="2C00572D" w14:textId="5BE0C789"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F8CBAD"/>
            <w:vAlign w:val="center"/>
            <w:hideMark/>
          </w:tcPr>
          <w:p w14:paraId="241D25C7" w14:textId="5953B347"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F8CBAD"/>
            <w:vAlign w:val="center"/>
            <w:hideMark/>
          </w:tcPr>
          <w:p w14:paraId="0D3F0143" w14:textId="7B1182D5"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B5DDDC"/>
            </w:tcBorders>
            <w:shd w:val="clear" w:color="000000" w:fill="F8CBAD"/>
            <w:vAlign w:val="center"/>
            <w:hideMark/>
          </w:tcPr>
          <w:p w14:paraId="45202322" w14:textId="69D50FA0"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c>
          <w:tcPr>
            <w:tcW w:w="460" w:type="dxa"/>
            <w:tcBorders>
              <w:top w:val="single" w:sz="8" w:space="0" w:color="008000"/>
              <w:left w:val="nil"/>
              <w:bottom w:val="single" w:sz="8" w:space="0" w:color="008000"/>
              <w:right w:val="single" w:sz="8" w:space="0" w:color="008000"/>
            </w:tcBorders>
            <w:shd w:val="clear" w:color="000000" w:fill="F8CBAD"/>
            <w:vAlign w:val="center"/>
            <w:hideMark/>
          </w:tcPr>
          <w:p w14:paraId="7CF0A73D" w14:textId="2DC55CD8" w:rsidR="002E63E7" w:rsidRPr="00397A3E" w:rsidRDefault="00171C91" w:rsidP="002E63E7">
            <w:pPr>
              <w:spacing w:before="0" w:after="0" w:line="240" w:lineRule="auto"/>
              <w:jc w:val="center"/>
              <w:rPr>
                <w:rFonts w:ascii="Calibri" w:hAnsi="Calibri" w:cs="Calibri"/>
                <w:b/>
                <w:bCs/>
                <w:noProof w:val="0"/>
                <w:szCs w:val="20"/>
              </w:rPr>
            </w:pPr>
            <w:r w:rsidRPr="00397A3E">
              <w:rPr>
                <w:rFonts w:ascii="Calibri" w:hAnsi="Calibri" w:cs="Calibri"/>
                <w:b/>
                <w:bCs/>
                <w:noProof w:val="0"/>
                <w:szCs w:val="20"/>
              </w:rPr>
              <w:t>-</w:t>
            </w:r>
          </w:p>
        </w:tc>
      </w:tr>
    </w:tbl>
    <w:p w14:paraId="6CBF4588" w14:textId="18A4809E" w:rsidR="00823F91" w:rsidRPr="00397A3E" w:rsidRDefault="00171C91" w:rsidP="00212BE6">
      <w:pPr>
        <w:spacing w:before="0" w:after="0" w:line="240" w:lineRule="auto"/>
        <w:ind w:left="-567"/>
        <w:rPr>
          <w:rFonts w:ascii="Calibri" w:hAnsi="Calibri" w:cs="Calibri"/>
          <w:noProof w:val="0"/>
        </w:rPr>
      </w:pPr>
      <w:r w:rsidRPr="00397A3E">
        <w:rPr>
          <w:rFonts w:ascii="Calibri" w:hAnsi="Calibri" w:cs="Calibri"/>
          <w:noProof w:val="0"/>
        </w:rPr>
        <w:t xml:space="preserve">Key to </w:t>
      </w:r>
      <w:r w:rsidR="00B145D3" w:rsidRPr="00397A3E">
        <w:rPr>
          <w:rFonts w:ascii="Calibri" w:hAnsi="Calibri" w:cs="Calibri"/>
          <w:noProof w:val="0"/>
        </w:rPr>
        <w:fldChar w:fldCharType="begin"/>
      </w:r>
      <w:r w:rsidR="00B145D3" w:rsidRPr="00397A3E">
        <w:rPr>
          <w:rFonts w:ascii="Calibri" w:hAnsi="Calibri" w:cs="Calibri"/>
          <w:noProof w:val="0"/>
        </w:rPr>
        <w:instrText xml:space="preserve"> REF _Ref71820151 \h  \* MERGEFORMAT </w:instrText>
      </w:r>
      <w:r w:rsidR="00B145D3" w:rsidRPr="00397A3E">
        <w:rPr>
          <w:rFonts w:ascii="Calibri" w:hAnsi="Calibri" w:cs="Calibri"/>
          <w:noProof w:val="0"/>
        </w:rPr>
      </w:r>
      <w:r w:rsidR="00B145D3" w:rsidRPr="00397A3E">
        <w:rPr>
          <w:rFonts w:ascii="Calibri" w:hAnsi="Calibri" w:cs="Calibri"/>
          <w:noProof w:val="0"/>
        </w:rPr>
        <w:fldChar w:fldCharType="separate"/>
      </w:r>
      <w:r w:rsidR="001A0E9F" w:rsidRPr="001A0E9F">
        <w:rPr>
          <w:rFonts w:ascii="Calibri" w:hAnsi="Calibri" w:cs="Calibri"/>
          <w:noProof w:val="0"/>
        </w:rPr>
        <w:t>Table 4</w:t>
      </w:r>
      <w:r w:rsidR="001A0E9F" w:rsidRPr="001A0E9F">
        <w:rPr>
          <w:rFonts w:ascii="Calibri" w:hAnsi="Calibri" w:cs="Calibri"/>
          <w:noProof w:val="0"/>
        </w:rPr>
        <w:noBreakHyphen/>
        <w:t>2</w:t>
      </w:r>
      <w:r w:rsidR="00B145D3" w:rsidRPr="00397A3E">
        <w:rPr>
          <w:rFonts w:ascii="Calibri" w:hAnsi="Calibri" w:cs="Calibri"/>
          <w:noProof w:val="0"/>
        </w:rPr>
        <w:fldChar w:fldCharType="end"/>
      </w:r>
    </w:p>
    <w:tbl>
      <w:tblPr>
        <w:tblStyle w:val="TableGrid"/>
        <w:tblW w:w="0" w:type="auto"/>
        <w:tblInd w:w="-567" w:type="dxa"/>
        <w:tblBorders>
          <w:top w:val="single" w:sz="8" w:space="0" w:color="B5DDDC"/>
          <w:left w:val="single" w:sz="8" w:space="0" w:color="B5DDDC"/>
          <w:bottom w:val="single" w:sz="8" w:space="0" w:color="B5DDDC"/>
          <w:right w:val="single" w:sz="8" w:space="0" w:color="B5DDDC"/>
          <w:insideH w:val="single" w:sz="8" w:space="0" w:color="B5DDDC"/>
          <w:insideV w:val="single" w:sz="8" w:space="0" w:color="B5DDDC"/>
        </w:tblBorders>
        <w:tblLook w:val="04A0" w:firstRow="1" w:lastRow="0" w:firstColumn="1" w:lastColumn="0" w:noHBand="0" w:noVBand="1"/>
      </w:tblPr>
      <w:tblGrid>
        <w:gridCol w:w="953"/>
        <w:gridCol w:w="953"/>
        <w:gridCol w:w="954"/>
        <w:gridCol w:w="954"/>
        <w:gridCol w:w="954"/>
        <w:gridCol w:w="955"/>
        <w:gridCol w:w="955"/>
        <w:gridCol w:w="955"/>
      </w:tblGrid>
      <w:tr w:rsidR="00785848" w14:paraId="32778C83" w14:textId="77777777" w:rsidTr="00212BE6">
        <w:tc>
          <w:tcPr>
            <w:tcW w:w="953" w:type="dxa"/>
            <w:shd w:val="clear" w:color="auto" w:fill="70AD47"/>
            <w:vAlign w:val="center"/>
          </w:tcPr>
          <w:p w14:paraId="305BEC5A" w14:textId="5BA59A9F" w:rsidR="00EF72A4" w:rsidRPr="00397A3E" w:rsidRDefault="00171C91" w:rsidP="00282A69">
            <w:pPr>
              <w:spacing w:before="0" w:after="0" w:line="240" w:lineRule="auto"/>
              <w:jc w:val="center"/>
              <w:rPr>
                <w:rFonts w:ascii="Calibri" w:hAnsi="Calibri" w:cs="Calibri"/>
                <w:noProof w:val="0"/>
                <w:sz w:val="20"/>
                <w:szCs w:val="20"/>
              </w:rPr>
            </w:pPr>
            <w:r w:rsidRPr="00397A3E">
              <w:rPr>
                <w:rFonts w:asciiTheme="minorHAnsi" w:hAnsiTheme="minorHAnsi" w:cstheme="minorHAnsi"/>
                <w:b/>
                <w:bCs/>
                <w:noProof w:val="0"/>
                <w:color w:val="FFFFFF" w:themeColor="background1"/>
                <w:sz w:val="20"/>
                <w:szCs w:val="20"/>
              </w:rPr>
              <w:t>++</w:t>
            </w:r>
          </w:p>
        </w:tc>
        <w:tc>
          <w:tcPr>
            <w:tcW w:w="953" w:type="dxa"/>
          </w:tcPr>
          <w:p w14:paraId="51871216" w14:textId="3A192A04" w:rsidR="00EF72A4" w:rsidRPr="00397A3E" w:rsidRDefault="00171C91" w:rsidP="00282A69">
            <w:pPr>
              <w:spacing w:before="0" w:after="0" w:line="240" w:lineRule="auto"/>
              <w:jc w:val="center"/>
              <w:rPr>
                <w:rFonts w:ascii="Calibri" w:hAnsi="Calibri" w:cs="Calibri"/>
                <w:noProof w:val="0"/>
                <w:sz w:val="16"/>
                <w:szCs w:val="16"/>
              </w:rPr>
            </w:pPr>
            <w:r w:rsidRPr="00397A3E">
              <w:rPr>
                <w:rFonts w:asciiTheme="minorHAnsi" w:hAnsiTheme="minorHAnsi" w:cstheme="minorHAnsi"/>
                <w:b/>
                <w:i/>
                <w:noProof w:val="0"/>
                <w:sz w:val="16"/>
                <w:szCs w:val="16"/>
                <w:lang w:bidi="en-US"/>
              </w:rPr>
              <w:t xml:space="preserve">Definitely Low </w:t>
            </w:r>
            <w:r w:rsidRPr="00397A3E">
              <w:rPr>
                <w:rFonts w:asciiTheme="minorHAnsi" w:hAnsiTheme="minorHAnsi" w:cstheme="minorHAnsi"/>
                <w:i/>
                <w:noProof w:val="0"/>
                <w:sz w:val="16"/>
                <w:szCs w:val="16"/>
                <w:lang w:bidi="en-US"/>
              </w:rPr>
              <w:t>risk of bias</w:t>
            </w:r>
            <w:r w:rsidRPr="00397A3E">
              <w:rPr>
                <w:rFonts w:asciiTheme="minorHAnsi" w:hAnsiTheme="minorHAnsi" w:cstheme="minorHAnsi"/>
                <w:noProof w:val="0"/>
                <w:sz w:val="16"/>
                <w:szCs w:val="16"/>
                <w:lang w:bidi="en-US"/>
              </w:rPr>
              <w:t>:</w:t>
            </w:r>
          </w:p>
        </w:tc>
        <w:tc>
          <w:tcPr>
            <w:tcW w:w="954" w:type="dxa"/>
            <w:shd w:val="clear" w:color="auto" w:fill="E2EFDA"/>
            <w:vAlign w:val="center"/>
          </w:tcPr>
          <w:p w14:paraId="45CDA438" w14:textId="2D524C48" w:rsidR="00EF72A4" w:rsidRPr="00397A3E" w:rsidRDefault="00171C91" w:rsidP="00282A69">
            <w:pPr>
              <w:spacing w:before="0" w:after="0" w:line="240" w:lineRule="auto"/>
              <w:jc w:val="center"/>
              <w:rPr>
                <w:rFonts w:ascii="Calibri" w:hAnsi="Calibri" w:cs="Calibri"/>
                <w:noProof w:val="0"/>
                <w:sz w:val="20"/>
                <w:szCs w:val="20"/>
              </w:rPr>
            </w:pPr>
            <w:r w:rsidRPr="00397A3E">
              <w:rPr>
                <w:rFonts w:asciiTheme="minorHAnsi" w:hAnsiTheme="minorHAnsi" w:cstheme="minorHAnsi"/>
                <w:b/>
                <w:noProof w:val="0"/>
                <w:sz w:val="20"/>
                <w:szCs w:val="20"/>
                <w:lang w:bidi="en-US"/>
              </w:rPr>
              <w:t>+</w:t>
            </w:r>
          </w:p>
        </w:tc>
        <w:tc>
          <w:tcPr>
            <w:tcW w:w="954" w:type="dxa"/>
          </w:tcPr>
          <w:p w14:paraId="7D21C418" w14:textId="27EE3AEE" w:rsidR="00EF72A4" w:rsidRPr="00397A3E" w:rsidRDefault="00171C91" w:rsidP="00282A69">
            <w:pPr>
              <w:spacing w:before="0" w:after="0" w:line="240" w:lineRule="auto"/>
              <w:jc w:val="center"/>
              <w:rPr>
                <w:rFonts w:ascii="Calibri" w:hAnsi="Calibri" w:cs="Calibri"/>
                <w:noProof w:val="0"/>
                <w:sz w:val="16"/>
                <w:szCs w:val="16"/>
              </w:rPr>
            </w:pPr>
            <w:r w:rsidRPr="00397A3E">
              <w:rPr>
                <w:rFonts w:asciiTheme="minorHAnsi" w:hAnsiTheme="minorHAnsi" w:cstheme="minorHAnsi"/>
                <w:b/>
                <w:i/>
                <w:noProof w:val="0"/>
                <w:sz w:val="16"/>
                <w:szCs w:val="16"/>
                <w:lang w:bidi="en-US"/>
              </w:rPr>
              <w:t xml:space="preserve">Probably Low </w:t>
            </w:r>
            <w:r w:rsidRPr="00397A3E">
              <w:rPr>
                <w:rFonts w:asciiTheme="minorHAnsi" w:hAnsiTheme="minorHAnsi" w:cstheme="minorHAnsi"/>
                <w:i/>
                <w:noProof w:val="0"/>
                <w:sz w:val="16"/>
                <w:szCs w:val="16"/>
                <w:lang w:bidi="en-US"/>
              </w:rPr>
              <w:t>risk of bias</w:t>
            </w:r>
          </w:p>
        </w:tc>
        <w:tc>
          <w:tcPr>
            <w:tcW w:w="954" w:type="dxa"/>
            <w:shd w:val="clear" w:color="auto" w:fill="F8CBAD"/>
            <w:vAlign w:val="center"/>
          </w:tcPr>
          <w:p w14:paraId="136CBF10" w14:textId="0116C530" w:rsidR="00EF72A4" w:rsidRPr="00397A3E" w:rsidRDefault="00171C91" w:rsidP="00282A69">
            <w:pPr>
              <w:spacing w:before="0" w:after="0" w:line="240" w:lineRule="auto"/>
              <w:jc w:val="center"/>
              <w:rPr>
                <w:rFonts w:ascii="Calibri" w:hAnsi="Calibri" w:cs="Calibri"/>
                <w:b/>
                <w:noProof w:val="0"/>
                <w:sz w:val="20"/>
                <w:szCs w:val="20"/>
              </w:rPr>
            </w:pPr>
            <w:r w:rsidRPr="00397A3E">
              <w:rPr>
                <w:rFonts w:asciiTheme="minorHAnsi" w:hAnsiTheme="minorHAnsi" w:cstheme="minorHAnsi"/>
                <w:b/>
                <w:noProof w:val="0"/>
                <w:sz w:val="20"/>
                <w:szCs w:val="20"/>
                <w:lang w:bidi="en-US"/>
              </w:rPr>
              <w:t>-</w:t>
            </w:r>
          </w:p>
        </w:tc>
        <w:tc>
          <w:tcPr>
            <w:tcW w:w="955" w:type="dxa"/>
          </w:tcPr>
          <w:p w14:paraId="4DEA837B" w14:textId="1FAC9F2A" w:rsidR="00EF72A4" w:rsidRPr="00397A3E" w:rsidRDefault="00171C91" w:rsidP="00282A69">
            <w:pPr>
              <w:spacing w:before="0" w:after="0" w:line="240" w:lineRule="auto"/>
              <w:jc w:val="center"/>
              <w:rPr>
                <w:rFonts w:ascii="Calibri" w:hAnsi="Calibri" w:cs="Calibri"/>
                <w:noProof w:val="0"/>
                <w:sz w:val="16"/>
                <w:szCs w:val="16"/>
              </w:rPr>
            </w:pPr>
            <w:r w:rsidRPr="00397A3E">
              <w:rPr>
                <w:rFonts w:asciiTheme="minorHAnsi" w:hAnsiTheme="minorHAnsi" w:cstheme="minorHAnsi"/>
                <w:b/>
                <w:i/>
                <w:noProof w:val="0"/>
                <w:sz w:val="16"/>
                <w:szCs w:val="16"/>
                <w:lang w:bidi="en-US"/>
              </w:rPr>
              <w:t xml:space="preserve">Probably High </w:t>
            </w:r>
            <w:r w:rsidRPr="00397A3E">
              <w:rPr>
                <w:rFonts w:asciiTheme="minorHAnsi" w:hAnsiTheme="minorHAnsi" w:cstheme="minorHAnsi"/>
                <w:i/>
                <w:noProof w:val="0"/>
                <w:sz w:val="16"/>
                <w:szCs w:val="16"/>
                <w:lang w:bidi="en-US"/>
              </w:rPr>
              <w:t>risk of bias</w:t>
            </w:r>
            <w:r w:rsidRPr="00397A3E">
              <w:rPr>
                <w:rFonts w:asciiTheme="minorHAnsi" w:hAnsiTheme="minorHAnsi" w:cstheme="minorHAnsi"/>
                <w:noProof w:val="0"/>
                <w:sz w:val="16"/>
                <w:szCs w:val="16"/>
                <w:lang w:bidi="en-US"/>
              </w:rPr>
              <w:t>:</w:t>
            </w:r>
          </w:p>
        </w:tc>
        <w:tc>
          <w:tcPr>
            <w:tcW w:w="955" w:type="dxa"/>
            <w:shd w:val="clear" w:color="auto" w:fill="FF0000"/>
            <w:vAlign w:val="center"/>
          </w:tcPr>
          <w:p w14:paraId="38C2E824" w14:textId="0E60F09A" w:rsidR="00EF72A4" w:rsidRPr="00397A3E" w:rsidRDefault="00171C91" w:rsidP="00282A69">
            <w:pPr>
              <w:spacing w:before="0" w:after="0" w:line="240" w:lineRule="auto"/>
              <w:jc w:val="center"/>
              <w:rPr>
                <w:rFonts w:ascii="Calibri" w:hAnsi="Calibri" w:cs="Calibri"/>
                <w:b/>
                <w:bCs/>
                <w:noProof w:val="0"/>
                <w:sz w:val="20"/>
                <w:szCs w:val="20"/>
              </w:rPr>
            </w:pPr>
            <w:r w:rsidRPr="00397A3E">
              <w:rPr>
                <w:rFonts w:asciiTheme="minorHAnsi" w:hAnsiTheme="minorHAnsi" w:cstheme="minorHAnsi"/>
                <w:b/>
                <w:bCs/>
                <w:noProof w:val="0"/>
                <w:color w:val="FFFFFF" w:themeColor="background1"/>
                <w:sz w:val="20"/>
                <w:szCs w:val="20"/>
              </w:rPr>
              <w:t>--</w:t>
            </w:r>
          </w:p>
        </w:tc>
        <w:tc>
          <w:tcPr>
            <w:tcW w:w="955" w:type="dxa"/>
          </w:tcPr>
          <w:p w14:paraId="28507A7B" w14:textId="5D663A19" w:rsidR="00EF72A4" w:rsidRPr="00397A3E" w:rsidRDefault="00171C91" w:rsidP="00282A69">
            <w:pPr>
              <w:spacing w:before="0" w:after="0" w:line="240" w:lineRule="auto"/>
              <w:jc w:val="center"/>
              <w:rPr>
                <w:rFonts w:ascii="Calibri" w:hAnsi="Calibri" w:cs="Calibri"/>
                <w:noProof w:val="0"/>
                <w:sz w:val="16"/>
                <w:szCs w:val="16"/>
              </w:rPr>
            </w:pPr>
            <w:r w:rsidRPr="00397A3E">
              <w:rPr>
                <w:rFonts w:asciiTheme="minorHAnsi" w:hAnsiTheme="minorHAnsi" w:cstheme="minorHAnsi"/>
                <w:b/>
                <w:i/>
                <w:noProof w:val="0"/>
                <w:sz w:val="16"/>
                <w:szCs w:val="16"/>
                <w:lang w:bidi="en-US"/>
              </w:rPr>
              <w:t xml:space="preserve">Definitely High </w:t>
            </w:r>
            <w:r w:rsidRPr="00397A3E">
              <w:rPr>
                <w:rFonts w:asciiTheme="minorHAnsi" w:hAnsiTheme="minorHAnsi" w:cstheme="minorHAnsi"/>
                <w:i/>
                <w:noProof w:val="0"/>
                <w:sz w:val="16"/>
                <w:szCs w:val="16"/>
                <w:lang w:bidi="en-US"/>
              </w:rPr>
              <w:t>risk of bias</w:t>
            </w:r>
            <w:r w:rsidRPr="00397A3E">
              <w:rPr>
                <w:rFonts w:asciiTheme="minorHAnsi" w:hAnsiTheme="minorHAnsi" w:cstheme="minorHAnsi"/>
                <w:noProof w:val="0"/>
                <w:sz w:val="16"/>
                <w:szCs w:val="16"/>
                <w:lang w:bidi="en-US"/>
              </w:rPr>
              <w:t>:</w:t>
            </w:r>
          </w:p>
        </w:tc>
      </w:tr>
    </w:tbl>
    <w:p w14:paraId="1C43041B" w14:textId="77777777" w:rsidR="00D73126" w:rsidRPr="00397A3E" w:rsidRDefault="00D73126" w:rsidP="00A50CEE">
      <w:pPr>
        <w:spacing w:before="0" w:after="0" w:line="240" w:lineRule="auto"/>
        <w:rPr>
          <w:rFonts w:asciiTheme="minorHAnsi" w:hAnsiTheme="minorHAnsi" w:cstheme="minorHAnsi"/>
          <w:noProof w:val="0"/>
          <w:color w:val="365F91" w:themeColor="accent1" w:themeShade="BF"/>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8"/>
        <w:gridCol w:w="6644"/>
      </w:tblGrid>
      <w:tr w:rsidR="00785848" w14:paraId="650B9B80" w14:textId="031C26C3" w:rsidTr="009D63AB">
        <w:tc>
          <w:tcPr>
            <w:tcW w:w="7178" w:type="dxa"/>
            <w:tcBorders>
              <w:bottom w:val="single" w:sz="4" w:space="0" w:color="auto"/>
            </w:tcBorders>
          </w:tcPr>
          <w:p w14:paraId="10F6BF0A" w14:textId="77777777" w:rsidR="00D73126" w:rsidRPr="00397A3E" w:rsidRDefault="00171C91" w:rsidP="0075369B">
            <w:pPr>
              <w:spacing w:before="0" w:after="0" w:line="240" w:lineRule="auto"/>
              <w:rPr>
                <w:rFonts w:asciiTheme="minorHAnsi" w:hAnsiTheme="minorHAnsi" w:cstheme="minorHAnsi"/>
                <w:noProof w:val="0"/>
                <w:szCs w:val="18"/>
              </w:rPr>
            </w:pPr>
            <w:r w:rsidRPr="00397A3E">
              <w:rPr>
                <w:rFonts w:asciiTheme="minorHAnsi" w:hAnsiTheme="minorHAnsi" w:cstheme="minorHAnsi"/>
                <w:b/>
                <w:bCs/>
                <w:noProof w:val="0"/>
                <w:szCs w:val="18"/>
              </w:rPr>
              <w:t>Questions</w:t>
            </w:r>
            <w:r w:rsidRPr="00397A3E">
              <w:rPr>
                <w:rFonts w:asciiTheme="minorHAnsi" w:hAnsiTheme="minorHAnsi" w:cstheme="minorHAnsi"/>
                <w:noProof w:val="0"/>
                <w:szCs w:val="18"/>
              </w:rPr>
              <w:t>:</w:t>
            </w:r>
          </w:p>
        </w:tc>
        <w:tc>
          <w:tcPr>
            <w:tcW w:w="6644" w:type="dxa"/>
            <w:tcBorders>
              <w:bottom w:val="single" w:sz="4" w:space="0" w:color="auto"/>
            </w:tcBorders>
          </w:tcPr>
          <w:p w14:paraId="6A07A7A8" w14:textId="77777777" w:rsidR="00D73126" w:rsidRPr="00397A3E" w:rsidRDefault="00D73126" w:rsidP="0075369B">
            <w:pPr>
              <w:spacing w:before="0" w:after="0" w:line="240" w:lineRule="auto"/>
              <w:rPr>
                <w:rFonts w:asciiTheme="minorHAnsi" w:hAnsiTheme="minorHAnsi" w:cstheme="minorHAnsi"/>
                <w:noProof w:val="0"/>
                <w:szCs w:val="18"/>
              </w:rPr>
            </w:pPr>
          </w:p>
        </w:tc>
      </w:tr>
      <w:tr w:rsidR="00785848" w14:paraId="4871DCFC" w14:textId="42B7C74D" w:rsidTr="009D63AB">
        <w:tc>
          <w:tcPr>
            <w:tcW w:w="7178" w:type="dxa"/>
            <w:tcBorders>
              <w:top w:val="single" w:sz="4" w:space="0" w:color="auto"/>
            </w:tcBorders>
          </w:tcPr>
          <w:p w14:paraId="09597889" w14:textId="77777777" w:rsidR="005461ED" w:rsidRPr="00397A3E" w:rsidRDefault="00171C91" w:rsidP="005461ED">
            <w:pPr>
              <w:spacing w:before="0" w:after="0" w:line="240" w:lineRule="auto"/>
              <w:rPr>
                <w:rFonts w:asciiTheme="minorHAnsi" w:hAnsiTheme="minorHAnsi" w:cstheme="minorHAnsi"/>
                <w:noProof w:val="0"/>
                <w:szCs w:val="18"/>
              </w:rPr>
            </w:pPr>
            <w:r w:rsidRPr="00397A3E">
              <w:rPr>
                <w:rFonts w:asciiTheme="minorHAnsi" w:hAnsiTheme="minorHAnsi" w:cstheme="minorHAnsi"/>
                <w:b/>
                <w:bCs/>
                <w:noProof w:val="0"/>
                <w:szCs w:val="18"/>
              </w:rPr>
              <w:t xml:space="preserve">1. </w:t>
            </w:r>
            <w:r w:rsidRPr="00397A3E">
              <w:rPr>
                <w:rFonts w:asciiTheme="minorHAnsi" w:hAnsiTheme="minorHAnsi" w:cstheme="minorHAnsi"/>
                <w:noProof w:val="0"/>
                <w:szCs w:val="18"/>
              </w:rPr>
              <w:t>Was there a clear statement of the aims of the research?</w:t>
            </w:r>
          </w:p>
        </w:tc>
        <w:tc>
          <w:tcPr>
            <w:tcW w:w="6644" w:type="dxa"/>
            <w:tcBorders>
              <w:top w:val="single" w:sz="4" w:space="0" w:color="auto"/>
            </w:tcBorders>
          </w:tcPr>
          <w:p w14:paraId="1F65BBB4" w14:textId="440E567E" w:rsidR="005461ED" w:rsidRPr="00397A3E" w:rsidRDefault="00171C91" w:rsidP="005461ED">
            <w:pPr>
              <w:spacing w:before="0" w:after="0" w:line="240" w:lineRule="auto"/>
              <w:rPr>
                <w:rFonts w:asciiTheme="minorHAnsi" w:hAnsiTheme="minorHAnsi" w:cstheme="minorHAnsi"/>
                <w:noProof w:val="0"/>
                <w:szCs w:val="18"/>
              </w:rPr>
            </w:pPr>
            <w:r w:rsidRPr="00397A3E">
              <w:rPr>
                <w:rFonts w:asciiTheme="minorHAnsi" w:hAnsiTheme="minorHAnsi" w:cstheme="minorHAnsi"/>
                <w:b/>
                <w:bCs/>
                <w:noProof w:val="0"/>
                <w:szCs w:val="18"/>
              </w:rPr>
              <w:t xml:space="preserve">9. </w:t>
            </w:r>
            <w:r w:rsidRPr="00397A3E">
              <w:rPr>
                <w:rFonts w:asciiTheme="minorHAnsi" w:hAnsiTheme="minorHAnsi" w:cstheme="minorHAnsi"/>
                <w:noProof w:val="0"/>
                <w:szCs w:val="18"/>
              </w:rPr>
              <w:t>Is there a clear statement of findings?</w:t>
            </w:r>
          </w:p>
        </w:tc>
      </w:tr>
      <w:tr w:rsidR="00785848" w14:paraId="16EBB221" w14:textId="1CDE9CFE" w:rsidTr="005461ED">
        <w:tc>
          <w:tcPr>
            <w:tcW w:w="7178" w:type="dxa"/>
          </w:tcPr>
          <w:p w14:paraId="533798BF" w14:textId="77777777" w:rsidR="005461ED" w:rsidRPr="00397A3E" w:rsidRDefault="00171C91" w:rsidP="005461ED">
            <w:pPr>
              <w:spacing w:before="0" w:after="0" w:line="240" w:lineRule="auto"/>
              <w:rPr>
                <w:rFonts w:asciiTheme="minorHAnsi" w:hAnsiTheme="minorHAnsi" w:cstheme="minorHAnsi"/>
                <w:noProof w:val="0"/>
                <w:szCs w:val="18"/>
              </w:rPr>
            </w:pPr>
            <w:r w:rsidRPr="00397A3E">
              <w:rPr>
                <w:rFonts w:asciiTheme="minorHAnsi" w:hAnsiTheme="minorHAnsi" w:cstheme="minorHAnsi"/>
                <w:b/>
                <w:bCs/>
                <w:noProof w:val="0"/>
                <w:szCs w:val="18"/>
              </w:rPr>
              <w:t>2</w:t>
            </w:r>
            <w:r w:rsidRPr="00397A3E">
              <w:rPr>
                <w:rFonts w:asciiTheme="minorHAnsi" w:hAnsiTheme="minorHAnsi" w:cstheme="minorHAnsi"/>
                <w:noProof w:val="0"/>
                <w:szCs w:val="18"/>
              </w:rPr>
              <w:t>. Is the methodology appropriate?</w:t>
            </w:r>
          </w:p>
        </w:tc>
        <w:tc>
          <w:tcPr>
            <w:tcW w:w="6644" w:type="dxa"/>
          </w:tcPr>
          <w:p w14:paraId="23398362" w14:textId="7518FD5B" w:rsidR="005461ED" w:rsidRPr="00397A3E" w:rsidRDefault="00171C91" w:rsidP="005461ED">
            <w:pPr>
              <w:spacing w:before="0" w:after="0" w:line="240" w:lineRule="auto"/>
              <w:rPr>
                <w:rFonts w:asciiTheme="minorHAnsi" w:hAnsiTheme="minorHAnsi" w:cstheme="minorHAnsi"/>
                <w:noProof w:val="0"/>
                <w:szCs w:val="18"/>
              </w:rPr>
            </w:pPr>
            <w:r w:rsidRPr="00397A3E">
              <w:rPr>
                <w:rFonts w:asciiTheme="minorHAnsi" w:hAnsiTheme="minorHAnsi" w:cstheme="minorHAnsi"/>
                <w:b/>
                <w:bCs/>
                <w:noProof w:val="0"/>
                <w:szCs w:val="18"/>
              </w:rPr>
              <w:t>10.</w:t>
            </w:r>
            <w:r w:rsidRPr="00397A3E">
              <w:rPr>
                <w:rFonts w:asciiTheme="minorHAnsi" w:hAnsiTheme="minorHAnsi" w:cstheme="minorHAnsi"/>
                <w:noProof w:val="0"/>
                <w:szCs w:val="18"/>
              </w:rPr>
              <w:t xml:space="preserve"> How valuable is the research?  Is the research of satisfactory value?</w:t>
            </w:r>
          </w:p>
        </w:tc>
      </w:tr>
      <w:tr w:rsidR="00785848" w14:paraId="5E4D7C19" w14:textId="70720889" w:rsidTr="005461ED">
        <w:tc>
          <w:tcPr>
            <w:tcW w:w="7178" w:type="dxa"/>
          </w:tcPr>
          <w:p w14:paraId="6B1D4E30" w14:textId="77777777" w:rsidR="005461ED" w:rsidRPr="00397A3E" w:rsidRDefault="00171C91" w:rsidP="005461ED">
            <w:pPr>
              <w:spacing w:before="0" w:after="0" w:line="240" w:lineRule="auto"/>
              <w:rPr>
                <w:rFonts w:asciiTheme="minorHAnsi" w:hAnsiTheme="minorHAnsi" w:cstheme="minorHAnsi"/>
                <w:noProof w:val="0"/>
                <w:szCs w:val="18"/>
              </w:rPr>
            </w:pPr>
            <w:r w:rsidRPr="00397A3E">
              <w:rPr>
                <w:rFonts w:asciiTheme="minorHAnsi" w:hAnsiTheme="minorHAnsi" w:cstheme="minorHAnsi"/>
                <w:b/>
                <w:bCs/>
                <w:noProof w:val="0"/>
                <w:szCs w:val="18"/>
              </w:rPr>
              <w:t>3.</w:t>
            </w:r>
            <w:r w:rsidRPr="00397A3E">
              <w:rPr>
                <w:rFonts w:asciiTheme="minorHAnsi" w:hAnsiTheme="minorHAnsi" w:cstheme="minorHAnsi"/>
                <w:noProof w:val="0"/>
                <w:szCs w:val="18"/>
              </w:rPr>
              <w:t xml:space="preserve"> Was the research design appropriate to address the aims of the research?</w:t>
            </w:r>
          </w:p>
        </w:tc>
        <w:tc>
          <w:tcPr>
            <w:tcW w:w="6644" w:type="dxa"/>
          </w:tcPr>
          <w:p w14:paraId="61BE69FA" w14:textId="5ABC873D" w:rsidR="005461ED" w:rsidRPr="00397A3E" w:rsidRDefault="00171C91" w:rsidP="005461ED">
            <w:pPr>
              <w:spacing w:before="0" w:after="0" w:line="240" w:lineRule="auto"/>
              <w:rPr>
                <w:rFonts w:asciiTheme="minorHAnsi" w:hAnsiTheme="minorHAnsi" w:cstheme="minorHAnsi"/>
                <w:noProof w:val="0"/>
                <w:szCs w:val="18"/>
              </w:rPr>
            </w:pPr>
            <w:r w:rsidRPr="00397A3E">
              <w:rPr>
                <w:rFonts w:asciiTheme="minorHAnsi" w:hAnsiTheme="minorHAnsi" w:cstheme="minorHAnsi"/>
                <w:b/>
                <w:bCs/>
                <w:noProof w:val="0"/>
                <w:szCs w:val="18"/>
              </w:rPr>
              <w:t>Overall</w:t>
            </w:r>
            <w:r w:rsidRPr="00397A3E">
              <w:rPr>
                <w:rFonts w:asciiTheme="minorHAnsi" w:hAnsiTheme="minorHAnsi" w:cstheme="minorHAnsi"/>
                <w:noProof w:val="0"/>
                <w:szCs w:val="18"/>
              </w:rPr>
              <w:t xml:space="preserve"> = Overall risk of bias rating</w:t>
            </w:r>
          </w:p>
        </w:tc>
      </w:tr>
      <w:tr w:rsidR="00785848" w14:paraId="2EDB4D59" w14:textId="60F47F8C" w:rsidTr="005461ED">
        <w:tc>
          <w:tcPr>
            <w:tcW w:w="7178" w:type="dxa"/>
          </w:tcPr>
          <w:p w14:paraId="5D9EC43D" w14:textId="77777777" w:rsidR="005461ED" w:rsidRPr="00397A3E" w:rsidRDefault="00171C91" w:rsidP="005461ED">
            <w:pPr>
              <w:spacing w:before="0" w:after="0" w:line="240" w:lineRule="auto"/>
              <w:rPr>
                <w:rFonts w:asciiTheme="minorHAnsi" w:hAnsiTheme="minorHAnsi" w:cstheme="minorHAnsi"/>
                <w:noProof w:val="0"/>
                <w:szCs w:val="18"/>
              </w:rPr>
            </w:pPr>
            <w:r w:rsidRPr="00397A3E">
              <w:rPr>
                <w:rFonts w:asciiTheme="minorHAnsi" w:hAnsiTheme="minorHAnsi" w:cstheme="minorHAnsi"/>
                <w:b/>
                <w:bCs/>
                <w:noProof w:val="0"/>
                <w:szCs w:val="18"/>
              </w:rPr>
              <w:t>4.</w:t>
            </w:r>
            <w:r w:rsidRPr="00397A3E">
              <w:rPr>
                <w:rFonts w:asciiTheme="minorHAnsi" w:hAnsiTheme="minorHAnsi" w:cstheme="minorHAnsi"/>
                <w:noProof w:val="0"/>
                <w:szCs w:val="18"/>
              </w:rPr>
              <w:t xml:space="preserve"> Was the chosen hypothetical population or subpopulation appropriate for addressing the study research aims?</w:t>
            </w:r>
          </w:p>
        </w:tc>
        <w:tc>
          <w:tcPr>
            <w:tcW w:w="6644" w:type="dxa"/>
          </w:tcPr>
          <w:p w14:paraId="1ECE14FF" w14:textId="690917EC" w:rsidR="005461ED" w:rsidRPr="00397A3E" w:rsidRDefault="00171C91" w:rsidP="005461ED">
            <w:pPr>
              <w:spacing w:before="0" w:after="0" w:line="240" w:lineRule="auto"/>
              <w:rPr>
                <w:rFonts w:asciiTheme="minorHAnsi" w:hAnsiTheme="minorHAnsi" w:cstheme="minorHAnsi"/>
                <w:i/>
                <w:iCs/>
                <w:noProof w:val="0"/>
                <w:sz w:val="16"/>
                <w:szCs w:val="16"/>
              </w:rPr>
            </w:pPr>
            <w:r w:rsidRPr="00397A3E">
              <w:rPr>
                <w:rFonts w:asciiTheme="minorHAnsi" w:hAnsiTheme="minorHAnsi" w:cstheme="minorHAnsi"/>
                <w:i/>
                <w:iCs/>
                <w:noProof w:val="0"/>
                <w:sz w:val="16"/>
                <w:szCs w:val="16"/>
              </w:rPr>
              <w:t>Not Shown (response</w:t>
            </w:r>
            <w:r w:rsidR="00206FD7" w:rsidRPr="00397A3E">
              <w:rPr>
                <w:rFonts w:asciiTheme="minorHAnsi" w:hAnsiTheme="minorHAnsi" w:cstheme="minorHAnsi"/>
                <w:i/>
                <w:iCs/>
                <w:noProof w:val="0"/>
                <w:sz w:val="16"/>
                <w:szCs w:val="16"/>
              </w:rPr>
              <w:t>s were</w:t>
            </w:r>
            <w:r w:rsidRPr="00397A3E">
              <w:rPr>
                <w:rFonts w:asciiTheme="minorHAnsi" w:hAnsiTheme="minorHAnsi" w:cstheme="minorHAnsi"/>
                <w:i/>
                <w:iCs/>
                <w:noProof w:val="0"/>
                <w:sz w:val="16"/>
                <w:szCs w:val="16"/>
              </w:rPr>
              <w:t xml:space="preserve"> all </w:t>
            </w:r>
            <w:r w:rsidR="00615D62" w:rsidRPr="00397A3E">
              <w:rPr>
                <w:rFonts w:asciiTheme="minorHAnsi" w:hAnsiTheme="minorHAnsi" w:cstheme="minorHAnsi"/>
                <w:i/>
                <w:iCs/>
                <w:noProof w:val="0"/>
                <w:sz w:val="16"/>
                <w:szCs w:val="16"/>
              </w:rPr>
              <w:t>given as “</w:t>
            </w:r>
            <w:r w:rsidRPr="00397A3E">
              <w:rPr>
                <w:rFonts w:asciiTheme="minorHAnsi" w:hAnsiTheme="minorHAnsi" w:cstheme="minorHAnsi"/>
                <w:i/>
                <w:iCs/>
                <w:noProof w:val="0"/>
                <w:sz w:val="16"/>
                <w:szCs w:val="16"/>
              </w:rPr>
              <w:t>n/a</w:t>
            </w:r>
            <w:r w:rsidR="00615D62" w:rsidRPr="00397A3E">
              <w:rPr>
                <w:rFonts w:asciiTheme="minorHAnsi" w:hAnsiTheme="minorHAnsi" w:cstheme="minorHAnsi"/>
                <w:i/>
                <w:iCs/>
                <w:noProof w:val="0"/>
                <w:sz w:val="16"/>
                <w:szCs w:val="16"/>
              </w:rPr>
              <w:t>”</w:t>
            </w:r>
            <w:r w:rsidRPr="00397A3E">
              <w:rPr>
                <w:rFonts w:asciiTheme="minorHAnsi" w:hAnsiTheme="minorHAnsi" w:cstheme="minorHAnsi"/>
                <w:i/>
                <w:iCs/>
                <w:noProof w:val="0"/>
                <w:sz w:val="16"/>
                <w:szCs w:val="16"/>
              </w:rPr>
              <w:t xml:space="preserve"> as no epidemiological studies were included among the qualitative research group):</w:t>
            </w:r>
          </w:p>
        </w:tc>
      </w:tr>
      <w:tr w:rsidR="00785848" w14:paraId="7C3DC8F6" w14:textId="63084D22" w:rsidTr="005461ED">
        <w:tc>
          <w:tcPr>
            <w:tcW w:w="7178" w:type="dxa"/>
          </w:tcPr>
          <w:p w14:paraId="2E332C78" w14:textId="77777777" w:rsidR="005461ED" w:rsidRPr="00397A3E" w:rsidRDefault="00171C91" w:rsidP="005461ED">
            <w:pPr>
              <w:spacing w:before="0" w:after="0" w:line="240" w:lineRule="auto"/>
              <w:rPr>
                <w:rFonts w:asciiTheme="minorHAnsi" w:hAnsiTheme="minorHAnsi" w:cstheme="minorHAnsi"/>
                <w:noProof w:val="0"/>
                <w:szCs w:val="18"/>
              </w:rPr>
            </w:pPr>
            <w:r w:rsidRPr="00397A3E">
              <w:rPr>
                <w:rFonts w:asciiTheme="minorHAnsi" w:hAnsiTheme="minorHAnsi" w:cstheme="minorHAnsi"/>
                <w:b/>
                <w:bCs/>
                <w:noProof w:val="0"/>
                <w:szCs w:val="18"/>
              </w:rPr>
              <w:t>5.</w:t>
            </w:r>
            <w:r w:rsidRPr="00397A3E">
              <w:rPr>
                <w:rFonts w:asciiTheme="minorHAnsi" w:hAnsiTheme="minorHAnsi" w:cstheme="minorHAnsi"/>
                <w:noProof w:val="0"/>
                <w:szCs w:val="18"/>
              </w:rPr>
              <w:t xml:space="preserve"> Was the data collected in a way that addressed the research issue?</w:t>
            </w:r>
          </w:p>
        </w:tc>
        <w:tc>
          <w:tcPr>
            <w:tcW w:w="6644" w:type="dxa"/>
          </w:tcPr>
          <w:p w14:paraId="5083EAAA" w14:textId="5FFB6DCE" w:rsidR="005461ED" w:rsidRPr="00397A3E" w:rsidRDefault="00171C91" w:rsidP="00DD6BEB">
            <w:pPr>
              <w:spacing w:before="0" w:after="0" w:line="240" w:lineRule="auto"/>
              <w:ind w:left="170"/>
              <w:rPr>
                <w:rFonts w:asciiTheme="minorHAnsi" w:hAnsiTheme="minorHAnsi" w:cstheme="minorHAnsi"/>
                <w:i/>
                <w:iCs/>
                <w:noProof w:val="0"/>
                <w:sz w:val="16"/>
                <w:szCs w:val="16"/>
              </w:rPr>
            </w:pPr>
            <w:r w:rsidRPr="00397A3E">
              <w:rPr>
                <w:rFonts w:asciiTheme="minorHAnsi" w:hAnsiTheme="minorHAnsi" w:cstheme="minorHAnsi"/>
                <w:i/>
                <w:iCs/>
                <w:noProof w:val="0"/>
                <w:sz w:val="16"/>
                <w:szCs w:val="16"/>
              </w:rPr>
              <w:t>6. Has the relationship between researcher and participants been adequately considered?</w:t>
            </w:r>
          </w:p>
        </w:tc>
      </w:tr>
      <w:tr w:rsidR="00785848" w14:paraId="45B93275" w14:textId="6FCE6960" w:rsidTr="005461ED">
        <w:tc>
          <w:tcPr>
            <w:tcW w:w="7178" w:type="dxa"/>
          </w:tcPr>
          <w:p w14:paraId="69538F9C" w14:textId="77777777" w:rsidR="005461ED" w:rsidRPr="00397A3E" w:rsidRDefault="00171C91" w:rsidP="005461ED">
            <w:pPr>
              <w:spacing w:before="0" w:after="0" w:line="240" w:lineRule="auto"/>
              <w:rPr>
                <w:rFonts w:asciiTheme="minorHAnsi" w:hAnsiTheme="minorHAnsi" w:cstheme="minorHAnsi"/>
                <w:noProof w:val="0"/>
                <w:szCs w:val="18"/>
              </w:rPr>
            </w:pPr>
            <w:r w:rsidRPr="00397A3E">
              <w:rPr>
                <w:rFonts w:asciiTheme="minorHAnsi" w:hAnsiTheme="minorHAnsi" w:cstheme="minorHAnsi"/>
                <w:b/>
                <w:bCs/>
                <w:noProof w:val="0"/>
                <w:szCs w:val="18"/>
              </w:rPr>
              <w:t xml:space="preserve">8. </w:t>
            </w:r>
            <w:r w:rsidRPr="00397A3E">
              <w:rPr>
                <w:rFonts w:asciiTheme="minorHAnsi" w:hAnsiTheme="minorHAnsi" w:cstheme="minorHAnsi"/>
                <w:noProof w:val="0"/>
                <w:szCs w:val="18"/>
              </w:rPr>
              <w:t>Was the data analysis sufficiently rigorous?</w:t>
            </w:r>
          </w:p>
        </w:tc>
        <w:tc>
          <w:tcPr>
            <w:tcW w:w="6644" w:type="dxa"/>
          </w:tcPr>
          <w:p w14:paraId="5CAD7E1C" w14:textId="4BB05353" w:rsidR="005461ED" w:rsidRPr="00397A3E" w:rsidRDefault="00171C91" w:rsidP="00DD6BEB">
            <w:pPr>
              <w:spacing w:before="0" w:after="0" w:line="240" w:lineRule="auto"/>
              <w:ind w:left="170"/>
              <w:rPr>
                <w:rFonts w:asciiTheme="minorHAnsi" w:hAnsiTheme="minorHAnsi" w:cstheme="minorHAnsi"/>
                <w:i/>
                <w:iCs/>
                <w:noProof w:val="0"/>
                <w:sz w:val="16"/>
                <w:szCs w:val="16"/>
              </w:rPr>
            </w:pPr>
            <w:r w:rsidRPr="00397A3E">
              <w:rPr>
                <w:rFonts w:asciiTheme="minorHAnsi" w:hAnsiTheme="minorHAnsi" w:cstheme="minorHAnsi"/>
                <w:i/>
                <w:iCs/>
                <w:noProof w:val="0"/>
                <w:sz w:val="16"/>
                <w:szCs w:val="16"/>
              </w:rPr>
              <w:t>7. Have ethical issues been taken into consideration?</w:t>
            </w:r>
          </w:p>
        </w:tc>
      </w:tr>
      <w:tr w:rsidR="00785848" w14:paraId="6CB5B697" w14:textId="77777777" w:rsidTr="005461ED">
        <w:tc>
          <w:tcPr>
            <w:tcW w:w="7178" w:type="dxa"/>
          </w:tcPr>
          <w:p w14:paraId="7C59A9A2" w14:textId="77777777" w:rsidR="00615D62" w:rsidRPr="00397A3E" w:rsidRDefault="00615D62" w:rsidP="005461ED">
            <w:pPr>
              <w:spacing w:before="0" w:after="0" w:line="240" w:lineRule="auto"/>
              <w:rPr>
                <w:rFonts w:asciiTheme="minorHAnsi" w:hAnsiTheme="minorHAnsi" w:cstheme="minorHAnsi"/>
                <w:b/>
                <w:bCs/>
                <w:noProof w:val="0"/>
                <w:szCs w:val="18"/>
              </w:rPr>
            </w:pPr>
          </w:p>
        </w:tc>
        <w:tc>
          <w:tcPr>
            <w:tcW w:w="6644" w:type="dxa"/>
          </w:tcPr>
          <w:p w14:paraId="16CDB56C" w14:textId="329FE4C9" w:rsidR="00615D62" w:rsidRPr="00397A3E" w:rsidRDefault="00171C91" w:rsidP="00615D62">
            <w:pPr>
              <w:spacing w:before="0" w:after="0" w:line="240" w:lineRule="auto"/>
              <w:rPr>
                <w:rFonts w:asciiTheme="minorHAnsi" w:hAnsiTheme="minorHAnsi" w:cstheme="minorHAnsi"/>
                <w:i/>
                <w:iCs/>
                <w:noProof w:val="0"/>
                <w:sz w:val="16"/>
                <w:szCs w:val="16"/>
              </w:rPr>
            </w:pPr>
            <w:r w:rsidRPr="00397A3E">
              <w:rPr>
                <w:rFonts w:asciiTheme="minorHAnsi" w:hAnsiTheme="minorHAnsi" w:cstheme="minorHAnsi"/>
                <w:i/>
                <w:iCs/>
                <w:noProof w:val="0"/>
                <w:sz w:val="16"/>
                <w:szCs w:val="16"/>
              </w:rPr>
              <w:t>Abbreviations: n/a = not applicable.  nil = response not recorded as response to earlier questions indicated it was not worth continuing the assessment.</w:t>
            </w:r>
          </w:p>
        </w:tc>
      </w:tr>
    </w:tbl>
    <w:p w14:paraId="1D350799" w14:textId="77777777" w:rsidR="00FD0F38" w:rsidRPr="00397A3E" w:rsidRDefault="00FD0F38" w:rsidP="00F95F63">
      <w:pPr>
        <w:rPr>
          <w:noProof w:val="0"/>
          <w:color w:val="365F91" w:themeColor="accent1" w:themeShade="BF"/>
        </w:rPr>
      </w:pPr>
    </w:p>
    <w:p w14:paraId="33E6110D" w14:textId="7EB4B79E" w:rsidR="00FD0F38" w:rsidRPr="00397A3E" w:rsidRDefault="00FD0F38" w:rsidP="00F95F63">
      <w:pPr>
        <w:rPr>
          <w:noProof w:val="0"/>
          <w:color w:val="365F91" w:themeColor="accent1" w:themeShade="BF"/>
        </w:rPr>
        <w:sectPr w:rsidR="00FD0F38" w:rsidRPr="00397A3E" w:rsidSect="009D63AB">
          <w:headerReference w:type="default" r:id="rId30"/>
          <w:footerReference w:type="default" r:id="rId31"/>
          <w:headerReference w:type="first" r:id="rId32"/>
          <w:pgSz w:w="16838" w:h="11906" w:orient="landscape"/>
          <w:pgMar w:top="1701" w:right="1588" w:bottom="1418" w:left="1418" w:header="680" w:footer="709" w:gutter="0"/>
          <w:cols w:space="708"/>
          <w:docGrid w:linePitch="360"/>
        </w:sectPr>
      </w:pPr>
    </w:p>
    <w:p w14:paraId="556578F9" w14:textId="36270A84" w:rsidR="00444851" w:rsidRPr="00397A3E" w:rsidRDefault="00171C91" w:rsidP="00C51EE3">
      <w:pPr>
        <w:rPr>
          <w:noProof w:val="0"/>
        </w:rPr>
      </w:pPr>
      <w:r w:rsidRPr="00397A3E">
        <w:rPr>
          <w:noProof w:val="0"/>
        </w:rPr>
        <w:t>Study ID</w:t>
      </w:r>
      <w:r w:rsidR="00323187" w:rsidRPr="00397A3E">
        <w:rPr>
          <w:noProof w:val="0"/>
        </w:rPr>
        <w:t xml:space="preserve"> for </w:t>
      </w:r>
      <w:r w:rsidR="00323187" w:rsidRPr="00397A3E">
        <w:rPr>
          <w:noProof w:val="0"/>
        </w:rPr>
        <w:fldChar w:fldCharType="begin"/>
      </w:r>
      <w:r w:rsidR="00323187" w:rsidRPr="00397A3E">
        <w:rPr>
          <w:noProof w:val="0"/>
        </w:rPr>
        <w:instrText xml:space="preserve"> REF _Ref71820151 \h  \* MERGEFORMAT </w:instrText>
      </w:r>
      <w:r w:rsidR="00323187" w:rsidRPr="00397A3E">
        <w:rPr>
          <w:noProof w:val="0"/>
        </w:rPr>
      </w:r>
      <w:r w:rsidR="00323187" w:rsidRPr="00397A3E">
        <w:rPr>
          <w:noProof w:val="0"/>
        </w:rPr>
        <w:fldChar w:fldCharType="separate"/>
      </w:r>
      <w:r w:rsidR="001A0E9F" w:rsidRPr="00397A3E">
        <w:rPr>
          <w:noProof w:val="0"/>
        </w:rPr>
        <w:t xml:space="preserve">Table </w:t>
      </w:r>
      <w:r w:rsidR="001A0E9F">
        <w:rPr>
          <w:noProof w:val="0"/>
        </w:rPr>
        <w:t>4</w:t>
      </w:r>
      <w:r w:rsidR="001A0E9F">
        <w:rPr>
          <w:noProof w:val="0"/>
        </w:rPr>
        <w:noBreakHyphen/>
        <w:t>2</w:t>
      </w:r>
      <w:r w:rsidR="00323187" w:rsidRPr="00397A3E">
        <w:rPr>
          <w:noProof w:val="0"/>
        </w:rPr>
        <w:fldChar w:fldCharType="end"/>
      </w:r>
    </w:p>
    <w:p w14:paraId="4F4E1B09"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J2: Ahmed et al. (2018) Quantitative microbial risk assessment of microbial source tracking markers in recreational water contaminated with fresh untreated and secondary treated sewage</w:t>
      </w:r>
    </w:p>
    <w:p w14:paraId="0270020A"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J3: Ahmed et al. (2019) Enhanced insights from human and animal host-associated molecular marker genes in a freshwater lake receiving wet weather overflows</w:t>
      </w:r>
    </w:p>
    <w:p w14:paraId="1E0ADDFA"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J4: Ahmed et al. (2020) Sewage-associated marker genes illustrate the impact of wet weather overflows and dry weather leakage in urban estuarine waters of Sydney, Australia</w:t>
      </w:r>
    </w:p>
    <w:p w14:paraId="21F276F9"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J5: Ahmed et al. (2019) Comparative decay of sewage-associated marker genes in beach water and sediment in a subtropical region</w:t>
      </w:r>
    </w:p>
    <w:p w14:paraId="1CF0EC7D"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J7: Aslan et al. (2018) The Impact of Tides on Microbial Water Quality at an Inland River Beach</w:t>
      </w:r>
    </w:p>
    <w:p w14:paraId="4C784AF2"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J9: Boehm et al. (2019) Risk-based water quality thresholds for coliphages in surface waters: effect of temperature and contamination aging</w:t>
      </w:r>
    </w:p>
    <w:p w14:paraId="3DE000F4"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J10: Brown et al. (2017) Estimating the probability of illness due to swimming in recreational water with a mixture of human- and gull-associated microbial source tracking markers</w:t>
      </w:r>
    </w:p>
    <w:p w14:paraId="55915EB7"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J11: Cazals et al. (2020) Near real-time notification of water quality impairments in recreational freshwaters using rapid online detection of β-D-glucuronidase activity as a surrogate for Escherichia coli monitoring</w:t>
      </w:r>
    </w:p>
    <w:p w14:paraId="44EB76A9"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J12: Craig et al. (2003) Effectiveness of guideline faecal indicator organism values in estimation of exposure risk at recreational coastal sites</w:t>
      </w:r>
    </w:p>
    <w:p w14:paraId="1834059E"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J13: Craig et al. (2004) Use of microcosms to determine persistence of Escherichia coli in recreational coastal water and sediment and validation with in situ measurements</w:t>
      </w:r>
    </w:p>
    <w:p w14:paraId="021FA530"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J15: Gitter et al. (2020) Human health risks associated with recreational waters: Preliminary approach of integrating quantitative microbial risk assessment with microbial source tracking</w:t>
      </w:r>
    </w:p>
    <w:p w14:paraId="1310D491"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J16: Goodwin et al. (2017) Consideration of Natural Sources in a Bacteria TMDL-Lines of Evidence, Including Beach Microbial Source Tracking</w:t>
      </w:r>
    </w:p>
    <w:p w14:paraId="07B78603"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J17: Hart et al. (2020) Examining coastal dynamics and recreational water quality by quantifying multiple sewage specific markers in a North Carolina estuary</w:t>
      </w:r>
    </w:p>
    <w:p w14:paraId="269CE893"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J18: Henry et al. (2016) Into the deep: Evaluation of SourceTracker for assessment of faecal contamination of coastal waters</w:t>
      </w:r>
    </w:p>
    <w:p w14:paraId="6C930DD1"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J19: Hughes et al. (2017) Cross-Comparison of Human Wastewater-Associated Molecular Markers in Relation to Fecal Indicator Bacteria and Enteric Viruses in Recreational Beach Waters</w:t>
      </w:r>
    </w:p>
    <w:p w14:paraId="6085F087"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J20: Kelly et al. (2018) Effect of beach management policies on recreational water quality</w:t>
      </w:r>
    </w:p>
    <w:p w14:paraId="0D695093"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J21: Kinzelman et al. (2020) Utilization of multiple microbial tools to evaluate efficacy of restoration strategies to improve recreational water quality at a Lake Michigan Beach (Racine, WI)</w:t>
      </w:r>
    </w:p>
    <w:p w14:paraId="16DD0344"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J23: Lugg et al. (2012) Estimating 95th Percentiles from Microbial Sampling: A Novel Approach to Standardising their Application to Recreational Waters</w:t>
      </w:r>
    </w:p>
    <w:p w14:paraId="37D303A6" w14:textId="1CB0A793"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 xml:space="preserve">J24: McKee et al. (2020) Microbial source tracking (MST) in Chattahoochee River National Recreation Area: Seasonal and precipitation trends in MST marker concentrations, and associations with </w:t>
      </w:r>
      <w:r w:rsidR="003A4ACD" w:rsidRPr="00397A3E">
        <w:rPr>
          <w:rFonts w:asciiTheme="minorHAnsi" w:hAnsiTheme="minorHAnsi" w:cstheme="minorHAnsi"/>
          <w:i/>
          <w:noProof w:val="0"/>
          <w:sz w:val="16"/>
          <w:szCs w:val="16"/>
        </w:rPr>
        <w:t xml:space="preserve">E. coli </w:t>
      </w:r>
      <w:r w:rsidRPr="00397A3E">
        <w:rPr>
          <w:rFonts w:asciiTheme="minorHAnsi" w:hAnsiTheme="minorHAnsi" w:cstheme="minorHAnsi"/>
          <w:noProof w:val="0"/>
          <w:sz w:val="16"/>
          <w:szCs w:val="16"/>
        </w:rPr>
        <w:t>levels, pathogenic marker presence, and land use</w:t>
      </w:r>
    </w:p>
    <w:p w14:paraId="353FB6C5" w14:textId="5490D4B2"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 xml:space="preserve">J25: Mulder et al. (2020) Tracing the animal sources of surface water contamination with </w:t>
      </w:r>
      <w:r w:rsidR="003A4ACD" w:rsidRPr="00397A3E">
        <w:rPr>
          <w:rFonts w:asciiTheme="minorHAnsi" w:hAnsiTheme="minorHAnsi" w:cstheme="minorHAnsi"/>
          <w:i/>
          <w:noProof w:val="0"/>
          <w:sz w:val="16"/>
          <w:szCs w:val="16"/>
        </w:rPr>
        <w:t>Campylobacter jejuni</w:t>
      </w:r>
      <w:r w:rsidRPr="00397A3E">
        <w:rPr>
          <w:rFonts w:asciiTheme="minorHAnsi" w:hAnsiTheme="minorHAnsi" w:cstheme="minorHAnsi"/>
          <w:noProof w:val="0"/>
          <w:sz w:val="16"/>
          <w:szCs w:val="16"/>
        </w:rPr>
        <w:t xml:space="preserve"> and </w:t>
      </w:r>
      <w:r w:rsidR="003A4ACD" w:rsidRPr="00397A3E">
        <w:rPr>
          <w:rFonts w:asciiTheme="minorHAnsi" w:hAnsiTheme="minorHAnsi" w:cstheme="minorHAnsi"/>
          <w:i/>
          <w:noProof w:val="0"/>
          <w:sz w:val="16"/>
          <w:szCs w:val="16"/>
        </w:rPr>
        <w:t>Campylobacter coli</w:t>
      </w:r>
    </w:p>
    <w:p w14:paraId="5061F1F3"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J28: Oun et al. (2017) Microbial pollution characterization of water and sediment at two beaches in Saginaw Bay, Michigan</w:t>
      </w:r>
    </w:p>
    <w:p w14:paraId="0691C132"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J30: Robins et al. (2019) Viral dispersal in the coastal zone: A method to quantify water quality risk</w:t>
      </w:r>
    </w:p>
    <w:p w14:paraId="33A8FB82"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J32: Roser et al. (2006) Microbial exposure assessment of an urban recreational lake: A case study of the application of new risk-based guidelines</w:t>
      </w:r>
    </w:p>
    <w:p w14:paraId="74C58BDB"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J33: Rosiles-González et al. (2019) Norovirus and human adenovirus occurrence and diversity in recreational water in a karst aquifer in the Yucatan Peninsula, Mexico</w:t>
      </w:r>
    </w:p>
    <w:p w14:paraId="01B3D001"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J35: Schoen et al. (2020) Contamination Scenario Matters when Using Viral and Bacterial Human-Associated Genetic Markers as Indicators of a Health Risk in Untreated Sewage-Impacted Recreational Waters</w:t>
      </w:r>
    </w:p>
    <w:p w14:paraId="6A3F6CC2" w14:textId="2A85AD7B"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 xml:space="preserve">J36: Shrestha et al. (2019) Evaluation of rapid qPCR method for quantification of </w:t>
      </w:r>
      <w:r w:rsidR="003A4ACD" w:rsidRPr="00397A3E">
        <w:rPr>
          <w:rFonts w:asciiTheme="minorHAnsi" w:hAnsiTheme="minorHAnsi" w:cstheme="minorHAnsi"/>
          <w:i/>
          <w:noProof w:val="0"/>
          <w:sz w:val="16"/>
          <w:szCs w:val="16"/>
        </w:rPr>
        <w:t xml:space="preserve">E. coli </w:t>
      </w:r>
      <w:r w:rsidRPr="00397A3E">
        <w:rPr>
          <w:rFonts w:asciiTheme="minorHAnsi" w:hAnsiTheme="minorHAnsi" w:cstheme="minorHAnsi"/>
          <w:noProof w:val="0"/>
          <w:sz w:val="16"/>
          <w:szCs w:val="16"/>
        </w:rPr>
        <w:t>at non-point source impacted Lake Michigan beaches</w:t>
      </w:r>
    </w:p>
    <w:p w14:paraId="1E3C49BD"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J37: Shrestha et al. (2020) Fecal pollution source characterization at non-point source impacted beaches under dry and wet weather conditions</w:t>
      </w:r>
    </w:p>
    <w:p w14:paraId="09E59A6D" w14:textId="5256F3AC"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 xml:space="preserve">J38: Shrestha et al. (2019) </w:t>
      </w:r>
      <w:r w:rsidR="003A4ACD" w:rsidRPr="00397A3E">
        <w:rPr>
          <w:rFonts w:asciiTheme="minorHAnsi" w:hAnsiTheme="minorHAnsi" w:cstheme="minorHAnsi"/>
          <w:i/>
          <w:iCs/>
          <w:noProof w:val="0"/>
          <w:sz w:val="16"/>
          <w:szCs w:val="16"/>
        </w:rPr>
        <w:t>Campylobacter jejuni</w:t>
      </w:r>
      <w:r w:rsidRPr="00397A3E">
        <w:rPr>
          <w:rFonts w:asciiTheme="minorHAnsi" w:hAnsiTheme="minorHAnsi" w:cstheme="minorHAnsi"/>
          <w:noProof w:val="0"/>
          <w:sz w:val="16"/>
          <w:szCs w:val="16"/>
        </w:rPr>
        <w:t xml:space="preserve"> strains associated with wild birds and those causing human disease in six high-use recreational waterways in New Zealand</w:t>
      </w:r>
    </w:p>
    <w:p w14:paraId="4861F501"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J39: Steele et al. (2018) Quantification of pathogens and markers of fecal contamination during storm events along popular surfing beaches in San Diego, California</w:t>
      </w:r>
    </w:p>
    <w:p w14:paraId="7101040C"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J40: Xue et al. (2018) Using Bacteroidales genetic markers to assess fecal pollution sources in coastal waters</w:t>
      </w:r>
    </w:p>
    <w:p w14:paraId="4F0534A6" w14:textId="77777777" w:rsidR="00444851"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J41: Xue et al. (2018) Assessment of fecal pollution in Lake Pontchartrain, Louisiana</w:t>
      </w:r>
    </w:p>
    <w:p w14:paraId="556360A3" w14:textId="15C19A8D" w:rsidR="00D71E46" w:rsidRPr="00397A3E" w:rsidRDefault="00171C91" w:rsidP="003A4ACD">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J42: Zimmer-Faust et al. (2020) The challenges of microbial source tracking at urban beaches for Quantitative Microbial Risk Assessment (QMRA)</w:t>
      </w:r>
    </w:p>
    <w:p w14:paraId="009D0720" w14:textId="5A0BB945" w:rsidR="005101BB" w:rsidRPr="00397A3E" w:rsidRDefault="00171C91" w:rsidP="0087793F">
      <w:pPr>
        <w:pStyle w:val="Heading4"/>
        <w:pageBreakBefore/>
        <w:rPr>
          <w:noProof w:val="0"/>
          <w:color w:val="auto"/>
        </w:rPr>
      </w:pPr>
      <w:bookmarkStart w:id="335" w:name="_Toc106964831"/>
      <w:bookmarkStart w:id="336" w:name="_Ref91169049"/>
      <w:r w:rsidRPr="00397A3E">
        <w:rPr>
          <w:noProof w:val="0"/>
          <w:color w:val="auto"/>
        </w:rPr>
        <w:t>Cohort Studies</w:t>
      </w:r>
      <w:bookmarkEnd w:id="335"/>
    </w:p>
    <w:p w14:paraId="0ECF7F16" w14:textId="79079CF4" w:rsidR="0087793F" w:rsidRPr="00397A3E" w:rsidRDefault="00171C91" w:rsidP="0087793F">
      <w:pPr>
        <w:rPr>
          <w:noProof w:val="0"/>
        </w:rPr>
      </w:pPr>
      <w:r w:rsidRPr="00397A3E">
        <w:rPr>
          <w:noProof w:val="0"/>
        </w:rPr>
        <w:t xml:space="preserve">Eligibility assessment of the </w:t>
      </w:r>
      <w:r w:rsidR="00226786">
        <w:rPr>
          <w:noProof w:val="0"/>
        </w:rPr>
        <w:t>four</w:t>
      </w:r>
      <w:r w:rsidR="00226786" w:rsidRPr="00397A3E">
        <w:rPr>
          <w:noProof w:val="0"/>
        </w:rPr>
        <w:t xml:space="preserve"> </w:t>
      </w:r>
      <w:r w:rsidRPr="00397A3E">
        <w:rPr>
          <w:noProof w:val="0"/>
        </w:rPr>
        <w:t xml:space="preserve">cohort studies resulted in </w:t>
      </w:r>
      <w:r w:rsidR="00226786">
        <w:rPr>
          <w:noProof w:val="0"/>
        </w:rPr>
        <w:t>three</w:t>
      </w:r>
      <w:r w:rsidR="00226786" w:rsidRPr="00397A3E">
        <w:rPr>
          <w:noProof w:val="0"/>
        </w:rPr>
        <w:t xml:space="preserve"> </w:t>
      </w:r>
      <w:r w:rsidRPr="00397A3E">
        <w:rPr>
          <w:noProof w:val="0"/>
        </w:rPr>
        <w:t xml:space="preserve">studies being excluded from further consideration and </w:t>
      </w:r>
      <w:r w:rsidR="00226786">
        <w:rPr>
          <w:noProof w:val="0"/>
        </w:rPr>
        <w:t>one</w:t>
      </w:r>
      <w:r w:rsidR="00226786" w:rsidRPr="00397A3E">
        <w:rPr>
          <w:noProof w:val="0"/>
        </w:rPr>
        <w:t xml:space="preserve"> </w:t>
      </w:r>
      <w:r w:rsidRPr="00397A3E">
        <w:rPr>
          <w:noProof w:val="0"/>
        </w:rPr>
        <w:t xml:space="preserve">study </w:t>
      </w:r>
      <w:r w:rsidRPr="00397A3E">
        <w:rPr>
          <w:noProof w:val="0"/>
        </w:rPr>
        <w:fldChar w:fldCharType="begin"/>
      </w:r>
      <w:r w:rsidRPr="00397A3E">
        <w:rPr>
          <w:noProof w:val="0"/>
        </w:rPr>
        <w:instrText xml:space="preserve"> ADDIN ZOTERO_ITEM CSL_CITATION {"citationID":"nrzgvxGh","properties":{"formattedCitation":"(Arnold, Schiff, et al., 2017)","plainCitation":"(Arnold, Schiff, et al., 2017)","noteIndex":0},"citationItems":[{"id":17433,"uris":["http://zotero.org/users/148142/items/CUJ53VZF"],"uri":["http://zotero.org/users/148142/items/CUJ53VZF"],"itemData":{"id":17433,"type":"article-journal","abstract":"Rainstorms increase levels of fecal indicator bacteria in urban coastal waters, but it is unknown whether exposure to seawater after rainstorms increases rates of acute illness. Our objective was to provide the first estimates of rates of acute illness after seawater exposure during both dry- and wet-weather periods and to determine the relationship between levels of indicator bacteria and illness among surfers, a population with a high potential for exposure after rain. We enrolled 654 surfers in San Diego, California, and followed them longitudinally during the 2013–2014 and 2014–2015 winters (33,377 days of observation, 10,081 surf sessions). We measured daily surf activities and illness symptoms (gastrointestinal illness, sinus infections, ear infections, infected wounds). Compared with no exposure, exposure to seawater during dry weather increased incidence rates of all outcomes (e.g., for earache or infection, adjusted incidence rate ratio (IRR) = 1.86, 95% confidence interval (CI): 1.27, 2.71; for infected wounds, IRR = 3.04, 95% CI: 1.54, 5.98); exposure during wet weather further increased rates (e.g., for earache or infection, IRR = 3.28, 95% CI: 1.95, 5.51; for infected wounds, IRR = 4.96, 95% CI: 2.18, 11.29). Fecal indicator bacteria measured in seawater (Enterococcus species, fecal coliforms, total coliforms) were strongly associated with incident illness only during wet weather. Urban coastal seawater exposure increases the incidence rates of many acute illnesses among surfers, with higher incidence rates after rainstorms.","container-title":"American Journal of Epidemiology","DOI":"10.1093/aje/kwx019","ISSN":"0002-9262","issue":"7","journalAbbreviation":"American Journal of Epidemiology","page":"866-875","source":"Silverchair","title":"Acute Illness Among Surfers After Exposure to Seawater in Dry- and Wet-Weather Conditions","URL":"https://doi.org/10.1093/aje/kwx019","volume":"186","author":[{"family":"Arnold","given":"Benjamin F."},{"family":"Schiff","given":"Kenneth C."},{"family":"Ercumen","given":"Ayse"},{"family":"Benjamin-Chung","given":"Jade"},{"family":"Steele","given":"Joshua A."},{"family":"Griffith","given":"John F."},{"family":"Steinberg","given":"Steven J."},{"family":"Smith","given":"Paul"},{"family":"McGee","given":"Charles D."},{"family":"Wilson","given":"Richard"},{"family":"Nelsen","given":"Chad"},{"family":"Weisberg","given":"Stephen B."},{"family":"Colford","given":"John M.","suffix":"Jr."}],"accessed":{"date-parts":[["2021",3,10]]},"issued":{"date-parts":[["2017",10,1]]}}}],"schema":"https://github.com/citation-style-language/schema/raw/master/csl-citation.json"} </w:instrText>
      </w:r>
      <w:r w:rsidRPr="00397A3E">
        <w:rPr>
          <w:noProof w:val="0"/>
        </w:rPr>
        <w:fldChar w:fldCharType="separate"/>
      </w:r>
      <w:r w:rsidRPr="00397A3E">
        <w:rPr>
          <w:rFonts w:cs="Arial"/>
          <w:noProof w:val="0"/>
        </w:rPr>
        <w:t>(Arnold, Schiff, et al., 2017)</w:t>
      </w:r>
      <w:r w:rsidRPr="00397A3E">
        <w:rPr>
          <w:noProof w:val="0"/>
        </w:rPr>
        <w:fldChar w:fldCharType="end"/>
      </w:r>
      <w:r w:rsidRPr="00397A3E">
        <w:rPr>
          <w:noProof w:val="0"/>
        </w:rPr>
        <w:t xml:space="preserve"> being retained for final review (</w:t>
      </w:r>
      <w:r w:rsidRPr="00397A3E">
        <w:rPr>
          <w:noProof w:val="0"/>
        </w:rPr>
        <w:fldChar w:fldCharType="begin"/>
      </w:r>
      <w:r w:rsidRPr="00397A3E">
        <w:rPr>
          <w:noProof w:val="0"/>
        </w:rPr>
        <w:instrText xml:space="preserve"> REF _Ref91242004 \h </w:instrText>
      </w:r>
      <w:r w:rsidRPr="00397A3E">
        <w:rPr>
          <w:noProof w:val="0"/>
        </w:rPr>
      </w:r>
      <w:r w:rsidRPr="00397A3E">
        <w:rPr>
          <w:noProof w:val="0"/>
        </w:rPr>
        <w:fldChar w:fldCharType="separate"/>
      </w:r>
      <w:r w:rsidR="001A0E9F" w:rsidRPr="00397A3E">
        <w:rPr>
          <w:noProof w:val="0"/>
        </w:rPr>
        <w:t xml:space="preserve">Table </w:t>
      </w:r>
      <w:r w:rsidR="001A0E9F">
        <w:t>4</w:t>
      </w:r>
      <w:r w:rsidR="001A0E9F">
        <w:rPr>
          <w:noProof w:val="0"/>
        </w:rPr>
        <w:noBreakHyphen/>
      </w:r>
      <w:r w:rsidR="001A0E9F">
        <w:t>3</w:t>
      </w:r>
      <w:r w:rsidRPr="00397A3E">
        <w:rPr>
          <w:noProof w:val="0"/>
        </w:rPr>
        <w:fldChar w:fldCharType="end"/>
      </w:r>
      <w:r w:rsidRPr="00397A3E">
        <w:rPr>
          <w:noProof w:val="0"/>
        </w:rPr>
        <w:t>).</w:t>
      </w:r>
    </w:p>
    <w:p w14:paraId="07D0C3DC" w14:textId="5C568090" w:rsidR="00D71E46" w:rsidRPr="00397A3E" w:rsidRDefault="00171C91" w:rsidP="005101BB">
      <w:pPr>
        <w:pStyle w:val="Caption"/>
        <w:keepNext/>
        <w:rPr>
          <w:noProof w:val="0"/>
          <w:color w:val="365F91" w:themeColor="accent1" w:themeShade="BF"/>
        </w:rPr>
      </w:pPr>
      <w:bookmarkStart w:id="337" w:name="_Ref91242004"/>
      <w:bookmarkStart w:id="338" w:name="_Toc106964864"/>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4</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3</w:t>
      </w:r>
      <w:r w:rsidR="00F178D7">
        <w:rPr>
          <w:noProof w:val="0"/>
        </w:rPr>
        <w:fldChar w:fldCharType="end"/>
      </w:r>
      <w:bookmarkEnd w:id="336"/>
      <w:bookmarkEnd w:id="337"/>
      <w:r w:rsidRPr="00397A3E">
        <w:rPr>
          <w:noProof w:val="0"/>
        </w:rPr>
        <w:t xml:space="preserve">. Primary </w:t>
      </w:r>
      <w:r w:rsidR="00D95421">
        <w:rPr>
          <w:noProof w:val="0"/>
        </w:rPr>
        <w:t>s</w:t>
      </w:r>
      <w:r w:rsidRPr="00397A3E">
        <w:rPr>
          <w:noProof w:val="0"/>
        </w:rPr>
        <w:t>tudies [Cohort studies] overall risk of bias (body of evidence) (protocol adapted from</w:t>
      </w:r>
      <w:r w:rsidR="004473C5">
        <w:rPr>
          <w:noProof w:val="0"/>
        </w:rPr>
        <w:t xml:space="preserve"> the CASP appraisal tool [Oxford CVTH,2020] and the</w:t>
      </w:r>
      <w:r w:rsidRPr="00397A3E">
        <w:rPr>
          <w:noProof w:val="0"/>
        </w:rPr>
        <w:t xml:space="preserve"> OHAT</w:t>
      </w:r>
      <w:r w:rsidR="004473C5">
        <w:rPr>
          <w:noProof w:val="0"/>
        </w:rPr>
        <w:t xml:space="preserve"> Risk-of-Bias ratings system [OHAT, 2015]</w:t>
      </w:r>
      <w:r w:rsidRPr="00397A3E">
        <w:rPr>
          <w:noProof w:val="0"/>
        </w:rPr>
        <w:t>.</w:t>
      </w:r>
      <w:bookmarkEnd w:id="338"/>
    </w:p>
    <w:tbl>
      <w:tblPr>
        <w:tblW w:w="9180" w:type="dxa"/>
        <w:tblInd w:w="-567" w:type="dxa"/>
        <w:tblLook w:val="04A0" w:firstRow="1" w:lastRow="0" w:firstColumn="1" w:lastColumn="0" w:noHBand="0" w:noVBand="1"/>
      </w:tblPr>
      <w:tblGrid>
        <w:gridCol w:w="940"/>
        <w:gridCol w:w="4020"/>
        <w:gridCol w:w="1040"/>
        <w:gridCol w:w="1060"/>
        <w:gridCol w:w="1060"/>
        <w:gridCol w:w="1060"/>
      </w:tblGrid>
      <w:tr w:rsidR="00785848" w14:paraId="19225912" w14:textId="77777777" w:rsidTr="00A40245">
        <w:tc>
          <w:tcPr>
            <w:tcW w:w="940"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6A6C6E55" w14:textId="77777777" w:rsidR="00A40245" w:rsidRPr="00397A3E" w:rsidRDefault="00171C91" w:rsidP="005101BB">
            <w:pPr>
              <w:keepNext/>
              <w:spacing w:before="0" w:after="0" w:line="240" w:lineRule="auto"/>
              <w:jc w:val="center"/>
              <w:rPr>
                <w:rFonts w:asciiTheme="minorHAnsi" w:hAnsiTheme="minorHAnsi" w:cstheme="minorHAnsi"/>
                <w:b/>
                <w:bCs/>
                <w:noProof w:val="0"/>
                <w:color w:val="008000"/>
                <w:sz w:val="16"/>
                <w:szCs w:val="16"/>
              </w:rPr>
            </w:pPr>
            <w:r w:rsidRPr="00397A3E">
              <w:rPr>
                <w:rFonts w:asciiTheme="minorHAnsi" w:hAnsiTheme="minorHAnsi" w:cstheme="minorHAnsi"/>
                <w:b/>
                <w:bCs/>
                <w:noProof w:val="0"/>
                <w:color w:val="008000"/>
                <w:sz w:val="16"/>
                <w:szCs w:val="16"/>
              </w:rPr>
              <w:t> </w:t>
            </w:r>
          </w:p>
        </w:tc>
        <w:tc>
          <w:tcPr>
            <w:tcW w:w="4020" w:type="dxa"/>
            <w:tcBorders>
              <w:top w:val="single" w:sz="8" w:space="0" w:color="B5DDDC"/>
              <w:left w:val="nil"/>
              <w:bottom w:val="single" w:sz="8" w:space="0" w:color="B5DDDC"/>
              <w:right w:val="single" w:sz="8" w:space="0" w:color="B5DDDC"/>
            </w:tcBorders>
            <w:shd w:val="clear" w:color="000000" w:fill="B5DDDC"/>
            <w:vAlign w:val="center"/>
            <w:hideMark/>
          </w:tcPr>
          <w:p w14:paraId="5CD1B4A7" w14:textId="77777777" w:rsidR="00A40245" w:rsidRPr="00397A3E" w:rsidRDefault="00171C91" w:rsidP="005101BB">
            <w:pPr>
              <w:keepNext/>
              <w:spacing w:before="0" w:after="0" w:line="240" w:lineRule="auto"/>
              <w:rPr>
                <w:rFonts w:asciiTheme="minorHAnsi" w:hAnsiTheme="minorHAnsi" w:cstheme="minorHAnsi"/>
                <w:b/>
                <w:bCs/>
                <w:noProof w:val="0"/>
                <w:color w:val="008000"/>
                <w:sz w:val="16"/>
                <w:szCs w:val="16"/>
              </w:rPr>
            </w:pPr>
            <w:r w:rsidRPr="00397A3E">
              <w:rPr>
                <w:rFonts w:asciiTheme="minorHAnsi" w:hAnsiTheme="minorHAnsi" w:cstheme="minorHAnsi"/>
                <w:b/>
                <w:bCs/>
                <w:noProof w:val="0"/>
                <w:color w:val="008000"/>
                <w:sz w:val="16"/>
                <w:szCs w:val="16"/>
              </w:rPr>
              <w:t> </w:t>
            </w:r>
          </w:p>
        </w:tc>
        <w:tc>
          <w:tcPr>
            <w:tcW w:w="4220" w:type="dxa"/>
            <w:gridSpan w:val="4"/>
            <w:tcBorders>
              <w:top w:val="single" w:sz="8" w:space="0" w:color="B5DDDC"/>
              <w:left w:val="nil"/>
              <w:bottom w:val="single" w:sz="8" w:space="0" w:color="B5DDDC"/>
              <w:right w:val="single" w:sz="8" w:space="0" w:color="B5DDDC"/>
            </w:tcBorders>
            <w:shd w:val="clear" w:color="000000" w:fill="B5DDDC"/>
            <w:vAlign w:val="center"/>
            <w:hideMark/>
          </w:tcPr>
          <w:p w14:paraId="740C5B95" w14:textId="77777777" w:rsidR="00A40245" w:rsidRPr="00397A3E" w:rsidRDefault="00171C91" w:rsidP="005101BB">
            <w:pPr>
              <w:keepNext/>
              <w:spacing w:before="0" w:after="0" w:line="240" w:lineRule="auto"/>
              <w:jc w:val="center"/>
              <w:rPr>
                <w:rFonts w:asciiTheme="minorHAnsi" w:hAnsiTheme="minorHAnsi" w:cstheme="minorHAnsi"/>
                <w:b/>
                <w:bCs/>
                <w:noProof w:val="0"/>
                <w:color w:val="008000"/>
                <w:sz w:val="16"/>
                <w:szCs w:val="16"/>
              </w:rPr>
            </w:pPr>
            <w:r w:rsidRPr="00397A3E">
              <w:rPr>
                <w:rFonts w:asciiTheme="minorHAnsi" w:hAnsiTheme="minorHAnsi" w:cstheme="minorHAnsi"/>
                <w:b/>
                <w:bCs/>
                <w:noProof w:val="0"/>
                <w:color w:val="008000"/>
                <w:sz w:val="16"/>
                <w:szCs w:val="16"/>
              </w:rPr>
              <w:t>Study ID</w:t>
            </w:r>
          </w:p>
        </w:tc>
      </w:tr>
      <w:tr w:rsidR="00785848" w14:paraId="18AF9B3A" w14:textId="77777777" w:rsidTr="00CF6127">
        <w:tc>
          <w:tcPr>
            <w:tcW w:w="940" w:type="dxa"/>
            <w:tcBorders>
              <w:top w:val="nil"/>
              <w:left w:val="single" w:sz="8" w:space="0" w:color="B5DDDC"/>
              <w:bottom w:val="single" w:sz="8" w:space="0" w:color="B5DDDC"/>
              <w:right w:val="single" w:sz="8" w:space="0" w:color="B5DDDC"/>
            </w:tcBorders>
            <w:shd w:val="clear" w:color="000000" w:fill="B5DDDC"/>
            <w:vAlign w:val="center"/>
            <w:hideMark/>
          </w:tcPr>
          <w:p w14:paraId="55BFB76B" w14:textId="77777777" w:rsidR="00A40245" w:rsidRPr="00397A3E" w:rsidRDefault="00171C91" w:rsidP="005101BB">
            <w:pPr>
              <w:keepNext/>
              <w:spacing w:before="0" w:after="0" w:line="240" w:lineRule="auto"/>
              <w:jc w:val="center"/>
              <w:rPr>
                <w:rFonts w:asciiTheme="minorHAnsi" w:hAnsiTheme="minorHAnsi" w:cstheme="minorHAnsi"/>
                <w:b/>
                <w:bCs/>
                <w:noProof w:val="0"/>
                <w:color w:val="008000"/>
                <w:sz w:val="16"/>
                <w:szCs w:val="16"/>
              </w:rPr>
            </w:pPr>
            <w:r w:rsidRPr="00397A3E">
              <w:rPr>
                <w:rFonts w:asciiTheme="minorHAnsi" w:hAnsiTheme="minorHAnsi" w:cstheme="minorHAnsi"/>
                <w:b/>
                <w:bCs/>
                <w:noProof w:val="0"/>
                <w:color w:val="008000"/>
                <w:sz w:val="16"/>
                <w:szCs w:val="16"/>
              </w:rPr>
              <w:t xml:space="preserve">Q. </w:t>
            </w:r>
          </w:p>
        </w:tc>
        <w:tc>
          <w:tcPr>
            <w:tcW w:w="4020" w:type="dxa"/>
            <w:tcBorders>
              <w:top w:val="nil"/>
              <w:left w:val="nil"/>
              <w:bottom w:val="single" w:sz="8" w:space="0" w:color="B5DDDC"/>
              <w:right w:val="single" w:sz="8" w:space="0" w:color="B5DDDC"/>
            </w:tcBorders>
            <w:shd w:val="clear" w:color="000000" w:fill="B5DDDC"/>
            <w:vAlign w:val="center"/>
          </w:tcPr>
          <w:p w14:paraId="36EC6055" w14:textId="7A5E3F30" w:rsidR="00A40245" w:rsidRPr="00397A3E" w:rsidRDefault="00171C91" w:rsidP="005101BB">
            <w:pPr>
              <w:keepNext/>
              <w:spacing w:before="0" w:after="0" w:line="240" w:lineRule="auto"/>
              <w:rPr>
                <w:rFonts w:asciiTheme="minorHAnsi" w:hAnsiTheme="minorHAnsi" w:cstheme="minorHAnsi"/>
                <w:b/>
                <w:bCs/>
                <w:noProof w:val="0"/>
                <w:color w:val="008000"/>
                <w:sz w:val="16"/>
                <w:szCs w:val="16"/>
              </w:rPr>
            </w:pPr>
            <w:r w:rsidRPr="00397A3E">
              <w:rPr>
                <w:rFonts w:asciiTheme="minorHAnsi" w:hAnsiTheme="minorHAnsi" w:cstheme="minorHAnsi"/>
                <w:b/>
                <w:bCs/>
                <w:noProof w:val="0"/>
                <w:color w:val="008000"/>
                <w:sz w:val="16"/>
                <w:szCs w:val="16"/>
              </w:rPr>
              <w:t>Questions</w:t>
            </w:r>
          </w:p>
        </w:tc>
        <w:tc>
          <w:tcPr>
            <w:tcW w:w="1040" w:type="dxa"/>
            <w:tcBorders>
              <w:top w:val="nil"/>
              <w:left w:val="nil"/>
              <w:bottom w:val="single" w:sz="8" w:space="0" w:color="B5DDDC"/>
              <w:right w:val="single" w:sz="8" w:space="0" w:color="B5DDDC"/>
            </w:tcBorders>
            <w:shd w:val="clear" w:color="000000" w:fill="B5DDDC"/>
            <w:vAlign w:val="center"/>
            <w:hideMark/>
          </w:tcPr>
          <w:p w14:paraId="25387C44" w14:textId="77777777" w:rsidR="00A40245" w:rsidRPr="00397A3E" w:rsidRDefault="00171C91" w:rsidP="005101BB">
            <w:pPr>
              <w:keepNext/>
              <w:spacing w:before="0" w:after="0" w:line="240" w:lineRule="auto"/>
              <w:jc w:val="center"/>
              <w:rPr>
                <w:rFonts w:asciiTheme="minorHAnsi" w:hAnsiTheme="minorHAnsi" w:cstheme="minorHAnsi"/>
                <w:b/>
                <w:bCs/>
                <w:noProof w:val="0"/>
                <w:color w:val="008000"/>
                <w:sz w:val="16"/>
                <w:szCs w:val="16"/>
              </w:rPr>
            </w:pPr>
            <w:r w:rsidRPr="00397A3E">
              <w:rPr>
                <w:rFonts w:asciiTheme="minorHAnsi" w:hAnsiTheme="minorHAnsi" w:cstheme="minorHAnsi"/>
                <w:b/>
                <w:bCs/>
                <w:noProof w:val="0"/>
                <w:color w:val="008000"/>
                <w:sz w:val="16"/>
                <w:szCs w:val="16"/>
              </w:rPr>
              <w:t>J6</w:t>
            </w:r>
          </w:p>
        </w:tc>
        <w:tc>
          <w:tcPr>
            <w:tcW w:w="1060" w:type="dxa"/>
            <w:tcBorders>
              <w:top w:val="nil"/>
              <w:left w:val="nil"/>
              <w:bottom w:val="single" w:sz="8" w:space="0" w:color="B5DDDC"/>
              <w:right w:val="single" w:sz="8" w:space="0" w:color="B5DDDC"/>
            </w:tcBorders>
            <w:shd w:val="clear" w:color="000000" w:fill="B5DDDC"/>
            <w:vAlign w:val="center"/>
            <w:hideMark/>
          </w:tcPr>
          <w:p w14:paraId="0303F8F3" w14:textId="77777777" w:rsidR="00A40245" w:rsidRPr="00397A3E" w:rsidRDefault="00171C91" w:rsidP="005101BB">
            <w:pPr>
              <w:keepNext/>
              <w:spacing w:before="0" w:after="0" w:line="240" w:lineRule="auto"/>
              <w:jc w:val="center"/>
              <w:rPr>
                <w:rFonts w:asciiTheme="minorHAnsi" w:hAnsiTheme="minorHAnsi" w:cstheme="minorHAnsi"/>
                <w:b/>
                <w:bCs/>
                <w:noProof w:val="0"/>
                <w:color w:val="008000"/>
                <w:sz w:val="16"/>
                <w:szCs w:val="16"/>
              </w:rPr>
            </w:pPr>
            <w:r w:rsidRPr="00397A3E">
              <w:rPr>
                <w:rFonts w:asciiTheme="minorHAnsi" w:hAnsiTheme="minorHAnsi" w:cstheme="minorHAnsi"/>
                <w:b/>
                <w:bCs/>
                <w:noProof w:val="0"/>
                <w:color w:val="008000"/>
                <w:sz w:val="16"/>
                <w:szCs w:val="16"/>
              </w:rPr>
              <w:t>J26</w:t>
            </w:r>
          </w:p>
        </w:tc>
        <w:tc>
          <w:tcPr>
            <w:tcW w:w="1060" w:type="dxa"/>
            <w:tcBorders>
              <w:top w:val="nil"/>
              <w:left w:val="nil"/>
              <w:bottom w:val="single" w:sz="8" w:space="0" w:color="B5DDDC"/>
              <w:right w:val="single" w:sz="8" w:space="0" w:color="B5DDDC"/>
            </w:tcBorders>
            <w:shd w:val="clear" w:color="000000" w:fill="B5DDDC"/>
            <w:vAlign w:val="center"/>
            <w:hideMark/>
          </w:tcPr>
          <w:p w14:paraId="4A723740" w14:textId="77777777" w:rsidR="00A40245" w:rsidRPr="00397A3E" w:rsidRDefault="00171C91" w:rsidP="005101BB">
            <w:pPr>
              <w:keepNext/>
              <w:spacing w:before="0" w:after="0" w:line="240" w:lineRule="auto"/>
              <w:jc w:val="center"/>
              <w:rPr>
                <w:rFonts w:asciiTheme="minorHAnsi" w:hAnsiTheme="minorHAnsi" w:cstheme="minorHAnsi"/>
                <w:b/>
                <w:bCs/>
                <w:noProof w:val="0"/>
                <w:color w:val="008000"/>
                <w:sz w:val="16"/>
                <w:szCs w:val="16"/>
              </w:rPr>
            </w:pPr>
            <w:r w:rsidRPr="00397A3E">
              <w:rPr>
                <w:rFonts w:asciiTheme="minorHAnsi" w:hAnsiTheme="minorHAnsi" w:cstheme="minorHAnsi"/>
                <w:b/>
                <w:bCs/>
                <w:noProof w:val="0"/>
                <w:color w:val="008000"/>
                <w:sz w:val="16"/>
                <w:szCs w:val="16"/>
              </w:rPr>
              <w:t>J27</w:t>
            </w:r>
          </w:p>
        </w:tc>
        <w:tc>
          <w:tcPr>
            <w:tcW w:w="1060" w:type="dxa"/>
            <w:tcBorders>
              <w:top w:val="nil"/>
              <w:left w:val="nil"/>
              <w:bottom w:val="single" w:sz="8" w:space="0" w:color="B5DDDC"/>
              <w:right w:val="single" w:sz="8" w:space="0" w:color="B5DDDC"/>
            </w:tcBorders>
            <w:shd w:val="clear" w:color="000000" w:fill="B5DDDC"/>
            <w:vAlign w:val="center"/>
            <w:hideMark/>
          </w:tcPr>
          <w:p w14:paraId="1ABE7C34" w14:textId="77777777" w:rsidR="00A40245" w:rsidRPr="00397A3E" w:rsidRDefault="00171C91" w:rsidP="005101BB">
            <w:pPr>
              <w:keepNext/>
              <w:spacing w:before="0" w:after="0" w:line="240" w:lineRule="auto"/>
              <w:jc w:val="center"/>
              <w:rPr>
                <w:rFonts w:asciiTheme="minorHAnsi" w:hAnsiTheme="minorHAnsi" w:cstheme="minorHAnsi"/>
                <w:b/>
                <w:bCs/>
                <w:noProof w:val="0"/>
                <w:color w:val="008000"/>
                <w:sz w:val="16"/>
                <w:szCs w:val="16"/>
              </w:rPr>
            </w:pPr>
            <w:r w:rsidRPr="00397A3E">
              <w:rPr>
                <w:rFonts w:asciiTheme="minorHAnsi" w:hAnsiTheme="minorHAnsi" w:cstheme="minorHAnsi"/>
                <w:b/>
                <w:bCs/>
                <w:noProof w:val="0"/>
                <w:color w:val="008000"/>
                <w:sz w:val="16"/>
                <w:szCs w:val="16"/>
              </w:rPr>
              <w:t>J29</w:t>
            </w:r>
          </w:p>
        </w:tc>
      </w:tr>
      <w:tr w:rsidR="00785848" w14:paraId="41D084D1" w14:textId="77777777" w:rsidTr="0075369B">
        <w:tc>
          <w:tcPr>
            <w:tcW w:w="940" w:type="dxa"/>
            <w:tcBorders>
              <w:top w:val="nil"/>
              <w:left w:val="single" w:sz="8" w:space="0" w:color="B5DDDC"/>
              <w:bottom w:val="single" w:sz="8" w:space="0" w:color="B5DDDC"/>
              <w:right w:val="single" w:sz="8" w:space="0" w:color="B5DDDC"/>
            </w:tcBorders>
            <w:shd w:val="clear" w:color="000000" w:fill="D6EAEB"/>
            <w:vAlign w:val="center"/>
            <w:hideMark/>
          </w:tcPr>
          <w:p w14:paraId="23E2CCB9" w14:textId="77777777" w:rsidR="007C7DC8" w:rsidRPr="00397A3E" w:rsidRDefault="00171C91" w:rsidP="005101BB">
            <w:pPr>
              <w:keepNext/>
              <w:spacing w:before="0" w:after="0" w:line="240" w:lineRule="auto"/>
              <w:jc w:val="center"/>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 </w:t>
            </w:r>
          </w:p>
        </w:tc>
        <w:tc>
          <w:tcPr>
            <w:tcW w:w="8240" w:type="dxa"/>
            <w:gridSpan w:val="5"/>
            <w:tcBorders>
              <w:top w:val="nil"/>
              <w:left w:val="nil"/>
              <w:bottom w:val="single" w:sz="8" w:space="0" w:color="B5DDDC"/>
              <w:right w:val="single" w:sz="8" w:space="0" w:color="B5DDDC"/>
            </w:tcBorders>
            <w:shd w:val="clear" w:color="000000" w:fill="D6EAEB"/>
            <w:vAlign w:val="center"/>
            <w:hideMark/>
          </w:tcPr>
          <w:p w14:paraId="2D76CE2E" w14:textId="69D21B15" w:rsidR="007C7DC8" w:rsidRPr="00397A3E" w:rsidRDefault="00171C91" w:rsidP="005101BB">
            <w:pPr>
              <w:keepNext/>
              <w:spacing w:before="0" w:after="0" w:line="240" w:lineRule="auto"/>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Section A1: Are the results valid? </w:t>
            </w:r>
          </w:p>
        </w:tc>
      </w:tr>
      <w:tr w:rsidR="00785848" w14:paraId="49B5B145" w14:textId="77777777" w:rsidTr="00A40245">
        <w:tc>
          <w:tcPr>
            <w:tcW w:w="940" w:type="dxa"/>
            <w:tcBorders>
              <w:top w:val="nil"/>
              <w:left w:val="single" w:sz="8" w:space="0" w:color="B5DDDC"/>
              <w:bottom w:val="single" w:sz="8" w:space="0" w:color="B5DDDC"/>
              <w:right w:val="single" w:sz="8" w:space="0" w:color="B5DDDC"/>
            </w:tcBorders>
            <w:vAlign w:val="center"/>
            <w:hideMark/>
          </w:tcPr>
          <w:p w14:paraId="7784120D" w14:textId="77777777" w:rsidR="00A40245" w:rsidRPr="00397A3E" w:rsidRDefault="00171C91" w:rsidP="005101BB">
            <w:pPr>
              <w:keepNext/>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1</w:t>
            </w:r>
          </w:p>
        </w:tc>
        <w:tc>
          <w:tcPr>
            <w:tcW w:w="4020" w:type="dxa"/>
            <w:tcBorders>
              <w:top w:val="nil"/>
              <w:left w:val="nil"/>
              <w:bottom w:val="single" w:sz="8" w:space="0" w:color="B5DDDC"/>
              <w:right w:val="single" w:sz="8" w:space="0" w:color="B5DDDC"/>
            </w:tcBorders>
            <w:vAlign w:val="center"/>
            <w:hideMark/>
          </w:tcPr>
          <w:p w14:paraId="20B56B8B" w14:textId="77777777" w:rsidR="00A40245" w:rsidRPr="00397A3E" w:rsidRDefault="00171C91" w:rsidP="005101BB">
            <w:pPr>
              <w:keepNext/>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Did the study address a clearly focused issue?</w:t>
            </w:r>
          </w:p>
        </w:tc>
        <w:tc>
          <w:tcPr>
            <w:tcW w:w="1040" w:type="dxa"/>
            <w:tcBorders>
              <w:top w:val="nil"/>
              <w:left w:val="nil"/>
              <w:bottom w:val="single" w:sz="8" w:space="0" w:color="B5DDDC"/>
              <w:right w:val="single" w:sz="8" w:space="0" w:color="B5DDDC"/>
            </w:tcBorders>
            <w:shd w:val="clear" w:color="000000" w:fill="70AD47"/>
            <w:vAlign w:val="center"/>
            <w:hideMark/>
          </w:tcPr>
          <w:p w14:paraId="6AEB7FD9" w14:textId="77777777" w:rsidR="00A40245" w:rsidRPr="00397A3E" w:rsidRDefault="00171C91" w:rsidP="005101BB">
            <w:pPr>
              <w:keepNext/>
              <w:spacing w:before="0" w:after="0" w:line="240" w:lineRule="auto"/>
              <w:jc w:val="center"/>
              <w:rPr>
                <w:rFonts w:asciiTheme="minorHAnsi" w:hAnsiTheme="minorHAnsi" w:cstheme="minorHAnsi"/>
                <w:b/>
                <w:bCs/>
                <w:noProof w:val="0"/>
                <w:color w:val="FFFFFF" w:themeColor="background1"/>
                <w:szCs w:val="20"/>
              </w:rPr>
            </w:pPr>
            <w:r w:rsidRPr="00397A3E">
              <w:rPr>
                <w:rFonts w:asciiTheme="minorHAnsi" w:hAnsiTheme="minorHAnsi" w:cstheme="minorHAnsi"/>
                <w:b/>
                <w:bCs/>
                <w:noProof w:val="0"/>
                <w:color w:val="FFFFFF" w:themeColor="background1"/>
                <w:szCs w:val="20"/>
              </w:rPr>
              <w:t xml:space="preserve"> ++</w:t>
            </w:r>
          </w:p>
        </w:tc>
        <w:tc>
          <w:tcPr>
            <w:tcW w:w="1060" w:type="dxa"/>
            <w:tcBorders>
              <w:top w:val="nil"/>
              <w:left w:val="nil"/>
              <w:bottom w:val="single" w:sz="8" w:space="0" w:color="B5DDDC"/>
              <w:right w:val="single" w:sz="8" w:space="0" w:color="B5DDDC"/>
            </w:tcBorders>
            <w:shd w:val="clear" w:color="000000" w:fill="70AD47"/>
            <w:vAlign w:val="center"/>
            <w:hideMark/>
          </w:tcPr>
          <w:p w14:paraId="67948531" w14:textId="77777777" w:rsidR="00A40245" w:rsidRPr="00397A3E" w:rsidRDefault="00171C91" w:rsidP="005101BB">
            <w:pPr>
              <w:keepNext/>
              <w:spacing w:before="0" w:after="0" w:line="240" w:lineRule="auto"/>
              <w:jc w:val="center"/>
              <w:rPr>
                <w:rFonts w:asciiTheme="minorHAnsi" w:hAnsiTheme="minorHAnsi" w:cstheme="minorHAnsi"/>
                <w:b/>
                <w:bCs/>
                <w:noProof w:val="0"/>
                <w:color w:val="FFFFFF" w:themeColor="background1"/>
                <w:szCs w:val="20"/>
              </w:rPr>
            </w:pPr>
            <w:r w:rsidRPr="00397A3E">
              <w:rPr>
                <w:rFonts w:asciiTheme="minorHAnsi" w:hAnsiTheme="minorHAnsi" w:cstheme="minorHAnsi"/>
                <w:b/>
                <w:bCs/>
                <w:noProof w:val="0"/>
                <w:color w:val="FFFFFF" w:themeColor="background1"/>
                <w:szCs w:val="20"/>
              </w:rPr>
              <w:t xml:space="preserve"> ++</w:t>
            </w:r>
          </w:p>
        </w:tc>
        <w:tc>
          <w:tcPr>
            <w:tcW w:w="1060" w:type="dxa"/>
            <w:tcBorders>
              <w:top w:val="nil"/>
              <w:left w:val="nil"/>
              <w:bottom w:val="single" w:sz="8" w:space="0" w:color="B5DDDC"/>
              <w:right w:val="single" w:sz="8" w:space="0" w:color="B5DDDC"/>
            </w:tcBorders>
            <w:shd w:val="clear" w:color="000000" w:fill="70AD47"/>
            <w:vAlign w:val="center"/>
            <w:hideMark/>
          </w:tcPr>
          <w:p w14:paraId="47C68F3A" w14:textId="77777777" w:rsidR="00A40245" w:rsidRPr="00397A3E" w:rsidRDefault="00171C91" w:rsidP="005101BB">
            <w:pPr>
              <w:keepNext/>
              <w:spacing w:before="0" w:after="0" w:line="240" w:lineRule="auto"/>
              <w:jc w:val="center"/>
              <w:rPr>
                <w:rFonts w:asciiTheme="minorHAnsi" w:hAnsiTheme="minorHAnsi" w:cstheme="minorHAnsi"/>
                <w:b/>
                <w:bCs/>
                <w:noProof w:val="0"/>
                <w:color w:val="FFFFFF" w:themeColor="background1"/>
                <w:szCs w:val="20"/>
              </w:rPr>
            </w:pPr>
            <w:r w:rsidRPr="00397A3E">
              <w:rPr>
                <w:rFonts w:asciiTheme="minorHAnsi" w:hAnsiTheme="minorHAnsi" w:cstheme="minorHAnsi"/>
                <w:b/>
                <w:bCs/>
                <w:noProof w:val="0"/>
                <w:color w:val="FFFFFF" w:themeColor="background1"/>
                <w:szCs w:val="20"/>
              </w:rPr>
              <w:t xml:space="preserve"> ++</w:t>
            </w:r>
          </w:p>
        </w:tc>
        <w:tc>
          <w:tcPr>
            <w:tcW w:w="1060" w:type="dxa"/>
            <w:tcBorders>
              <w:top w:val="nil"/>
              <w:left w:val="nil"/>
              <w:bottom w:val="single" w:sz="8" w:space="0" w:color="B5DDDC"/>
              <w:right w:val="single" w:sz="8" w:space="0" w:color="B5DDDC"/>
            </w:tcBorders>
            <w:shd w:val="clear" w:color="000000" w:fill="FF0000"/>
            <w:vAlign w:val="center"/>
            <w:hideMark/>
          </w:tcPr>
          <w:p w14:paraId="27718986" w14:textId="77777777" w:rsidR="00A40245" w:rsidRPr="00397A3E" w:rsidRDefault="00171C91" w:rsidP="005101BB">
            <w:pPr>
              <w:keepNext/>
              <w:spacing w:before="0" w:after="0" w:line="240" w:lineRule="auto"/>
              <w:jc w:val="center"/>
              <w:rPr>
                <w:rFonts w:asciiTheme="minorHAnsi" w:hAnsiTheme="minorHAnsi" w:cstheme="minorHAnsi"/>
                <w:b/>
                <w:bCs/>
                <w:noProof w:val="0"/>
                <w:color w:val="FFFFFF" w:themeColor="background1"/>
                <w:szCs w:val="20"/>
              </w:rPr>
            </w:pPr>
            <w:r w:rsidRPr="00397A3E">
              <w:rPr>
                <w:rFonts w:asciiTheme="minorHAnsi" w:hAnsiTheme="minorHAnsi" w:cstheme="minorHAnsi"/>
                <w:b/>
                <w:bCs/>
                <w:noProof w:val="0"/>
                <w:color w:val="FFFFFF" w:themeColor="background1"/>
                <w:szCs w:val="20"/>
              </w:rPr>
              <w:t xml:space="preserve"> --</w:t>
            </w:r>
          </w:p>
        </w:tc>
      </w:tr>
      <w:tr w:rsidR="00785848" w14:paraId="42804F07" w14:textId="77777777" w:rsidTr="00A40245">
        <w:tc>
          <w:tcPr>
            <w:tcW w:w="940" w:type="dxa"/>
            <w:tcBorders>
              <w:top w:val="nil"/>
              <w:left w:val="single" w:sz="8" w:space="0" w:color="B5DDDC"/>
              <w:bottom w:val="single" w:sz="8" w:space="0" w:color="B5DDDC"/>
              <w:right w:val="single" w:sz="8" w:space="0" w:color="B5DDDC"/>
            </w:tcBorders>
            <w:vAlign w:val="center"/>
            <w:hideMark/>
          </w:tcPr>
          <w:p w14:paraId="5A5E8ADE" w14:textId="77777777" w:rsidR="00A40245" w:rsidRPr="00397A3E" w:rsidRDefault="00171C91" w:rsidP="005101BB">
            <w:pPr>
              <w:keepNext/>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2</w:t>
            </w:r>
          </w:p>
        </w:tc>
        <w:tc>
          <w:tcPr>
            <w:tcW w:w="4020" w:type="dxa"/>
            <w:tcBorders>
              <w:top w:val="nil"/>
              <w:left w:val="nil"/>
              <w:bottom w:val="single" w:sz="8" w:space="0" w:color="B5DDDC"/>
              <w:right w:val="single" w:sz="8" w:space="0" w:color="B5DDDC"/>
            </w:tcBorders>
            <w:vAlign w:val="center"/>
            <w:hideMark/>
          </w:tcPr>
          <w:p w14:paraId="78024894" w14:textId="77777777" w:rsidR="00A40245" w:rsidRPr="00397A3E" w:rsidRDefault="00171C91" w:rsidP="005101BB">
            <w:pPr>
              <w:keepNext/>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Was the cohort recruited in an acceptable way?</w:t>
            </w:r>
          </w:p>
        </w:tc>
        <w:tc>
          <w:tcPr>
            <w:tcW w:w="1040" w:type="dxa"/>
            <w:tcBorders>
              <w:top w:val="nil"/>
              <w:left w:val="nil"/>
              <w:bottom w:val="single" w:sz="8" w:space="0" w:color="B5DDDC"/>
              <w:right w:val="single" w:sz="8" w:space="0" w:color="B5DDDC"/>
            </w:tcBorders>
            <w:shd w:val="clear" w:color="000000" w:fill="E2EFDA"/>
            <w:vAlign w:val="center"/>
            <w:hideMark/>
          </w:tcPr>
          <w:p w14:paraId="0AA73F1E"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single" w:sz="8" w:space="0" w:color="B5DDDC"/>
              <w:right w:val="single" w:sz="8" w:space="0" w:color="B5DDDC"/>
            </w:tcBorders>
            <w:shd w:val="clear" w:color="000000" w:fill="E2EFDA"/>
            <w:vAlign w:val="center"/>
            <w:hideMark/>
          </w:tcPr>
          <w:p w14:paraId="4D2D245C"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single" w:sz="8" w:space="0" w:color="B5DDDC"/>
              <w:right w:val="single" w:sz="8" w:space="0" w:color="B5DDDC"/>
            </w:tcBorders>
            <w:shd w:val="clear" w:color="000000" w:fill="E2EFDA"/>
            <w:vAlign w:val="center"/>
            <w:hideMark/>
          </w:tcPr>
          <w:p w14:paraId="57D8BBAE"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nil"/>
              <w:right w:val="single" w:sz="8" w:space="0" w:color="B5DDDC"/>
            </w:tcBorders>
            <w:shd w:val="clear" w:color="000000" w:fill="F8CBAD"/>
            <w:vAlign w:val="center"/>
            <w:hideMark/>
          </w:tcPr>
          <w:p w14:paraId="30A4EF62"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r>
      <w:tr w:rsidR="00785848" w14:paraId="4088B871" w14:textId="77777777" w:rsidTr="006415C1">
        <w:tc>
          <w:tcPr>
            <w:tcW w:w="940" w:type="dxa"/>
            <w:tcBorders>
              <w:top w:val="nil"/>
              <w:left w:val="single" w:sz="8" w:space="0" w:color="B5DDDC"/>
              <w:bottom w:val="single" w:sz="8" w:space="0" w:color="B5DDDC"/>
              <w:right w:val="single" w:sz="8" w:space="0" w:color="B5DDDC"/>
            </w:tcBorders>
            <w:shd w:val="clear" w:color="000000" w:fill="D6EAEB"/>
            <w:vAlign w:val="center"/>
            <w:hideMark/>
          </w:tcPr>
          <w:p w14:paraId="4F64A3DF" w14:textId="77777777" w:rsidR="00A40245" w:rsidRPr="00397A3E" w:rsidRDefault="00171C91" w:rsidP="005101BB">
            <w:pPr>
              <w:keepNext/>
              <w:spacing w:before="0" w:after="0" w:line="240" w:lineRule="auto"/>
              <w:jc w:val="center"/>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 </w:t>
            </w:r>
          </w:p>
        </w:tc>
        <w:tc>
          <w:tcPr>
            <w:tcW w:w="4020" w:type="dxa"/>
            <w:tcBorders>
              <w:top w:val="nil"/>
              <w:left w:val="nil"/>
              <w:bottom w:val="single" w:sz="8" w:space="0" w:color="B5DDDC"/>
              <w:right w:val="single" w:sz="8" w:space="0" w:color="B5DDDC"/>
            </w:tcBorders>
            <w:shd w:val="clear" w:color="auto" w:fill="D6EAEB"/>
            <w:vAlign w:val="center"/>
            <w:hideMark/>
          </w:tcPr>
          <w:p w14:paraId="62EF842A" w14:textId="77777777" w:rsidR="00A40245" w:rsidRPr="00397A3E" w:rsidRDefault="00171C91" w:rsidP="005101BB">
            <w:pPr>
              <w:keepNext/>
              <w:spacing w:before="0" w:after="0" w:line="240" w:lineRule="auto"/>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Section A2: Is it worth continuing?</w:t>
            </w:r>
          </w:p>
        </w:tc>
        <w:tc>
          <w:tcPr>
            <w:tcW w:w="1040" w:type="dxa"/>
            <w:tcBorders>
              <w:top w:val="nil"/>
              <w:left w:val="nil"/>
              <w:bottom w:val="single" w:sz="8" w:space="0" w:color="B5DDDC"/>
              <w:right w:val="single" w:sz="8" w:space="0" w:color="B5DDDC"/>
            </w:tcBorders>
            <w:shd w:val="clear" w:color="000000" w:fill="D6EAEB"/>
            <w:vAlign w:val="center"/>
            <w:hideMark/>
          </w:tcPr>
          <w:p w14:paraId="19AE3D84" w14:textId="77777777" w:rsidR="00A40245" w:rsidRPr="00397A3E" w:rsidRDefault="00171C91" w:rsidP="005101BB">
            <w:pPr>
              <w:keepNext/>
              <w:spacing w:before="0" w:after="0" w:line="240" w:lineRule="auto"/>
              <w:jc w:val="center"/>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Yes</w:t>
            </w:r>
          </w:p>
        </w:tc>
        <w:tc>
          <w:tcPr>
            <w:tcW w:w="1060" w:type="dxa"/>
            <w:tcBorders>
              <w:top w:val="nil"/>
              <w:left w:val="nil"/>
              <w:bottom w:val="single" w:sz="8" w:space="0" w:color="B5DDDC"/>
              <w:right w:val="single" w:sz="8" w:space="0" w:color="B5DDDC"/>
            </w:tcBorders>
            <w:shd w:val="clear" w:color="000000" w:fill="D6EAEB"/>
            <w:vAlign w:val="center"/>
            <w:hideMark/>
          </w:tcPr>
          <w:p w14:paraId="4C7AA6E7" w14:textId="77777777" w:rsidR="00A40245" w:rsidRPr="00397A3E" w:rsidRDefault="00171C91" w:rsidP="005101BB">
            <w:pPr>
              <w:keepNext/>
              <w:spacing w:before="0" w:after="0" w:line="240" w:lineRule="auto"/>
              <w:jc w:val="center"/>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Yes</w:t>
            </w:r>
          </w:p>
        </w:tc>
        <w:tc>
          <w:tcPr>
            <w:tcW w:w="1060" w:type="dxa"/>
            <w:tcBorders>
              <w:top w:val="nil"/>
              <w:left w:val="nil"/>
              <w:bottom w:val="single" w:sz="8" w:space="0" w:color="B5DDDC"/>
              <w:right w:val="single" w:sz="8" w:space="0" w:color="B5DDDC"/>
            </w:tcBorders>
            <w:shd w:val="clear" w:color="000000" w:fill="D6EAEB"/>
            <w:vAlign w:val="center"/>
            <w:hideMark/>
          </w:tcPr>
          <w:p w14:paraId="1861BD5E" w14:textId="6578D9A1" w:rsidR="00A40245" w:rsidRPr="00397A3E" w:rsidRDefault="00171C91" w:rsidP="005101BB">
            <w:pPr>
              <w:keepNext/>
              <w:spacing w:before="0" w:after="0" w:line="240" w:lineRule="auto"/>
              <w:jc w:val="center"/>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 </w:t>
            </w:r>
            <w:r w:rsidR="006415C1" w:rsidRPr="00397A3E">
              <w:rPr>
                <w:rFonts w:asciiTheme="minorHAnsi" w:hAnsiTheme="minorHAnsi" w:cstheme="minorHAnsi"/>
                <w:b/>
                <w:bCs/>
                <w:noProof w:val="0"/>
                <w:color w:val="000000"/>
                <w:sz w:val="16"/>
                <w:szCs w:val="16"/>
              </w:rPr>
              <w:t>Yes</w:t>
            </w:r>
          </w:p>
        </w:tc>
        <w:tc>
          <w:tcPr>
            <w:tcW w:w="1060" w:type="dxa"/>
            <w:tcBorders>
              <w:top w:val="single" w:sz="8" w:space="0" w:color="B5DDDC"/>
              <w:left w:val="nil"/>
              <w:bottom w:val="single" w:sz="8" w:space="0" w:color="B5DDDC"/>
              <w:right w:val="single" w:sz="8" w:space="0" w:color="B5DDDC"/>
            </w:tcBorders>
            <w:shd w:val="clear" w:color="000000" w:fill="D6EAEB"/>
            <w:vAlign w:val="center"/>
            <w:hideMark/>
          </w:tcPr>
          <w:p w14:paraId="78AA83A1" w14:textId="77777777" w:rsidR="00A40245" w:rsidRPr="00397A3E" w:rsidRDefault="00171C91" w:rsidP="005101BB">
            <w:pPr>
              <w:keepNext/>
              <w:spacing w:before="0" w:after="0" w:line="240" w:lineRule="auto"/>
              <w:jc w:val="center"/>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No</w:t>
            </w:r>
          </w:p>
        </w:tc>
      </w:tr>
      <w:tr w:rsidR="00785848" w14:paraId="710B3F2E" w14:textId="77777777" w:rsidTr="00A40245">
        <w:tc>
          <w:tcPr>
            <w:tcW w:w="940" w:type="dxa"/>
            <w:tcBorders>
              <w:top w:val="nil"/>
              <w:left w:val="single" w:sz="8" w:space="0" w:color="B5DDDC"/>
              <w:bottom w:val="single" w:sz="8" w:space="0" w:color="B5DDDC"/>
              <w:right w:val="single" w:sz="8" w:space="0" w:color="B5DDDC"/>
            </w:tcBorders>
            <w:vAlign w:val="center"/>
            <w:hideMark/>
          </w:tcPr>
          <w:p w14:paraId="581891C1" w14:textId="77777777" w:rsidR="00A40245" w:rsidRPr="00397A3E" w:rsidRDefault="00171C91" w:rsidP="005101BB">
            <w:pPr>
              <w:keepNext/>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3</w:t>
            </w:r>
          </w:p>
        </w:tc>
        <w:tc>
          <w:tcPr>
            <w:tcW w:w="4020" w:type="dxa"/>
            <w:tcBorders>
              <w:top w:val="nil"/>
              <w:left w:val="nil"/>
              <w:bottom w:val="single" w:sz="8" w:space="0" w:color="B5DDDC"/>
              <w:right w:val="single" w:sz="8" w:space="0" w:color="B5DDDC"/>
            </w:tcBorders>
            <w:vAlign w:val="center"/>
            <w:hideMark/>
          </w:tcPr>
          <w:p w14:paraId="419C76A0" w14:textId="77777777" w:rsidR="00A40245" w:rsidRPr="00397A3E" w:rsidRDefault="00171C91" w:rsidP="005101BB">
            <w:pPr>
              <w:keepNext/>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Was the exposure accurately measured to minimise bias?</w:t>
            </w:r>
          </w:p>
        </w:tc>
        <w:tc>
          <w:tcPr>
            <w:tcW w:w="1040" w:type="dxa"/>
            <w:tcBorders>
              <w:top w:val="nil"/>
              <w:left w:val="nil"/>
              <w:bottom w:val="single" w:sz="8" w:space="0" w:color="B5DDDC"/>
              <w:right w:val="single" w:sz="8" w:space="0" w:color="B5DDDC"/>
            </w:tcBorders>
            <w:shd w:val="clear" w:color="000000" w:fill="E2EFDA"/>
            <w:vAlign w:val="center"/>
            <w:hideMark/>
          </w:tcPr>
          <w:p w14:paraId="2A7FA5FA"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nil"/>
              <w:right w:val="single" w:sz="8" w:space="0" w:color="B5DDDC"/>
            </w:tcBorders>
            <w:shd w:val="clear" w:color="000000" w:fill="F8CBAD"/>
            <w:vAlign w:val="center"/>
            <w:hideMark/>
          </w:tcPr>
          <w:p w14:paraId="7E0F3717"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nil"/>
              <w:right w:val="single" w:sz="8" w:space="0" w:color="B5DDDC"/>
            </w:tcBorders>
            <w:shd w:val="clear" w:color="000000" w:fill="F8CBAD"/>
            <w:vAlign w:val="center"/>
            <w:hideMark/>
          </w:tcPr>
          <w:p w14:paraId="28C1744E"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single" w:sz="8" w:space="0" w:color="B5DDDC"/>
              <w:right w:val="single" w:sz="8" w:space="0" w:color="B5DDDC"/>
            </w:tcBorders>
            <w:shd w:val="clear" w:color="000000" w:fill="E2EFDA"/>
            <w:vAlign w:val="center"/>
            <w:hideMark/>
          </w:tcPr>
          <w:p w14:paraId="20978D0F"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r>
      <w:tr w:rsidR="00785848" w14:paraId="27A46779" w14:textId="77777777" w:rsidTr="00A40245">
        <w:tc>
          <w:tcPr>
            <w:tcW w:w="940" w:type="dxa"/>
            <w:tcBorders>
              <w:top w:val="nil"/>
              <w:left w:val="single" w:sz="8" w:space="0" w:color="B5DDDC"/>
              <w:bottom w:val="single" w:sz="8" w:space="0" w:color="B5DDDC"/>
              <w:right w:val="single" w:sz="8" w:space="0" w:color="B5DDDC"/>
            </w:tcBorders>
            <w:vAlign w:val="center"/>
            <w:hideMark/>
          </w:tcPr>
          <w:p w14:paraId="5783B388" w14:textId="77777777" w:rsidR="00A40245" w:rsidRPr="00397A3E" w:rsidRDefault="00171C91" w:rsidP="005101BB">
            <w:pPr>
              <w:keepNext/>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4</w:t>
            </w:r>
          </w:p>
        </w:tc>
        <w:tc>
          <w:tcPr>
            <w:tcW w:w="4020" w:type="dxa"/>
            <w:tcBorders>
              <w:top w:val="nil"/>
              <w:left w:val="nil"/>
              <w:bottom w:val="single" w:sz="8" w:space="0" w:color="B5DDDC"/>
              <w:right w:val="single" w:sz="8" w:space="0" w:color="B5DDDC"/>
            </w:tcBorders>
            <w:vAlign w:val="center"/>
            <w:hideMark/>
          </w:tcPr>
          <w:p w14:paraId="728B50EE" w14:textId="77777777" w:rsidR="00A40245" w:rsidRPr="00397A3E" w:rsidRDefault="00171C91" w:rsidP="005101BB">
            <w:pPr>
              <w:keepNext/>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Was the outcome accurately measured to minimise bias?</w:t>
            </w:r>
          </w:p>
        </w:tc>
        <w:tc>
          <w:tcPr>
            <w:tcW w:w="1040" w:type="dxa"/>
            <w:tcBorders>
              <w:top w:val="nil"/>
              <w:left w:val="nil"/>
              <w:bottom w:val="single" w:sz="8" w:space="0" w:color="B5DDDC"/>
              <w:right w:val="single" w:sz="8" w:space="0" w:color="B5DDDC"/>
            </w:tcBorders>
            <w:shd w:val="clear" w:color="000000" w:fill="E2EFDA"/>
            <w:vAlign w:val="center"/>
            <w:hideMark/>
          </w:tcPr>
          <w:p w14:paraId="65ACA335"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single" w:sz="8" w:space="0" w:color="B5DDDC"/>
              <w:left w:val="nil"/>
              <w:bottom w:val="single" w:sz="8" w:space="0" w:color="B5DDDC"/>
              <w:right w:val="single" w:sz="8" w:space="0" w:color="B5DDDC"/>
            </w:tcBorders>
            <w:shd w:val="clear" w:color="000000" w:fill="E2EFDA"/>
            <w:vAlign w:val="center"/>
            <w:hideMark/>
          </w:tcPr>
          <w:p w14:paraId="2AFE260F"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single" w:sz="8" w:space="0" w:color="B5DDDC"/>
              <w:left w:val="nil"/>
              <w:bottom w:val="single" w:sz="8" w:space="0" w:color="B5DDDC"/>
              <w:right w:val="single" w:sz="8" w:space="0" w:color="B5DDDC"/>
            </w:tcBorders>
            <w:shd w:val="clear" w:color="000000" w:fill="E2EFDA"/>
            <w:vAlign w:val="center"/>
            <w:hideMark/>
          </w:tcPr>
          <w:p w14:paraId="7306E650"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single" w:sz="8" w:space="0" w:color="B5DDDC"/>
              <w:right w:val="single" w:sz="8" w:space="0" w:color="B5DDDC"/>
            </w:tcBorders>
            <w:shd w:val="clear" w:color="000000" w:fill="E2EFDA"/>
            <w:vAlign w:val="center"/>
            <w:hideMark/>
          </w:tcPr>
          <w:p w14:paraId="6ABE753C"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r>
      <w:tr w:rsidR="00785848" w14:paraId="4C657E8D" w14:textId="77777777" w:rsidTr="00A40245">
        <w:tc>
          <w:tcPr>
            <w:tcW w:w="940" w:type="dxa"/>
            <w:tcBorders>
              <w:top w:val="nil"/>
              <w:left w:val="single" w:sz="8" w:space="0" w:color="B5DDDC"/>
              <w:bottom w:val="single" w:sz="8" w:space="0" w:color="B5DDDC"/>
              <w:right w:val="single" w:sz="8" w:space="0" w:color="B5DDDC"/>
            </w:tcBorders>
            <w:vAlign w:val="center"/>
            <w:hideMark/>
          </w:tcPr>
          <w:p w14:paraId="69225D47" w14:textId="77777777" w:rsidR="00A40245" w:rsidRPr="00397A3E" w:rsidRDefault="00171C91" w:rsidP="005101BB">
            <w:pPr>
              <w:keepNext/>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5a</w:t>
            </w:r>
          </w:p>
        </w:tc>
        <w:tc>
          <w:tcPr>
            <w:tcW w:w="4020" w:type="dxa"/>
            <w:tcBorders>
              <w:top w:val="nil"/>
              <w:left w:val="nil"/>
              <w:bottom w:val="single" w:sz="8" w:space="0" w:color="B5DDDC"/>
              <w:right w:val="single" w:sz="8" w:space="0" w:color="B5DDDC"/>
            </w:tcBorders>
            <w:vAlign w:val="center"/>
            <w:hideMark/>
          </w:tcPr>
          <w:p w14:paraId="66616234" w14:textId="77777777" w:rsidR="00A40245" w:rsidRPr="00397A3E" w:rsidRDefault="00171C91" w:rsidP="005101BB">
            <w:pPr>
              <w:keepNext/>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Have the authors identified all important confounding factors?</w:t>
            </w:r>
          </w:p>
        </w:tc>
        <w:tc>
          <w:tcPr>
            <w:tcW w:w="1040" w:type="dxa"/>
            <w:tcBorders>
              <w:top w:val="nil"/>
              <w:left w:val="nil"/>
              <w:bottom w:val="single" w:sz="8" w:space="0" w:color="B5DDDC"/>
              <w:right w:val="single" w:sz="8" w:space="0" w:color="B5DDDC"/>
            </w:tcBorders>
            <w:shd w:val="clear" w:color="000000" w:fill="E2EFDA"/>
            <w:vAlign w:val="center"/>
            <w:hideMark/>
          </w:tcPr>
          <w:p w14:paraId="410156EF"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nil"/>
              <w:right w:val="single" w:sz="8" w:space="0" w:color="B5DDDC"/>
            </w:tcBorders>
            <w:shd w:val="clear" w:color="000000" w:fill="F8CBAD"/>
            <w:vAlign w:val="center"/>
            <w:hideMark/>
          </w:tcPr>
          <w:p w14:paraId="6B70D3D5"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nil"/>
              <w:right w:val="single" w:sz="8" w:space="0" w:color="B5DDDC"/>
            </w:tcBorders>
            <w:shd w:val="clear" w:color="000000" w:fill="F8CBAD"/>
            <w:vAlign w:val="center"/>
            <w:hideMark/>
          </w:tcPr>
          <w:p w14:paraId="627B7761"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single" w:sz="8" w:space="0" w:color="B5DDDC"/>
              <w:right w:val="single" w:sz="8" w:space="0" w:color="B5DDDC"/>
            </w:tcBorders>
            <w:shd w:val="clear" w:color="000000" w:fill="E2EFDA"/>
            <w:vAlign w:val="center"/>
            <w:hideMark/>
          </w:tcPr>
          <w:p w14:paraId="359FBEBF"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r>
      <w:tr w:rsidR="00785848" w14:paraId="3745BF0F" w14:textId="77777777" w:rsidTr="00A40245">
        <w:tc>
          <w:tcPr>
            <w:tcW w:w="940" w:type="dxa"/>
            <w:tcBorders>
              <w:top w:val="nil"/>
              <w:left w:val="single" w:sz="8" w:space="0" w:color="B5DDDC"/>
              <w:bottom w:val="single" w:sz="8" w:space="0" w:color="B5DDDC"/>
              <w:right w:val="single" w:sz="8" w:space="0" w:color="B5DDDC"/>
            </w:tcBorders>
            <w:vAlign w:val="center"/>
            <w:hideMark/>
          </w:tcPr>
          <w:p w14:paraId="6CB4C6E7" w14:textId="77777777" w:rsidR="00A40245" w:rsidRPr="00397A3E" w:rsidRDefault="00171C91" w:rsidP="005101BB">
            <w:pPr>
              <w:keepNext/>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5b</w:t>
            </w:r>
          </w:p>
        </w:tc>
        <w:tc>
          <w:tcPr>
            <w:tcW w:w="4020" w:type="dxa"/>
            <w:tcBorders>
              <w:top w:val="nil"/>
              <w:left w:val="nil"/>
              <w:bottom w:val="single" w:sz="8" w:space="0" w:color="B5DDDC"/>
              <w:right w:val="single" w:sz="8" w:space="0" w:color="B5DDDC"/>
            </w:tcBorders>
            <w:vAlign w:val="center"/>
            <w:hideMark/>
          </w:tcPr>
          <w:p w14:paraId="6E3F8A65" w14:textId="77777777" w:rsidR="00A40245" w:rsidRPr="00397A3E" w:rsidRDefault="00171C91" w:rsidP="005101BB">
            <w:pPr>
              <w:keepNext/>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Have they taken account of the confounding factors in the design and/or analysis?</w:t>
            </w:r>
          </w:p>
        </w:tc>
        <w:tc>
          <w:tcPr>
            <w:tcW w:w="1040" w:type="dxa"/>
            <w:tcBorders>
              <w:top w:val="nil"/>
              <w:left w:val="nil"/>
              <w:bottom w:val="single" w:sz="8" w:space="0" w:color="B5DDDC"/>
              <w:right w:val="single" w:sz="8" w:space="0" w:color="B5DDDC"/>
            </w:tcBorders>
            <w:shd w:val="clear" w:color="000000" w:fill="E2EFDA"/>
            <w:vAlign w:val="center"/>
            <w:hideMark/>
          </w:tcPr>
          <w:p w14:paraId="16AD35E9"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single" w:sz="8" w:space="0" w:color="B5DDDC"/>
              <w:left w:val="nil"/>
              <w:bottom w:val="nil"/>
              <w:right w:val="single" w:sz="8" w:space="0" w:color="B5DDDC"/>
            </w:tcBorders>
            <w:shd w:val="clear" w:color="000000" w:fill="F8CBAD"/>
            <w:vAlign w:val="center"/>
            <w:hideMark/>
          </w:tcPr>
          <w:p w14:paraId="0DF9F0CF"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single" w:sz="8" w:space="0" w:color="B5DDDC"/>
              <w:left w:val="nil"/>
              <w:bottom w:val="nil"/>
              <w:right w:val="single" w:sz="8" w:space="0" w:color="B5DDDC"/>
            </w:tcBorders>
            <w:shd w:val="clear" w:color="000000" w:fill="F8CBAD"/>
            <w:vAlign w:val="center"/>
            <w:hideMark/>
          </w:tcPr>
          <w:p w14:paraId="4897DB6A"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nil"/>
              <w:right w:val="single" w:sz="8" w:space="0" w:color="B5DDDC"/>
            </w:tcBorders>
            <w:shd w:val="clear" w:color="000000" w:fill="F8CBAD"/>
            <w:vAlign w:val="center"/>
            <w:hideMark/>
          </w:tcPr>
          <w:p w14:paraId="04C93D6A"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r>
      <w:tr w:rsidR="00785848" w14:paraId="0DA84901" w14:textId="77777777" w:rsidTr="00A40245">
        <w:tc>
          <w:tcPr>
            <w:tcW w:w="940" w:type="dxa"/>
            <w:tcBorders>
              <w:top w:val="nil"/>
              <w:left w:val="single" w:sz="8" w:space="0" w:color="B5DDDC"/>
              <w:bottom w:val="single" w:sz="8" w:space="0" w:color="B5DDDC"/>
              <w:right w:val="single" w:sz="8" w:space="0" w:color="B5DDDC"/>
            </w:tcBorders>
            <w:vAlign w:val="center"/>
            <w:hideMark/>
          </w:tcPr>
          <w:p w14:paraId="09BF7B18" w14:textId="77777777" w:rsidR="00A40245" w:rsidRPr="00397A3E" w:rsidRDefault="00171C91" w:rsidP="005101BB">
            <w:pPr>
              <w:keepNext/>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6a</w:t>
            </w:r>
          </w:p>
        </w:tc>
        <w:tc>
          <w:tcPr>
            <w:tcW w:w="4020" w:type="dxa"/>
            <w:tcBorders>
              <w:top w:val="nil"/>
              <w:left w:val="nil"/>
              <w:bottom w:val="single" w:sz="8" w:space="0" w:color="B5DDDC"/>
              <w:right w:val="single" w:sz="8" w:space="0" w:color="B5DDDC"/>
            </w:tcBorders>
            <w:vAlign w:val="center"/>
            <w:hideMark/>
          </w:tcPr>
          <w:p w14:paraId="11E1F6A1" w14:textId="77777777" w:rsidR="00A40245" w:rsidRPr="00397A3E" w:rsidRDefault="00171C91" w:rsidP="005101BB">
            <w:pPr>
              <w:keepNext/>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Was the follow up of subjects complete enough?</w:t>
            </w:r>
          </w:p>
        </w:tc>
        <w:tc>
          <w:tcPr>
            <w:tcW w:w="1040" w:type="dxa"/>
            <w:tcBorders>
              <w:top w:val="nil"/>
              <w:left w:val="nil"/>
              <w:bottom w:val="single" w:sz="8" w:space="0" w:color="B5DDDC"/>
              <w:right w:val="single" w:sz="8" w:space="0" w:color="B5DDDC"/>
            </w:tcBorders>
            <w:shd w:val="clear" w:color="000000" w:fill="E2EFDA"/>
            <w:vAlign w:val="center"/>
            <w:hideMark/>
          </w:tcPr>
          <w:p w14:paraId="24BF26BA"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single" w:sz="8" w:space="0" w:color="B5DDDC"/>
              <w:left w:val="nil"/>
              <w:bottom w:val="single" w:sz="8" w:space="0" w:color="B5DDDC"/>
              <w:right w:val="single" w:sz="8" w:space="0" w:color="B5DDDC"/>
            </w:tcBorders>
            <w:shd w:val="clear" w:color="000000" w:fill="E2EFDA"/>
            <w:vAlign w:val="center"/>
            <w:hideMark/>
          </w:tcPr>
          <w:p w14:paraId="543D75CD"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single" w:sz="8" w:space="0" w:color="B5DDDC"/>
              <w:left w:val="nil"/>
              <w:bottom w:val="single" w:sz="8" w:space="0" w:color="B5DDDC"/>
              <w:right w:val="single" w:sz="8" w:space="0" w:color="B5DDDC"/>
            </w:tcBorders>
            <w:shd w:val="clear" w:color="000000" w:fill="E2EFDA"/>
            <w:vAlign w:val="center"/>
            <w:hideMark/>
          </w:tcPr>
          <w:p w14:paraId="54DD1735"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single" w:sz="8" w:space="0" w:color="B5DDDC"/>
              <w:left w:val="nil"/>
              <w:bottom w:val="single" w:sz="8" w:space="0" w:color="B5DDDC"/>
              <w:right w:val="single" w:sz="8" w:space="0" w:color="B5DDDC"/>
            </w:tcBorders>
            <w:vAlign w:val="center"/>
            <w:hideMark/>
          </w:tcPr>
          <w:p w14:paraId="40D02F02" w14:textId="77777777" w:rsidR="00A40245" w:rsidRPr="00397A3E" w:rsidRDefault="00171C91" w:rsidP="005101BB">
            <w:pPr>
              <w:keepNext/>
              <w:spacing w:before="0" w:after="0" w:line="240" w:lineRule="auto"/>
              <w:jc w:val="center"/>
              <w:rPr>
                <w:rFonts w:asciiTheme="minorHAnsi" w:hAnsiTheme="minorHAnsi" w:cstheme="minorHAnsi"/>
                <w:noProof w:val="0"/>
                <w:sz w:val="16"/>
                <w:szCs w:val="16"/>
              </w:rPr>
            </w:pPr>
            <w:r w:rsidRPr="00397A3E">
              <w:rPr>
                <w:rFonts w:asciiTheme="minorHAnsi" w:hAnsiTheme="minorHAnsi" w:cstheme="minorHAnsi"/>
                <w:noProof w:val="0"/>
                <w:sz w:val="16"/>
                <w:szCs w:val="16"/>
              </w:rPr>
              <w:t>n/a</w:t>
            </w:r>
          </w:p>
        </w:tc>
      </w:tr>
      <w:tr w:rsidR="00785848" w14:paraId="38E4355A" w14:textId="77777777" w:rsidTr="00A40245">
        <w:tc>
          <w:tcPr>
            <w:tcW w:w="940" w:type="dxa"/>
            <w:tcBorders>
              <w:top w:val="nil"/>
              <w:left w:val="single" w:sz="8" w:space="0" w:color="B5DDDC"/>
              <w:bottom w:val="single" w:sz="8" w:space="0" w:color="B5DDDC"/>
              <w:right w:val="single" w:sz="8" w:space="0" w:color="B5DDDC"/>
            </w:tcBorders>
            <w:vAlign w:val="center"/>
            <w:hideMark/>
          </w:tcPr>
          <w:p w14:paraId="0C0566B6" w14:textId="77777777" w:rsidR="00A40245" w:rsidRPr="00397A3E" w:rsidRDefault="00171C91" w:rsidP="005101BB">
            <w:pPr>
              <w:keepNext/>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6b</w:t>
            </w:r>
          </w:p>
        </w:tc>
        <w:tc>
          <w:tcPr>
            <w:tcW w:w="4020" w:type="dxa"/>
            <w:tcBorders>
              <w:top w:val="nil"/>
              <w:left w:val="nil"/>
              <w:bottom w:val="single" w:sz="8" w:space="0" w:color="B5DDDC"/>
              <w:right w:val="single" w:sz="8" w:space="0" w:color="B5DDDC"/>
            </w:tcBorders>
            <w:vAlign w:val="center"/>
            <w:hideMark/>
          </w:tcPr>
          <w:p w14:paraId="46420233" w14:textId="77777777" w:rsidR="00A40245" w:rsidRPr="00397A3E" w:rsidRDefault="00171C91" w:rsidP="005101BB">
            <w:pPr>
              <w:keepNext/>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Was the follow up of subjects long enough?</w:t>
            </w:r>
          </w:p>
        </w:tc>
        <w:tc>
          <w:tcPr>
            <w:tcW w:w="1040" w:type="dxa"/>
            <w:tcBorders>
              <w:top w:val="nil"/>
              <w:left w:val="nil"/>
              <w:bottom w:val="single" w:sz="8" w:space="0" w:color="B5DDDC"/>
              <w:right w:val="single" w:sz="8" w:space="0" w:color="B5DDDC"/>
            </w:tcBorders>
            <w:shd w:val="clear" w:color="000000" w:fill="E2EFDA"/>
            <w:vAlign w:val="center"/>
            <w:hideMark/>
          </w:tcPr>
          <w:p w14:paraId="6D5B2D33"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single" w:sz="8" w:space="0" w:color="B5DDDC"/>
              <w:right w:val="single" w:sz="8" w:space="0" w:color="B5DDDC"/>
            </w:tcBorders>
            <w:shd w:val="clear" w:color="000000" w:fill="E2EFDA"/>
            <w:vAlign w:val="center"/>
            <w:hideMark/>
          </w:tcPr>
          <w:p w14:paraId="5DE1F317"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single" w:sz="8" w:space="0" w:color="B5DDDC"/>
              <w:right w:val="single" w:sz="8" w:space="0" w:color="B5DDDC"/>
            </w:tcBorders>
            <w:shd w:val="clear" w:color="000000" w:fill="E2EFDA"/>
            <w:vAlign w:val="center"/>
            <w:hideMark/>
          </w:tcPr>
          <w:p w14:paraId="4037930C"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single" w:sz="8" w:space="0" w:color="B5DDDC"/>
              <w:right w:val="single" w:sz="8" w:space="0" w:color="B5DDDC"/>
            </w:tcBorders>
            <w:vAlign w:val="center"/>
            <w:hideMark/>
          </w:tcPr>
          <w:p w14:paraId="2F10F719" w14:textId="77777777" w:rsidR="00A40245" w:rsidRPr="00397A3E" w:rsidRDefault="00171C91" w:rsidP="005101BB">
            <w:pPr>
              <w:keepNext/>
              <w:spacing w:before="0" w:after="0" w:line="240" w:lineRule="auto"/>
              <w:jc w:val="center"/>
              <w:rPr>
                <w:rFonts w:asciiTheme="minorHAnsi" w:hAnsiTheme="minorHAnsi" w:cstheme="minorHAnsi"/>
                <w:noProof w:val="0"/>
                <w:sz w:val="16"/>
                <w:szCs w:val="16"/>
              </w:rPr>
            </w:pPr>
            <w:r w:rsidRPr="00397A3E">
              <w:rPr>
                <w:rFonts w:asciiTheme="minorHAnsi" w:hAnsiTheme="minorHAnsi" w:cstheme="minorHAnsi"/>
                <w:noProof w:val="0"/>
                <w:sz w:val="16"/>
                <w:szCs w:val="16"/>
              </w:rPr>
              <w:t>n/a</w:t>
            </w:r>
          </w:p>
        </w:tc>
      </w:tr>
      <w:tr w:rsidR="00785848" w14:paraId="1B9B0AE2" w14:textId="77777777" w:rsidTr="0075369B">
        <w:tc>
          <w:tcPr>
            <w:tcW w:w="940" w:type="dxa"/>
            <w:tcBorders>
              <w:top w:val="nil"/>
              <w:left w:val="single" w:sz="8" w:space="0" w:color="B5DDDC"/>
              <w:bottom w:val="single" w:sz="8" w:space="0" w:color="B5DDDC"/>
              <w:right w:val="single" w:sz="8" w:space="0" w:color="B5DDDC"/>
            </w:tcBorders>
            <w:shd w:val="clear" w:color="000000" w:fill="D6EAEB"/>
            <w:vAlign w:val="center"/>
            <w:hideMark/>
          </w:tcPr>
          <w:p w14:paraId="25DF8B2C" w14:textId="77777777" w:rsidR="007C7DC8" w:rsidRPr="00397A3E" w:rsidRDefault="00171C91" w:rsidP="005101BB">
            <w:pPr>
              <w:keepNext/>
              <w:spacing w:before="0" w:after="0" w:line="240" w:lineRule="auto"/>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 </w:t>
            </w:r>
          </w:p>
        </w:tc>
        <w:tc>
          <w:tcPr>
            <w:tcW w:w="8240" w:type="dxa"/>
            <w:gridSpan w:val="5"/>
            <w:tcBorders>
              <w:top w:val="nil"/>
              <w:left w:val="nil"/>
              <w:bottom w:val="single" w:sz="8" w:space="0" w:color="B5DDDC"/>
              <w:right w:val="single" w:sz="8" w:space="0" w:color="B5DDDC"/>
            </w:tcBorders>
            <w:shd w:val="clear" w:color="000000" w:fill="D6EAEB"/>
            <w:vAlign w:val="center"/>
            <w:hideMark/>
          </w:tcPr>
          <w:p w14:paraId="20704AB9" w14:textId="5DEB1405" w:rsidR="007C7DC8" w:rsidRPr="00397A3E" w:rsidRDefault="00171C91" w:rsidP="005101BB">
            <w:pPr>
              <w:keepNext/>
              <w:spacing w:before="0" w:after="0" w:line="240" w:lineRule="auto"/>
              <w:rPr>
                <w:rFonts w:asciiTheme="minorHAnsi" w:hAnsiTheme="minorHAnsi" w:cstheme="minorHAnsi"/>
                <w:b/>
                <w:bCs/>
                <w:noProof w:val="0"/>
                <w:color w:val="000000"/>
                <w:szCs w:val="20"/>
              </w:rPr>
            </w:pPr>
            <w:r w:rsidRPr="00397A3E">
              <w:rPr>
                <w:rFonts w:asciiTheme="minorHAnsi" w:hAnsiTheme="minorHAnsi" w:cstheme="minorHAnsi"/>
                <w:b/>
                <w:bCs/>
                <w:noProof w:val="0"/>
                <w:color w:val="000000"/>
                <w:sz w:val="16"/>
                <w:szCs w:val="16"/>
              </w:rPr>
              <w:t>Section B: What are the results?</w:t>
            </w:r>
          </w:p>
          <w:p w14:paraId="3ED8BB6D" w14:textId="0EEF5FFF" w:rsidR="007C7DC8" w:rsidRPr="00397A3E" w:rsidRDefault="007C7DC8" w:rsidP="005101BB">
            <w:pPr>
              <w:keepNext/>
              <w:spacing w:before="0" w:after="0" w:line="240" w:lineRule="auto"/>
              <w:rPr>
                <w:rFonts w:asciiTheme="minorHAnsi" w:hAnsiTheme="minorHAnsi" w:cstheme="minorHAnsi"/>
                <w:b/>
                <w:bCs/>
                <w:noProof w:val="0"/>
                <w:color w:val="000000"/>
                <w:szCs w:val="20"/>
              </w:rPr>
            </w:pPr>
          </w:p>
        </w:tc>
      </w:tr>
      <w:tr w:rsidR="00785848" w14:paraId="205F3FDE" w14:textId="77777777" w:rsidTr="00A40245">
        <w:tc>
          <w:tcPr>
            <w:tcW w:w="940" w:type="dxa"/>
            <w:tcBorders>
              <w:top w:val="nil"/>
              <w:left w:val="single" w:sz="8" w:space="0" w:color="B5DDDC"/>
              <w:bottom w:val="single" w:sz="8" w:space="0" w:color="B5DDDC"/>
              <w:right w:val="single" w:sz="8" w:space="0" w:color="B5DDDC"/>
            </w:tcBorders>
            <w:vAlign w:val="center"/>
            <w:hideMark/>
          </w:tcPr>
          <w:p w14:paraId="25FD421E" w14:textId="77777777" w:rsidR="00A40245" w:rsidRPr="00397A3E" w:rsidRDefault="00171C91" w:rsidP="005101BB">
            <w:pPr>
              <w:keepNext/>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7</w:t>
            </w:r>
          </w:p>
        </w:tc>
        <w:tc>
          <w:tcPr>
            <w:tcW w:w="4020" w:type="dxa"/>
            <w:tcBorders>
              <w:top w:val="nil"/>
              <w:left w:val="nil"/>
              <w:bottom w:val="single" w:sz="8" w:space="0" w:color="B5DDDC"/>
              <w:right w:val="single" w:sz="8" w:space="0" w:color="B5DDDC"/>
            </w:tcBorders>
            <w:vAlign w:val="center"/>
            <w:hideMark/>
          </w:tcPr>
          <w:p w14:paraId="7FDE2D58" w14:textId="77777777" w:rsidR="00A40245" w:rsidRPr="00397A3E" w:rsidRDefault="00171C91" w:rsidP="005101BB">
            <w:pPr>
              <w:keepNext/>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What are the results of this study?</w:t>
            </w:r>
          </w:p>
        </w:tc>
        <w:tc>
          <w:tcPr>
            <w:tcW w:w="1040" w:type="dxa"/>
            <w:tcBorders>
              <w:top w:val="nil"/>
              <w:left w:val="nil"/>
              <w:bottom w:val="single" w:sz="8" w:space="0" w:color="B5DDDC"/>
              <w:right w:val="single" w:sz="8" w:space="0" w:color="B5DDDC"/>
            </w:tcBorders>
            <w:shd w:val="clear" w:color="000000" w:fill="E2EFDA"/>
            <w:vAlign w:val="center"/>
            <w:hideMark/>
          </w:tcPr>
          <w:p w14:paraId="097E8EDF"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nil"/>
              <w:right w:val="single" w:sz="8" w:space="0" w:color="B5DDDC"/>
            </w:tcBorders>
            <w:shd w:val="clear" w:color="000000" w:fill="F8CBAD"/>
            <w:vAlign w:val="center"/>
            <w:hideMark/>
          </w:tcPr>
          <w:p w14:paraId="573BA4E7"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nil"/>
              <w:right w:val="single" w:sz="8" w:space="0" w:color="B5DDDC"/>
            </w:tcBorders>
            <w:shd w:val="clear" w:color="000000" w:fill="F8CBAD"/>
            <w:vAlign w:val="center"/>
            <w:hideMark/>
          </w:tcPr>
          <w:p w14:paraId="26320BFC"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single" w:sz="8" w:space="0" w:color="B5DDDC"/>
              <w:right w:val="single" w:sz="8" w:space="0" w:color="B5DDDC"/>
            </w:tcBorders>
            <w:shd w:val="clear" w:color="000000" w:fill="E2EFDA"/>
            <w:vAlign w:val="center"/>
            <w:hideMark/>
          </w:tcPr>
          <w:p w14:paraId="690282C2"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r>
      <w:tr w:rsidR="00785848" w14:paraId="3634BEEB" w14:textId="77777777" w:rsidTr="00A40245">
        <w:tc>
          <w:tcPr>
            <w:tcW w:w="940" w:type="dxa"/>
            <w:tcBorders>
              <w:top w:val="nil"/>
              <w:left w:val="single" w:sz="8" w:space="0" w:color="B5DDDC"/>
              <w:bottom w:val="single" w:sz="8" w:space="0" w:color="B5DDDC"/>
              <w:right w:val="single" w:sz="8" w:space="0" w:color="B5DDDC"/>
            </w:tcBorders>
            <w:vAlign w:val="center"/>
            <w:hideMark/>
          </w:tcPr>
          <w:p w14:paraId="0121F700" w14:textId="77777777" w:rsidR="00A40245" w:rsidRPr="00397A3E" w:rsidRDefault="00171C91" w:rsidP="005101BB">
            <w:pPr>
              <w:keepNext/>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8</w:t>
            </w:r>
          </w:p>
        </w:tc>
        <w:tc>
          <w:tcPr>
            <w:tcW w:w="4020" w:type="dxa"/>
            <w:tcBorders>
              <w:top w:val="nil"/>
              <w:left w:val="nil"/>
              <w:bottom w:val="single" w:sz="8" w:space="0" w:color="B5DDDC"/>
              <w:right w:val="single" w:sz="8" w:space="0" w:color="B5DDDC"/>
            </w:tcBorders>
            <w:vAlign w:val="center"/>
            <w:hideMark/>
          </w:tcPr>
          <w:p w14:paraId="0F0D7C31" w14:textId="77777777" w:rsidR="00A40245" w:rsidRPr="00397A3E" w:rsidRDefault="00171C91" w:rsidP="005101BB">
            <w:pPr>
              <w:keepNext/>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How precise are the results?</w:t>
            </w:r>
          </w:p>
        </w:tc>
        <w:tc>
          <w:tcPr>
            <w:tcW w:w="1040" w:type="dxa"/>
            <w:tcBorders>
              <w:top w:val="nil"/>
              <w:left w:val="nil"/>
              <w:bottom w:val="single" w:sz="8" w:space="0" w:color="B5DDDC"/>
              <w:right w:val="single" w:sz="8" w:space="0" w:color="B5DDDC"/>
            </w:tcBorders>
            <w:shd w:val="clear" w:color="000000" w:fill="E2EFDA"/>
            <w:vAlign w:val="center"/>
            <w:hideMark/>
          </w:tcPr>
          <w:p w14:paraId="13621854"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single" w:sz="8" w:space="0" w:color="B5DDDC"/>
              <w:left w:val="nil"/>
              <w:bottom w:val="nil"/>
              <w:right w:val="single" w:sz="8" w:space="0" w:color="B5DDDC"/>
            </w:tcBorders>
            <w:shd w:val="clear" w:color="000000" w:fill="F8CBAD"/>
            <w:vAlign w:val="center"/>
            <w:hideMark/>
          </w:tcPr>
          <w:p w14:paraId="354C1A28"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single" w:sz="8" w:space="0" w:color="B5DDDC"/>
              <w:left w:val="nil"/>
              <w:bottom w:val="nil"/>
              <w:right w:val="single" w:sz="8" w:space="0" w:color="B5DDDC"/>
            </w:tcBorders>
            <w:shd w:val="clear" w:color="000000" w:fill="F8CBAD"/>
            <w:vAlign w:val="center"/>
            <w:hideMark/>
          </w:tcPr>
          <w:p w14:paraId="4394453D"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nil"/>
              <w:right w:val="single" w:sz="8" w:space="0" w:color="B5DDDC"/>
            </w:tcBorders>
            <w:shd w:val="clear" w:color="000000" w:fill="F8CBAD"/>
            <w:vAlign w:val="center"/>
            <w:hideMark/>
          </w:tcPr>
          <w:p w14:paraId="2A31090B"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r>
      <w:tr w:rsidR="00785848" w14:paraId="1C2C000A" w14:textId="77777777" w:rsidTr="00A40245">
        <w:tc>
          <w:tcPr>
            <w:tcW w:w="940" w:type="dxa"/>
            <w:tcBorders>
              <w:top w:val="nil"/>
              <w:left w:val="single" w:sz="8" w:space="0" w:color="B5DDDC"/>
              <w:bottom w:val="single" w:sz="8" w:space="0" w:color="B5DDDC"/>
              <w:right w:val="single" w:sz="8" w:space="0" w:color="B5DDDC"/>
            </w:tcBorders>
            <w:vAlign w:val="center"/>
            <w:hideMark/>
          </w:tcPr>
          <w:p w14:paraId="208D01A2" w14:textId="77777777" w:rsidR="00A40245" w:rsidRPr="00397A3E" w:rsidRDefault="00171C91" w:rsidP="005101BB">
            <w:pPr>
              <w:keepNext/>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9</w:t>
            </w:r>
          </w:p>
        </w:tc>
        <w:tc>
          <w:tcPr>
            <w:tcW w:w="4020" w:type="dxa"/>
            <w:tcBorders>
              <w:top w:val="nil"/>
              <w:left w:val="nil"/>
              <w:bottom w:val="single" w:sz="8" w:space="0" w:color="B5DDDC"/>
              <w:right w:val="single" w:sz="8" w:space="0" w:color="B5DDDC"/>
            </w:tcBorders>
            <w:vAlign w:val="center"/>
            <w:hideMark/>
          </w:tcPr>
          <w:p w14:paraId="5C846989" w14:textId="77777777" w:rsidR="00A40245" w:rsidRPr="00397A3E" w:rsidRDefault="00171C91" w:rsidP="005101BB">
            <w:pPr>
              <w:keepNext/>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Do you believe the results?</w:t>
            </w:r>
          </w:p>
        </w:tc>
        <w:tc>
          <w:tcPr>
            <w:tcW w:w="1040" w:type="dxa"/>
            <w:tcBorders>
              <w:top w:val="nil"/>
              <w:left w:val="nil"/>
              <w:bottom w:val="single" w:sz="8" w:space="0" w:color="B5DDDC"/>
              <w:right w:val="single" w:sz="8" w:space="0" w:color="B5DDDC"/>
            </w:tcBorders>
            <w:shd w:val="clear" w:color="000000" w:fill="E2EFDA"/>
            <w:vAlign w:val="center"/>
            <w:hideMark/>
          </w:tcPr>
          <w:p w14:paraId="5ED183C2"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single" w:sz="8" w:space="0" w:color="B5DDDC"/>
              <w:left w:val="nil"/>
              <w:bottom w:val="single" w:sz="8" w:space="0" w:color="B5DDDC"/>
              <w:right w:val="single" w:sz="8" w:space="0" w:color="B5DDDC"/>
            </w:tcBorders>
            <w:shd w:val="clear" w:color="000000" w:fill="FF0000"/>
            <w:vAlign w:val="center"/>
            <w:hideMark/>
          </w:tcPr>
          <w:p w14:paraId="26B8A543" w14:textId="77777777" w:rsidR="00A40245" w:rsidRPr="00397A3E" w:rsidRDefault="00171C91" w:rsidP="005101BB">
            <w:pPr>
              <w:keepNext/>
              <w:spacing w:before="0" w:after="0" w:line="240" w:lineRule="auto"/>
              <w:jc w:val="center"/>
              <w:rPr>
                <w:rFonts w:asciiTheme="minorHAnsi" w:hAnsiTheme="minorHAnsi" w:cstheme="minorHAnsi"/>
                <w:b/>
                <w:bCs/>
                <w:noProof w:val="0"/>
                <w:color w:val="FFFFFF" w:themeColor="background1"/>
                <w:szCs w:val="20"/>
              </w:rPr>
            </w:pPr>
            <w:r w:rsidRPr="00397A3E">
              <w:rPr>
                <w:rFonts w:asciiTheme="minorHAnsi" w:hAnsiTheme="minorHAnsi" w:cstheme="minorHAnsi"/>
                <w:b/>
                <w:bCs/>
                <w:noProof w:val="0"/>
                <w:color w:val="FFFFFF" w:themeColor="background1"/>
                <w:szCs w:val="20"/>
              </w:rPr>
              <w:t xml:space="preserve"> --</w:t>
            </w:r>
          </w:p>
        </w:tc>
        <w:tc>
          <w:tcPr>
            <w:tcW w:w="1060" w:type="dxa"/>
            <w:tcBorders>
              <w:top w:val="single" w:sz="8" w:space="0" w:color="B5DDDC"/>
              <w:left w:val="nil"/>
              <w:bottom w:val="single" w:sz="8" w:space="0" w:color="B5DDDC"/>
              <w:right w:val="single" w:sz="8" w:space="0" w:color="B5DDDC"/>
            </w:tcBorders>
            <w:shd w:val="clear" w:color="000000" w:fill="FF0000"/>
            <w:vAlign w:val="center"/>
            <w:hideMark/>
          </w:tcPr>
          <w:p w14:paraId="14A8B184" w14:textId="77777777" w:rsidR="00A40245" w:rsidRPr="00397A3E" w:rsidRDefault="00171C91" w:rsidP="005101BB">
            <w:pPr>
              <w:keepNext/>
              <w:spacing w:before="0" w:after="0" w:line="240" w:lineRule="auto"/>
              <w:jc w:val="center"/>
              <w:rPr>
                <w:rFonts w:asciiTheme="minorHAnsi" w:hAnsiTheme="minorHAnsi" w:cstheme="minorHAnsi"/>
                <w:b/>
                <w:bCs/>
                <w:noProof w:val="0"/>
                <w:color w:val="FFFFFF" w:themeColor="background1"/>
                <w:szCs w:val="20"/>
              </w:rPr>
            </w:pPr>
            <w:r w:rsidRPr="00397A3E">
              <w:rPr>
                <w:rFonts w:asciiTheme="minorHAnsi" w:hAnsiTheme="minorHAnsi" w:cstheme="minorHAnsi"/>
                <w:b/>
                <w:bCs/>
                <w:noProof w:val="0"/>
                <w:color w:val="FFFFFF" w:themeColor="background1"/>
                <w:szCs w:val="20"/>
              </w:rPr>
              <w:t xml:space="preserve"> --</w:t>
            </w:r>
          </w:p>
        </w:tc>
        <w:tc>
          <w:tcPr>
            <w:tcW w:w="1060" w:type="dxa"/>
            <w:tcBorders>
              <w:top w:val="single" w:sz="8" w:space="0" w:color="B5DDDC"/>
              <w:left w:val="nil"/>
              <w:bottom w:val="single" w:sz="8" w:space="0" w:color="B5DDDC"/>
              <w:right w:val="single" w:sz="8" w:space="0" w:color="B5DDDC"/>
            </w:tcBorders>
            <w:shd w:val="clear" w:color="000000" w:fill="E2EFDA"/>
            <w:vAlign w:val="center"/>
            <w:hideMark/>
          </w:tcPr>
          <w:p w14:paraId="26AED4F2"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r>
      <w:tr w:rsidR="00785848" w14:paraId="0E34D39B" w14:textId="77777777" w:rsidTr="0075369B">
        <w:tc>
          <w:tcPr>
            <w:tcW w:w="940" w:type="dxa"/>
            <w:tcBorders>
              <w:top w:val="nil"/>
              <w:left w:val="single" w:sz="8" w:space="0" w:color="B5DDDC"/>
              <w:bottom w:val="single" w:sz="8" w:space="0" w:color="B5DDDC"/>
              <w:right w:val="single" w:sz="8" w:space="0" w:color="B5DDDC"/>
            </w:tcBorders>
            <w:shd w:val="clear" w:color="000000" w:fill="D6EAEB"/>
            <w:vAlign w:val="center"/>
            <w:hideMark/>
          </w:tcPr>
          <w:p w14:paraId="5F0A34FB" w14:textId="77777777" w:rsidR="007C7DC8" w:rsidRPr="00397A3E" w:rsidRDefault="00171C91" w:rsidP="005101BB">
            <w:pPr>
              <w:keepNext/>
              <w:spacing w:before="0" w:after="0" w:line="240" w:lineRule="auto"/>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 </w:t>
            </w:r>
          </w:p>
        </w:tc>
        <w:tc>
          <w:tcPr>
            <w:tcW w:w="8240" w:type="dxa"/>
            <w:gridSpan w:val="5"/>
            <w:tcBorders>
              <w:top w:val="nil"/>
              <w:left w:val="nil"/>
              <w:bottom w:val="single" w:sz="8" w:space="0" w:color="B5DDDC"/>
              <w:right w:val="single" w:sz="8" w:space="0" w:color="B5DDDC"/>
            </w:tcBorders>
            <w:shd w:val="clear" w:color="000000" w:fill="D6EAEB"/>
            <w:vAlign w:val="center"/>
            <w:hideMark/>
          </w:tcPr>
          <w:p w14:paraId="7DC9F52B" w14:textId="0A623490" w:rsidR="007C7DC8" w:rsidRPr="00397A3E" w:rsidRDefault="00171C91" w:rsidP="005101BB">
            <w:pPr>
              <w:keepNext/>
              <w:spacing w:before="0" w:after="0" w:line="240" w:lineRule="auto"/>
              <w:rPr>
                <w:rFonts w:asciiTheme="minorHAnsi" w:hAnsiTheme="minorHAnsi" w:cstheme="minorHAnsi"/>
                <w:b/>
                <w:bCs/>
                <w:noProof w:val="0"/>
                <w:color w:val="000000"/>
                <w:szCs w:val="20"/>
              </w:rPr>
            </w:pPr>
            <w:r w:rsidRPr="00397A3E">
              <w:rPr>
                <w:rFonts w:asciiTheme="minorHAnsi" w:hAnsiTheme="minorHAnsi" w:cstheme="minorHAnsi"/>
                <w:b/>
                <w:bCs/>
                <w:noProof w:val="0"/>
                <w:color w:val="000000"/>
                <w:sz w:val="16"/>
                <w:szCs w:val="16"/>
              </w:rPr>
              <w:t>Section C: Will the results help locally?</w:t>
            </w:r>
          </w:p>
          <w:p w14:paraId="425D3E89" w14:textId="47CF737F" w:rsidR="007C7DC8" w:rsidRPr="00397A3E" w:rsidRDefault="007C7DC8" w:rsidP="005101BB">
            <w:pPr>
              <w:keepNext/>
              <w:spacing w:before="0" w:after="0" w:line="240" w:lineRule="auto"/>
              <w:rPr>
                <w:rFonts w:asciiTheme="minorHAnsi" w:hAnsiTheme="minorHAnsi" w:cstheme="minorHAnsi"/>
                <w:b/>
                <w:bCs/>
                <w:noProof w:val="0"/>
                <w:color w:val="000000"/>
                <w:szCs w:val="20"/>
              </w:rPr>
            </w:pPr>
          </w:p>
        </w:tc>
      </w:tr>
      <w:tr w:rsidR="00785848" w14:paraId="5869D69B" w14:textId="77777777" w:rsidTr="00A40245">
        <w:tc>
          <w:tcPr>
            <w:tcW w:w="940" w:type="dxa"/>
            <w:tcBorders>
              <w:top w:val="nil"/>
              <w:left w:val="single" w:sz="8" w:space="0" w:color="B5DDDC"/>
              <w:bottom w:val="single" w:sz="8" w:space="0" w:color="B5DDDC"/>
              <w:right w:val="single" w:sz="8" w:space="0" w:color="B5DDDC"/>
            </w:tcBorders>
            <w:vAlign w:val="center"/>
            <w:hideMark/>
          </w:tcPr>
          <w:p w14:paraId="1BA69FE0" w14:textId="77777777" w:rsidR="00A40245" w:rsidRPr="00397A3E" w:rsidRDefault="00171C91" w:rsidP="005101BB">
            <w:pPr>
              <w:keepNext/>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10</w:t>
            </w:r>
          </w:p>
        </w:tc>
        <w:tc>
          <w:tcPr>
            <w:tcW w:w="4020" w:type="dxa"/>
            <w:tcBorders>
              <w:top w:val="nil"/>
              <w:left w:val="nil"/>
              <w:bottom w:val="single" w:sz="8" w:space="0" w:color="B5DDDC"/>
              <w:right w:val="single" w:sz="8" w:space="0" w:color="B5DDDC"/>
            </w:tcBorders>
            <w:vAlign w:val="center"/>
            <w:hideMark/>
          </w:tcPr>
          <w:p w14:paraId="6250218D" w14:textId="77777777" w:rsidR="00A40245" w:rsidRPr="00397A3E" w:rsidRDefault="00171C91" w:rsidP="005101BB">
            <w:pPr>
              <w:keepNext/>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Can the results be applied to the local population?</w:t>
            </w:r>
          </w:p>
        </w:tc>
        <w:tc>
          <w:tcPr>
            <w:tcW w:w="1040" w:type="dxa"/>
            <w:tcBorders>
              <w:top w:val="nil"/>
              <w:left w:val="nil"/>
              <w:bottom w:val="single" w:sz="8" w:space="0" w:color="B5DDDC"/>
              <w:right w:val="single" w:sz="8" w:space="0" w:color="B5DDDC"/>
            </w:tcBorders>
            <w:shd w:val="clear" w:color="000000" w:fill="E2EFDA"/>
            <w:vAlign w:val="center"/>
            <w:hideMark/>
          </w:tcPr>
          <w:p w14:paraId="3723FB82"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single" w:sz="8" w:space="0" w:color="B5DDDC"/>
              <w:right w:val="single" w:sz="8" w:space="0" w:color="B5DDDC"/>
            </w:tcBorders>
            <w:shd w:val="clear" w:color="000000" w:fill="FF0000"/>
            <w:vAlign w:val="center"/>
            <w:hideMark/>
          </w:tcPr>
          <w:p w14:paraId="7A748988" w14:textId="77777777" w:rsidR="00A40245" w:rsidRPr="00397A3E" w:rsidRDefault="00171C91" w:rsidP="005101BB">
            <w:pPr>
              <w:keepNext/>
              <w:spacing w:before="0" w:after="0" w:line="240" w:lineRule="auto"/>
              <w:jc w:val="center"/>
              <w:rPr>
                <w:rFonts w:asciiTheme="minorHAnsi" w:hAnsiTheme="minorHAnsi" w:cstheme="minorHAnsi"/>
                <w:b/>
                <w:bCs/>
                <w:noProof w:val="0"/>
                <w:color w:val="FFFFFF" w:themeColor="background1"/>
                <w:szCs w:val="20"/>
              </w:rPr>
            </w:pPr>
            <w:r w:rsidRPr="00397A3E">
              <w:rPr>
                <w:rFonts w:asciiTheme="minorHAnsi" w:hAnsiTheme="minorHAnsi" w:cstheme="minorHAnsi"/>
                <w:b/>
                <w:bCs/>
                <w:noProof w:val="0"/>
                <w:color w:val="FFFFFF" w:themeColor="background1"/>
                <w:szCs w:val="20"/>
              </w:rPr>
              <w:t xml:space="preserve"> --</w:t>
            </w:r>
          </w:p>
        </w:tc>
        <w:tc>
          <w:tcPr>
            <w:tcW w:w="1060" w:type="dxa"/>
            <w:tcBorders>
              <w:top w:val="nil"/>
              <w:left w:val="nil"/>
              <w:bottom w:val="single" w:sz="8" w:space="0" w:color="B5DDDC"/>
              <w:right w:val="single" w:sz="8" w:space="0" w:color="B5DDDC"/>
            </w:tcBorders>
            <w:shd w:val="clear" w:color="000000" w:fill="FF0000"/>
            <w:vAlign w:val="center"/>
            <w:hideMark/>
          </w:tcPr>
          <w:p w14:paraId="63CD2868" w14:textId="77777777" w:rsidR="00A40245" w:rsidRPr="00397A3E" w:rsidRDefault="00171C91" w:rsidP="005101BB">
            <w:pPr>
              <w:keepNext/>
              <w:spacing w:before="0" w:after="0" w:line="240" w:lineRule="auto"/>
              <w:jc w:val="center"/>
              <w:rPr>
                <w:rFonts w:asciiTheme="minorHAnsi" w:hAnsiTheme="minorHAnsi" w:cstheme="minorHAnsi"/>
                <w:b/>
                <w:bCs/>
                <w:noProof w:val="0"/>
                <w:color w:val="FFFFFF" w:themeColor="background1"/>
                <w:szCs w:val="20"/>
              </w:rPr>
            </w:pPr>
            <w:r w:rsidRPr="00397A3E">
              <w:rPr>
                <w:rFonts w:asciiTheme="minorHAnsi" w:hAnsiTheme="minorHAnsi" w:cstheme="minorHAnsi"/>
                <w:b/>
                <w:bCs/>
                <w:noProof w:val="0"/>
                <w:color w:val="FFFFFF" w:themeColor="background1"/>
                <w:szCs w:val="20"/>
              </w:rPr>
              <w:t xml:space="preserve"> --</w:t>
            </w:r>
          </w:p>
        </w:tc>
        <w:tc>
          <w:tcPr>
            <w:tcW w:w="1060" w:type="dxa"/>
            <w:tcBorders>
              <w:top w:val="nil"/>
              <w:left w:val="nil"/>
              <w:bottom w:val="single" w:sz="8" w:space="0" w:color="B5DDDC"/>
              <w:right w:val="single" w:sz="8" w:space="0" w:color="B5DDDC"/>
            </w:tcBorders>
            <w:shd w:val="clear" w:color="000000" w:fill="E2EFDA"/>
            <w:vAlign w:val="center"/>
            <w:hideMark/>
          </w:tcPr>
          <w:p w14:paraId="5093FD50"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r>
      <w:tr w:rsidR="00785848" w14:paraId="06E2E00F" w14:textId="77777777" w:rsidTr="00A40245">
        <w:tc>
          <w:tcPr>
            <w:tcW w:w="940" w:type="dxa"/>
            <w:tcBorders>
              <w:top w:val="nil"/>
              <w:left w:val="single" w:sz="8" w:space="0" w:color="B5DDDC"/>
              <w:bottom w:val="single" w:sz="8" w:space="0" w:color="B5DDDC"/>
              <w:right w:val="single" w:sz="8" w:space="0" w:color="B5DDDC"/>
            </w:tcBorders>
            <w:vAlign w:val="center"/>
            <w:hideMark/>
          </w:tcPr>
          <w:p w14:paraId="6F5ACB67" w14:textId="77777777" w:rsidR="00A40245" w:rsidRPr="00397A3E" w:rsidRDefault="00171C91" w:rsidP="005101BB">
            <w:pPr>
              <w:keepNext/>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11</w:t>
            </w:r>
          </w:p>
        </w:tc>
        <w:tc>
          <w:tcPr>
            <w:tcW w:w="4020" w:type="dxa"/>
            <w:tcBorders>
              <w:top w:val="nil"/>
              <w:left w:val="nil"/>
              <w:bottom w:val="single" w:sz="8" w:space="0" w:color="B5DDDC"/>
              <w:right w:val="single" w:sz="8" w:space="0" w:color="B5DDDC"/>
            </w:tcBorders>
            <w:vAlign w:val="center"/>
            <w:hideMark/>
          </w:tcPr>
          <w:p w14:paraId="093A191F" w14:textId="77777777" w:rsidR="00A40245" w:rsidRPr="00397A3E" w:rsidRDefault="00171C91" w:rsidP="005101BB">
            <w:pPr>
              <w:keepNext/>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Do the results of this study fit with other available evidence?</w:t>
            </w:r>
          </w:p>
        </w:tc>
        <w:tc>
          <w:tcPr>
            <w:tcW w:w="1040" w:type="dxa"/>
            <w:tcBorders>
              <w:top w:val="nil"/>
              <w:left w:val="nil"/>
              <w:bottom w:val="single" w:sz="8" w:space="0" w:color="B5DDDC"/>
              <w:right w:val="single" w:sz="8" w:space="0" w:color="B5DDDC"/>
            </w:tcBorders>
            <w:shd w:val="clear" w:color="000000" w:fill="E2EFDA"/>
            <w:vAlign w:val="center"/>
            <w:hideMark/>
          </w:tcPr>
          <w:p w14:paraId="14E2608E"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nil"/>
              <w:right w:val="single" w:sz="8" w:space="0" w:color="B5DDDC"/>
            </w:tcBorders>
            <w:shd w:val="clear" w:color="000000" w:fill="F8CBAD"/>
            <w:vAlign w:val="center"/>
            <w:hideMark/>
          </w:tcPr>
          <w:p w14:paraId="4B9ED418"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nil"/>
              <w:right w:val="single" w:sz="8" w:space="0" w:color="B5DDDC"/>
            </w:tcBorders>
            <w:shd w:val="clear" w:color="000000" w:fill="F8CBAD"/>
            <w:vAlign w:val="center"/>
            <w:hideMark/>
          </w:tcPr>
          <w:p w14:paraId="273B7283"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nil"/>
              <w:left w:val="nil"/>
              <w:bottom w:val="single" w:sz="8" w:space="0" w:color="B5DDDC"/>
              <w:right w:val="single" w:sz="8" w:space="0" w:color="B5DDDC"/>
            </w:tcBorders>
            <w:shd w:val="clear" w:color="000000" w:fill="E2EFDA"/>
            <w:vAlign w:val="center"/>
            <w:hideMark/>
          </w:tcPr>
          <w:p w14:paraId="2EA4E49B"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r>
      <w:tr w:rsidR="00785848" w14:paraId="5CDA68B8" w14:textId="77777777" w:rsidTr="00A40245">
        <w:tc>
          <w:tcPr>
            <w:tcW w:w="940" w:type="dxa"/>
            <w:tcBorders>
              <w:top w:val="nil"/>
              <w:left w:val="single" w:sz="8" w:space="0" w:color="B5DDDC"/>
              <w:bottom w:val="single" w:sz="8" w:space="0" w:color="B5DDDC"/>
              <w:right w:val="single" w:sz="8" w:space="0" w:color="B5DDDC"/>
            </w:tcBorders>
            <w:vAlign w:val="center"/>
            <w:hideMark/>
          </w:tcPr>
          <w:p w14:paraId="48BA5972" w14:textId="77777777" w:rsidR="00A40245" w:rsidRPr="00397A3E" w:rsidRDefault="00171C91" w:rsidP="005101BB">
            <w:pPr>
              <w:keepNext/>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12</w:t>
            </w:r>
          </w:p>
        </w:tc>
        <w:tc>
          <w:tcPr>
            <w:tcW w:w="4020" w:type="dxa"/>
            <w:tcBorders>
              <w:top w:val="nil"/>
              <w:left w:val="nil"/>
              <w:bottom w:val="single" w:sz="8" w:space="0" w:color="B5DDDC"/>
              <w:right w:val="single" w:sz="8" w:space="0" w:color="B5DDDC"/>
            </w:tcBorders>
            <w:vAlign w:val="center"/>
            <w:hideMark/>
          </w:tcPr>
          <w:p w14:paraId="30063485" w14:textId="77777777" w:rsidR="00A40245" w:rsidRPr="00397A3E" w:rsidRDefault="00171C91" w:rsidP="005101BB">
            <w:pPr>
              <w:keepNext/>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What are the implications of this study for practice?</w:t>
            </w:r>
          </w:p>
        </w:tc>
        <w:tc>
          <w:tcPr>
            <w:tcW w:w="1040" w:type="dxa"/>
            <w:tcBorders>
              <w:top w:val="nil"/>
              <w:left w:val="nil"/>
              <w:bottom w:val="single" w:sz="8" w:space="0" w:color="B5DDDC"/>
              <w:right w:val="single" w:sz="8" w:space="0" w:color="B5DDDC"/>
            </w:tcBorders>
            <w:shd w:val="clear" w:color="000000" w:fill="E2EFDA"/>
            <w:vAlign w:val="center"/>
            <w:hideMark/>
          </w:tcPr>
          <w:p w14:paraId="79199E71"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single" w:sz="8" w:space="0" w:color="B5DDDC"/>
              <w:left w:val="nil"/>
              <w:bottom w:val="single" w:sz="8" w:space="0" w:color="B5DDDC"/>
              <w:right w:val="single" w:sz="8" w:space="0" w:color="B5DDDC"/>
            </w:tcBorders>
            <w:shd w:val="clear" w:color="000000" w:fill="FF0000"/>
            <w:vAlign w:val="center"/>
            <w:hideMark/>
          </w:tcPr>
          <w:p w14:paraId="66E043DE" w14:textId="77777777" w:rsidR="00A40245" w:rsidRPr="00397A3E" w:rsidRDefault="00171C91" w:rsidP="005101BB">
            <w:pPr>
              <w:keepNext/>
              <w:spacing w:before="0" w:after="0" w:line="240" w:lineRule="auto"/>
              <w:jc w:val="center"/>
              <w:rPr>
                <w:rFonts w:asciiTheme="minorHAnsi" w:hAnsiTheme="minorHAnsi" w:cstheme="minorHAnsi"/>
                <w:b/>
                <w:bCs/>
                <w:noProof w:val="0"/>
                <w:color w:val="FFFFFF" w:themeColor="background1"/>
                <w:szCs w:val="20"/>
              </w:rPr>
            </w:pPr>
            <w:r w:rsidRPr="00397A3E">
              <w:rPr>
                <w:rFonts w:asciiTheme="minorHAnsi" w:hAnsiTheme="minorHAnsi" w:cstheme="minorHAnsi"/>
                <w:b/>
                <w:bCs/>
                <w:noProof w:val="0"/>
                <w:color w:val="FFFFFF" w:themeColor="background1"/>
                <w:szCs w:val="20"/>
              </w:rPr>
              <w:t xml:space="preserve"> --</w:t>
            </w:r>
          </w:p>
        </w:tc>
        <w:tc>
          <w:tcPr>
            <w:tcW w:w="1060" w:type="dxa"/>
            <w:tcBorders>
              <w:top w:val="single" w:sz="8" w:space="0" w:color="B5DDDC"/>
              <w:left w:val="nil"/>
              <w:bottom w:val="single" w:sz="8" w:space="0" w:color="B5DDDC"/>
              <w:right w:val="single" w:sz="8" w:space="0" w:color="B5DDDC"/>
            </w:tcBorders>
            <w:shd w:val="clear" w:color="000000" w:fill="FF0000"/>
            <w:vAlign w:val="center"/>
            <w:hideMark/>
          </w:tcPr>
          <w:p w14:paraId="44988E5D" w14:textId="77777777" w:rsidR="00A40245" w:rsidRPr="00397A3E" w:rsidRDefault="00171C91" w:rsidP="005101BB">
            <w:pPr>
              <w:keepNext/>
              <w:spacing w:before="0" w:after="0" w:line="240" w:lineRule="auto"/>
              <w:jc w:val="center"/>
              <w:rPr>
                <w:rFonts w:asciiTheme="minorHAnsi" w:hAnsiTheme="minorHAnsi" w:cstheme="minorHAnsi"/>
                <w:b/>
                <w:bCs/>
                <w:noProof w:val="0"/>
                <w:color w:val="FFFFFF" w:themeColor="background1"/>
                <w:szCs w:val="20"/>
              </w:rPr>
            </w:pPr>
            <w:r w:rsidRPr="00397A3E">
              <w:rPr>
                <w:rFonts w:asciiTheme="minorHAnsi" w:hAnsiTheme="minorHAnsi" w:cstheme="minorHAnsi"/>
                <w:b/>
                <w:bCs/>
                <w:noProof w:val="0"/>
                <w:color w:val="FFFFFF" w:themeColor="background1"/>
                <w:szCs w:val="20"/>
              </w:rPr>
              <w:t xml:space="preserve"> --</w:t>
            </w:r>
          </w:p>
        </w:tc>
        <w:tc>
          <w:tcPr>
            <w:tcW w:w="1060" w:type="dxa"/>
            <w:tcBorders>
              <w:top w:val="nil"/>
              <w:left w:val="nil"/>
              <w:bottom w:val="nil"/>
              <w:right w:val="single" w:sz="8" w:space="0" w:color="B5DDDC"/>
            </w:tcBorders>
            <w:shd w:val="clear" w:color="000000" w:fill="F8CBAD"/>
            <w:vAlign w:val="center"/>
            <w:hideMark/>
          </w:tcPr>
          <w:p w14:paraId="2B9A6326"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r>
      <w:tr w:rsidR="00785848" w14:paraId="327E2F8D" w14:textId="77777777" w:rsidTr="00A40245">
        <w:tc>
          <w:tcPr>
            <w:tcW w:w="940" w:type="dxa"/>
            <w:tcBorders>
              <w:top w:val="nil"/>
              <w:left w:val="single" w:sz="8" w:space="0" w:color="B5DDDC"/>
              <w:bottom w:val="single" w:sz="8" w:space="0" w:color="B5DDDC"/>
              <w:right w:val="single" w:sz="8" w:space="0" w:color="B5DDDC"/>
            </w:tcBorders>
            <w:shd w:val="clear" w:color="000000" w:fill="D6EAEB"/>
            <w:vAlign w:val="center"/>
            <w:hideMark/>
          </w:tcPr>
          <w:p w14:paraId="41F0325C" w14:textId="77777777" w:rsidR="00A40245" w:rsidRPr="00397A3E" w:rsidRDefault="00171C91" w:rsidP="005101BB">
            <w:pPr>
              <w:keepNext/>
              <w:spacing w:before="0" w:after="0" w:line="240" w:lineRule="auto"/>
              <w:jc w:val="center"/>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w:t>
            </w:r>
          </w:p>
        </w:tc>
        <w:tc>
          <w:tcPr>
            <w:tcW w:w="4020"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36C8D342" w14:textId="77777777" w:rsidR="00A40245" w:rsidRPr="00397A3E" w:rsidRDefault="00171C91" w:rsidP="005101BB">
            <w:pPr>
              <w:keepNext/>
              <w:spacing w:before="0" w:after="0" w:line="240" w:lineRule="auto"/>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Overall risk of bias rating</w:t>
            </w:r>
          </w:p>
        </w:tc>
        <w:tc>
          <w:tcPr>
            <w:tcW w:w="1040" w:type="dxa"/>
            <w:tcBorders>
              <w:top w:val="single" w:sz="8" w:space="0" w:color="008000"/>
              <w:left w:val="single" w:sz="8" w:space="0" w:color="B5DDDC"/>
              <w:bottom w:val="single" w:sz="8" w:space="0" w:color="008000"/>
              <w:right w:val="single" w:sz="8" w:space="0" w:color="B5DDDC"/>
            </w:tcBorders>
            <w:shd w:val="clear" w:color="000000" w:fill="E2EFDA"/>
            <w:vAlign w:val="center"/>
            <w:hideMark/>
          </w:tcPr>
          <w:p w14:paraId="515D4AAA"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1060" w:type="dxa"/>
            <w:tcBorders>
              <w:top w:val="single" w:sz="8" w:space="0" w:color="008000"/>
              <w:left w:val="nil"/>
              <w:bottom w:val="single" w:sz="8" w:space="0" w:color="008000"/>
              <w:right w:val="single" w:sz="8" w:space="0" w:color="B5DDDC"/>
            </w:tcBorders>
            <w:shd w:val="clear" w:color="000000" w:fill="FF0000"/>
            <w:vAlign w:val="center"/>
            <w:hideMark/>
          </w:tcPr>
          <w:p w14:paraId="030644BD" w14:textId="77777777" w:rsidR="00A40245" w:rsidRPr="00397A3E" w:rsidRDefault="00171C91" w:rsidP="005101BB">
            <w:pPr>
              <w:keepNext/>
              <w:spacing w:before="0" w:after="0" w:line="240" w:lineRule="auto"/>
              <w:jc w:val="center"/>
              <w:rPr>
                <w:rFonts w:asciiTheme="minorHAnsi" w:hAnsiTheme="minorHAnsi" w:cstheme="minorHAnsi"/>
                <w:b/>
                <w:bCs/>
                <w:noProof w:val="0"/>
                <w:color w:val="FFFFFF" w:themeColor="background1"/>
                <w:szCs w:val="20"/>
              </w:rPr>
            </w:pPr>
            <w:r w:rsidRPr="00397A3E">
              <w:rPr>
                <w:rFonts w:asciiTheme="minorHAnsi" w:hAnsiTheme="minorHAnsi" w:cstheme="minorHAnsi"/>
                <w:b/>
                <w:bCs/>
                <w:noProof w:val="0"/>
                <w:color w:val="FFFFFF" w:themeColor="background1"/>
                <w:szCs w:val="20"/>
              </w:rPr>
              <w:t xml:space="preserve"> --</w:t>
            </w:r>
          </w:p>
        </w:tc>
        <w:tc>
          <w:tcPr>
            <w:tcW w:w="1060" w:type="dxa"/>
            <w:tcBorders>
              <w:top w:val="single" w:sz="8" w:space="0" w:color="008000"/>
              <w:left w:val="nil"/>
              <w:bottom w:val="single" w:sz="8" w:space="0" w:color="008000"/>
              <w:right w:val="single" w:sz="8" w:space="0" w:color="B5DDDC"/>
            </w:tcBorders>
            <w:shd w:val="clear" w:color="000000" w:fill="FF0000"/>
            <w:vAlign w:val="center"/>
            <w:hideMark/>
          </w:tcPr>
          <w:p w14:paraId="2287A622" w14:textId="77777777" w:rsidR="00A40245" w:rsidRPr="00397A3E" w:rsidRDefault="00171C91" w:rsidP="005101BB">
            <w:pPr>
              <w:keepNext/>
              <w:spacing w:before="0" w:after="0" w:line="240" w:lineRule="auto"/>
              <w:jc w:val="center"/>
              <w:rPr>
                <w:rFonts w:asciiTheme="minorHAnsi" w:hAnsiTheme="minorHAnsi" w:cstheme="minorHAnsi"/>
                <w:b/>
                <w:bCs/>
                <w:noProof w:val="0"/>
                <w:color w:val="FFFFFF" w:themeColor="background1"/>
                <w:szCs w:val="20"/>
              </w:rPr>
            </w:pPr>
            <w:r w:rsidRPr="00397A3E">
              <w:rPr>
                <w:rFonts w:asciiTheme="minorHAnsi" w:hAnsiTheme="minorHAnsi" w:cstheme="minorHAnsi"/>
                <w:b/>
                <w:bCs/>
                <w:noProof w:val="0"/>
                <w:color w:val="FFFFFF" w:themeColor="background1"/>
                <w:szCs w:val="20"/>
              </w:rPr>
              <w:t xml:space="preserve"> --</w:t>
            </w:r>
          </w:p>
        </w:tc>
        <w:tc>
          <w:tcPr>
            <w:tcW w:w="1060" w:type="dxa"/>
            <w:tcBorders>
              <w:top w:val="single" w:sz="8" w:space="0" w:color="008000"/>
              <w:left w:val="nil"/>
              <w:bottom w:val="single" w:sz="8" w:space="0" w:color="008000"/>
              <w:right w:val="single" w:sz="8" w:space="0" w:color="008000"/>
            </w:tcBorders>
            <w:shd w:val="clear" w:color="000000" w:fill="F8CBAD"/>
            <w:vAlign w:val="center"/>
            <w:hideMark/>
          </w:tcPr>
          <w:p w14:paraId="48FD24EB" w14:textId="77777777" w:rsidR="00A40245" w:rsidRPr="00397A3E" w:rsidRDefault="00171C91" w:rsidP="005101BB">
            <w:pPr>
              <w:keepNext/>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r>
    </w:tbl>
    <w:p w14:paraId="7878D6CB" w14:textId="41CC2ADE" w:rsidR="00A40245" w:rsidRPr="00397A3E" w:rsidRDefault="00171C91" w:rsidP="005101BB">
      <w:pPr>
        <w:keepNext/>
        <w:spacing w:before="0" w:after="0" w:line="240" w:lineRule="auto"/>
        <w:ind w:left="-567"/>
        <w:rPr>
          <w:rFonts w:asciiTheme="minorHAnsi" w:hAnsiTheme="minorHAnsi" w:cstheme="minorHAnsi"/>
          <w:noProof w:val="0"/>
          <w:szCs w:val="20"/>
        </w:rPr>
      </w:pPr>
      <w:r w:rsidRPr="00397A3E">
        <w:rPr>
          <w:rFonts w:asciiTheme="minorHAnsi" w:hAnsiTheme="minorHAnsi" w:cstheme="minorHAnsi"/>
          <w:noProof w:val="0"/>
          <w:szCs w:val="20"/>
        </w:rPr>
        <w:t xml:space="preserve">Key to </w:t>
      </w:r>
      <w:r w:rsidR="00986BE2" w:rsidRPr="00397A3E">
        <w:rPr>
          <w:rFonts w:asciiTheme="minorHAnsi" w:hAnsiTheme="minorHAnsi" w:cstheme="minorHAnsi"/>
          <w:noProof w:val="0"/>
          <w:szCs w:val="20"/>
        </w:rPr>
        <w:fldChar w:fldCharType="begin"/>
      </w:r>
      <w:r w:rsidR="00986BE2" w:rsidRPr="00397A3E">
        <w:rPr>
          <w:rFonts w:asciiTheme="minorHAnsi" w:hAnsiTheme="minorHAnsi" w:cstheme="minorHAnsi"/>
          <w:noProof w:val="0"/>
          <w:szCs w:val="20"/>
        </w:rPr>
        <w:instrText xml:space="preserve"> REF _Ref71820151 \h  \* MERGEFORMAT </w:instrText>
      </w:r>
      <w:r w:rsidR="00986BE2" w:rsidRPr="00397A3E">
        <w:rPr>
          <w:rFonts w:asciiTheme="minorHAnsi" w:hAnsiTheme="minorHAnsi" w:cstheme="minorHAnsi"/>
          <w:noProof w:val="0"/>
          <w:szCs w:val="20"/>
        </w:rPr>
      </w:r>
      <w:r w:rsidR="00986BE2" w:rsidRPr="00397A3E">
        <w:rPr>
          <w:rFonts w:asciiTheme="minorHAnsi" w:hAnsiTheme="minorHAnsi" w:cstheme="minorHAnsi"/>
          <w:noProof w:val="0"/>
          <w:szCs w:val="20"/>
        </w:rPr>
        <w:fldChar w:fldCharType="separate"/>
      </w:r>
      <w:r w:rsidR="001A0E9F" w:rsidRPr="001A0E9F">
        <w:rPr>
          <w:rFonts w:asciiTheme="minorHAnsi" w:hAnsiTheme="minorHAnsi" w:cstheme="minorHAnsi"/>
          <w:noProof w:val="0"/>
          <w:szCs w:val="20"/>
        </w:rPr>
        <w:t>Table 4</w:t>
      </w:r>
      <w:r w:rsidR="001A0E9F" w:rsidRPr="001A0E9F">
        <w:rPr>
          <w:rFonts w:asciiTheme="minorHAnsi" w:hAnsiTheme="minorHAnsi" w:cstheme="minorHAnsi"/>
          <w:noProof w:val="0"/>
          <w:szCs w:val="20"/>
        </w:rPr>
        <w:noBreakHyphen/>
        <w:t>2</w:t>
      </w:r>
      <w:r w:rsidR="00986BE2" w:rsidRPr="00397A3E">
        <w:rPr>
          <w:rFonts w:asciiTheme="minorHAnsi" w:hAnsiTheme="minorHAnsi" w:cstheme="minorHAnsi"/>
          <w:noProof w:val="0"/>
          <w:szCs w:val="20"/>
        </w:rPr>
        <w:fldChar w:fldCharType="end"/>
      </w:r>
    </w:p>
    <w:tbl>
      <w:tblPr>
        <w:tblStyle w:val="TableGrid"/>
        <w:tblW w:w="0" w:type="auto"/>
        <w:tblInd w:w="-567" w:type="dxa"/>
        <w:tblBorders>
          <w:top w:val="single" w:sz="8" w:space="0" w:color="B5DDDC"/>
          <w:left w:val="single" w:sz="8" w:space="0" w:color="B5DDDC"/>
          <w:bottom w:val="single" w:sz="8" w:space="0" w:color="B5DDDC"/>
          <w:right w:val="single" w:sz="8" w:space="0" w:color="B5DDDC"/>
          <w:insideH w:val="single" w:sz="8" w:space="0" w:color="B5DDDC"/>
          <w:insideV w:val="single" w:sz="8" w:space="0" w:color="B5DDDC"/>
        </w:tblBorders>
        <w:tblLook w:val="04A0" w:firstRow="1" w:lastRow="0" w:firstColumn="1" w:lastColumn="0" w:noHBand="0" w:noVBand="1"/>
      </w:tblPr>
      <w:tblGrid>
        <w:gridCol w:w="953"/>
        <w:gridCol w:w="953"/>
        <w:gridCol w:w="954"/>
        <w:gridCol w:w="954"/>
        <w:gridCol w:w="954"/>
        <w:gridCol w:w="955"/>
        <w:gridCol w:w="955"/>
        <w:gridCol w:w="955"/>
      </w:tblGrid>
      <w:tr w:rsidR="00785848" w14:paraId="7FA02716" w14:textId="77777777" w:rsidTr="003A4ACD">
        <w:tc>
          <w:tcPr>
            <w:tcW w:w="953" w:type="dxa"/>
            <w:shd w:val="clear" w:color="auto" w:fill="70AD47"/>
            <w:vAlign w:val="center"/>
          </w:tcPr>
          <w:p w14:paraId="4ED513C5" w14:textId="77777777" w:rsidR="00A40245" w:rsidRPr="00397A3E" w:rsidRDefault="00171C91" w:rsidP="005101BB">
            <w:pPr>
              <w:keepNext/>
              <w:spacing w:before="0" w:after="0" w:line="240" w:lineRule="auto"/>
              <w:jc w:val="center"/>
              <w:rPr>
                <w:rFonts w:ascii="Calibri" w:hAnsi="Calibri" w:cs="Calibri"/>
                <w:noProof w:val="0"/>
                <w:sz w:val="20"/>
                <w:szCs w:val="20"/>
              </w:rPr>
            </w:pPr>
            <w:r w:rsidRPr="00397A3E">
              <w:rPr>
                <w:rFonts w:asciiTheme="minorHAnsi" w:hAnsiTheme="minorHAnsi" w:cstheme="minorHAnsi"/>
                <w:b/>
                <w:bCs/>
                <w:noProof w:val="0"/>
                <w:color w:val="FFFFFF" w:themeColor="background1"/>
                <w:sz w:val="20"/>
                <w:szCs w:val="20"/>
              </w:rPr>
              <w:t>++</w:t>
            </w:r>
          </w:p>
        </w:tc>
        <w:tc>
          <w:tcPr>
            <w:tcW w:w="953" w:type="dxa"/>
          </w:tcPr>
          <w:p w14:paraId="5F64474E" w14:textId="77777777" w:rsidR="00A40245" w:rsidRPr="00397A3E" w:rsidRDefault="00171C91" w:rsidP="005101BB">
            <w:pPr>
              <w:keepNext/>
              <w:spacing w:before="0" w:after="0" w:line="240" w:lineRule="auto"/>
              <w:jc w:val="center"/>
              <w:rPr>
                <w:rFonts w:ascii="Calibri" w:hAnsi="Calibri" w:cs="Calibri"/>
                <w:noProof w:val="0"/>
                <w:sz w:val="16"/>
                <w:szCs w:val="16"/>
              </w:rPr>
            </w:pPr>
            <w:r w:rsidRPr="00397A3E">
              <w:rPr>
                <w:rFonts w:asciiTheme="minorHAnsi" w:hAnsiTheme="minorHAnsi" w:cstheme="minorHAnsi"/>
                <w:b/>
                <w:i/>
                <w:noProof w:val="0"/>
                <w:sz w:val="16"/>
                <w:szCs w:val="16"/>
                <w:lang w:bidi="en-US"/>
              </w:rPr>
              <w:t xml:space="preserve">Definitely Low </w:t>
            </w:r>
            <w:r w:rsidRPr="00397A3E">
              <w:rPr>
                <w:rFonts w:asciiTheme="minorHAnsi" w:hAnsiTheme="minorHAnsi" w:cstheme="minorHAnsi"/>
                <w:i/>
                <w:noProof w:val="0"/>
                <w:sz w:val="16"/>
                <w:szCs w:val="16"/>
                <w:lang w:bidi="en-US"/>
              </w:rPr>
              <w:t>risk of bias</w:t>
            </w:r>
            <w:r w:rsidRPr="00397A3E">
              <w:rPr>
                <w:rFonts w:asciiTheme="minorHAnsi" w:hAnsiTheme="minorHAnsi" w:cstheme="minorHAnsi"/>
                <w:noProof w:val="0"/>
                <w:sz w:val="16"/>
                <w:szCs w:val="16"/>
                <w:lang w:bidi="en-US"/>
              </w:rPr>
              <w:t>:</w:t>
            </w:r>
          </w:p>
        </w:tc>
        <w:tc>
          <w:tcPr>
            <w:tcW w:w="954" w:type="dxa"/>
            <w:shd w:val="clear" w:color="auto" w:fill="E2EFDA"/>
            <w:vAlign w:val="center"/>
          </w:tcPr>
          <w:p w14:paraId="251053E7" w14:textId="77777777" w:rsidR="00A40245" w:rsidRPr="00397A3E" w:rsidRDefault="00171C91" w:rsidP="005101BB">
            <w:pPr>
              <w:keepNext/>
              <w:spacing w:before="0" w:after="0" w:line="240" w:lineRule="auto"/>
              <w:jc w:val="center"/>
              <w:rPr>
                <w:rFonts w:ascii="Calibri" w:hAnsi="Calibri" w:cs="Calibri"/>
                <w:noProof w:val="0"/>
                <w:sz w:val="20"/>
                <w:szCs w:val="20"/>
              </w:rPr>
            </w:pPr>
            <w:r w:rsidRPr="00397A3E">
              <w:rPr>
                <w:rFonts w:asciiTheme="minorHAnsi" w:hAnsiTheme="minorHAnsi" w:cstheme="minorHAnsi"/>
                <w:b/>
                <w:noProof w:val="0"/>
                <w:sz w:val="20"/>
                <w:szCs w:val="20"/>
                <w:lang w:bidi="en-US"/>
              </w:rPr>
              <w:t>+</w:t>
            </w:r>
          </w:p>
        </w:tc>
        <w:tc>
          <w:tcPr>
            <w:tcW w:w="954" w:type="dxa"/>
          </w:tcPr>
          <w:p w14:paraId="7E6F9337" w14:textId="77777777" w:rsidR="00A40245" w:rsidRPr="00397A3E" w:rsidRDefault="00171C91" w:rsidP="005101BB">
            <w:pPr>
              <w:keepNext/>
              <w:spacing w:before="0" w:after="0" w:line="240" w:lineRule="auto"/>
              <w:jc w:val="center"/>
              <w:rPr>
                <w:rFonts w:ascii="Calibri" w:hAnsi="Calibri" w:cs="Calibri"/>
                <w:noProof w:val="0"/>
                <w:sz w:val="16"/>
                <w:szCs w:val="16"/>
              </w:rPr>
            </w:pPr>
            <w:r w:rsidRPr="00397A3E">
              <w:rPr>
                <w:rFonts w:asciiTheme="minorHAnsi" w:hAnsiTheme="minorHAnsi" w:cstheme="minorHAnsi"/>
                <w:b/>
                <w:i/>
                <w:noProof w:val="0"/>
                <w:sz w:val="16"/>
                <w:szCs w:val="16"/>
                <w:lang w:bidi="en-US"/>
              </w:rPr>
              <w:t xml:space="preserve">Probably Low </w:t>
            </w:r>
            <w:r w:rsidRPr="00397A3E">
              <w:rPr>
                <w:rFonts w:asciiTheme="minorHAnsi" w:hAnsiTheme="minorHAnsi" w:cstheme="minorHAnsi"/>
                <w:i/>
                <w:noProof w:val="0"/>
                <w:sz w:val="16"/>
                <w:szCs w:val="16"/>
                <w:lang w:bidi="en-US"/>
              </w:rPr>
              <w:t>risk of bias</w:t>
            </w:r>
          </w:p>
        </w:tc>
        <w:tc>
          <w:tcPr>
            <w:tcW w:w="954" w:type="dxa"/>
            <w:shd w:val="clear" w:color="auto" w:fill="F8CBAD"/>
            <w:vAlign w:val="center"/>
          </w:tcPr>
          <w:p w14:paraId="196F9E11" w14:textId="77777777" w:rsidR="00A40245" w:rsidRPr="00397A3E" w:rsidRDefault="00171C91" w:rsidP="005101BB">
            <w:pPr>
              <w:keepNext/>
              <w:spacing w:before="0" w:after="0" w:line="240" w:lineRule="auto"/>
              <w:jc w:val="center"/>
              <w:rPr>
                <w:rFonts w:ascii="Calibri" w:hAnsi="Calibri" w:cs="Calibri"/>
                <w:noProof w:val="0"/>
                <w:sz w:val="20"/>
                <w:szCs w:val="20"/>
              </w:rPr>
            </w:pPr>
            <w:r w:rsidRPr="00397A3E">
              <w:rPr>
                <w:rFonts w:asciiTheme="minorHAnsi" w:hAnsiTheme="minorHAnsi" w:cstheme="minorHAnsi"/>
                <w:b/>
                <w:noProof w:val="0"/>
                <w:sz w:val="20"/>
                <w:szCs w:val="20"/>
                <w:lang w:bidi="en-US"/>
              </w:rPr>
              <w:t>-</w:t>
            </w:r>
          </w:p>
        </w:tc>
        <w:tc>
          <w:tcPr>
            <w:tcW w:w="955" w:type="dxa"/>
          </w:tcPr>
          <w:p w14:paraId="6A0FBA08" w14:textId="77777777" w:rsidR="00A40245" w:rsidRPr="00397A3E" w:rsidRDefault="00171C91" w:rsidP="005101BB">
            <w:pPr>
              <w:keepNext/>
              <w:spacing w:before="0" w:after="0" w:line="240" w:lineRule="auto"/>
              <w:jc w:val="center"/>
              <w:rPr>
                <w:rFonts w:ascii="Calibri" w:hAnsi="Calibri" w:cs="Calibri"/>
                <w:noProof w:val="0"/>
                <w:sz w:val="16"/>
                <w:szCs w:val="16"/>
              </w:rPr>
            </w:pPr>
            <w:r w:rsidRPr="00397A3E">
              <w:rPr>
                <w:rFonts w:asciiTheme="minorHAnsi" w:hAnsiTheme="minorHAnsi" w:cstheme="minorHAnsi"/>
                <w:b/>
                <w:i/>
                <w:noProof w:val="0"/>
                <w:sz w:val="16"/>
                <w:szCs w:val="16"/>
                <w:lang w:bidi="en-US"/>
              </w:rPr>
              <w:t xml:space="preserve">Probably High </w:t>
            </w:r>
            <w:r w:rsidRPr="00397A3E">
              <w:rPr>
                <w:rFonts w:asciiTheme="minorHAnsi" w:hAnsiTheme="minorHAnsi" w:cstheme="minorHAnsi"/>
                <w:i/>
                <w:noProof w:val="0"/>
                <w:sz w:val="16"/>
                <w:szCs w:val="16"/>
                <w:lang w:bidi="en-US"/>
              </w:rPr>
              <w:t>risk of bias</w:t>
            </w:r>
            <w:r w:rsidRPr="00397A3E">
              <w:rPr>
                <w:rFonts w:asciiTheme="minorHAnsi" w:hAnsiTheme="minorHAnsi" w:cstheme="minorHAnsi"/>
                <w:noProof w:val="0"/>
                <w:sz w:val="16"/>
                <w:szCs w:val="16"/>
                <w:lang w:bidi="en-US"/>
              </w:rPr>
              <w:t>:</w:t>
            </w:r>
          </w:p>
        </w:tc>
        <w:tc>
          <w:tcPr>
            <w:tcW w:w="955" w:type="dxa"/>
            <w:shd w:val="clear" w:color="auto" w:fill="FF0000"/>
            <w:vAlign w:val="center"/>
          </w:tcPr>
          <w:p w14:paraId="7860A629" w14:textId="77777777" w:rsidR="00A40245" w:rsidRPr="00397A3E" w:rsidRDefault="00171C91" w:rsidP="005101BB">
            <w:pPr>
              <w:keepNext/>
              <w:spacing w:before="0" w:after="0" w:line="240" w:lineRule="auto"/>
              <w:jc w:val="center"/>
              <w:rPr>
                <w:rFonts w:ascii="Calibri" w:hAnsi="Calibri" w:cs="Calibri"/>
                <w:b/>
                <w:bCs/>
                <w:noProof w:val="0"/>
                <w:sz w:val="20"/>
                <w:szCs w:val="20"/>
              </w:rPr>
            </w:pPr>
            <w:r w:rsidRPr="00397A3E">
              <w:rPr>
                <w:rFonts w:asciiTheme="minorHAnsi" w:hAnsiTheme="minorHAnsi" w:cstheme="minorHAnsi"/>
                <w:b/>
                <w:bCs/>
                <w:noProof w:val="0"/>
                <w:color w:val="FFFFFF" w:themeColor="background1"/>
                <w:sz w:val="20"/>
                <w:szCs w:val="20"/>
              </w:rPr>
              <w:t>--</w:t>
            </w:r>
          </w:p>
        </w:tc>
        <w:tc>
          <w:tcPr>
            <w:tcW w:w="955" w:type="dxa"/>
          </w:tcPr>
          <w:p w14:paraId="2ED36A42" w14:textId="77777777" w:rsidR="00A40245" w:rsidRPr="00397A3E" w:rsidRDefault="00171C91" w:rsidP="005101BB">
            <w:pPr>
              <w:keepNext/>
              <w:spacing w:before="0" w:after="0" w:line="240" w:lineRule="auto"/>
              <w:jc w:val="center"/>
              <w:rPr>
                <w:rFonts w:ascii="Calibri" w:hAnsi="Calibri" w:cs="Calibri"/>
                <w:noProof w:val="0"/>
                <w:sz w:val="16"/>
                <w:szCs w:val="16"/>
              </w:rPr>
            </w:pPr>
            <w:r w:rsidRPr="00397A3E">
              <w:rPr>
                <w:rFonts w:asciiTheme="minorHAnsi" w:hAnsiTheme="minorHAnsi" w:cstheme="minorHAnsi"/>
                <w:b/>
                <w:i/>
                <w:noProof w:val="0"/>
                <w:sz w:val="16"/>
                <w:szCs w:val="16"/>
                <w:lang w:bidi="en-US"/>
              </w:rPr>
              <w:t xml:space="preserve">Definitely High </w:t>
            </w:r>
            <w:r w:rsidRPr="00397A3E">
              <w:rPr>
                <w:rFonts w:asciiTheme="minorHAnsi" w:hAnsiTheme="minorHAnsi" w:cstheme="minorHAnsi"/>
                <w:i/>
                <w:noProof w:val="0"/>
                <w:sz w:val="16"/>
                <w:szCs w:val="16"/>
                <w:lang w:bidi="en-US"/>
              </w:rPr>
              <w:t>risk of bias</w:t>
            </w:r>
            <w:r w:rsidRPr="00397A3E">
              <w:rPr>
                <w:rFonts w:asciiTheme="minorHAnsi" w:hAnsiTheme="minorHAnsi" w:cstheme="minorHAnsi"/>
                <w:noProof w:val="0"/>
                <w:sz w:val="16"/>
                <w:szCs w:val="16"/>
                <w:lang w:bidi="en-US"/>
              </w:rPr>
              <w:t>:</w:t>
            </w:r>
          </w:p>
        </w:tc>
      </w:tr>
    </w:tbl>
    <w:p w14:paraId="4155F5B4" w14:textId="77777777" w:rsidR="00C51EE3" w:rsidRPr="00397A3E" w:rsidRDefault="00171C91" w:rsidP="005101BB">
      <w:pPr>
        <w:keepNext/>
        <w:spacing w:before="0" w:after="0" w:line="240" w:lineRule="auto"/>
        <w:ind w:left="153"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J6: Arnold et al. (2017) Acute Illness Among Surfers After Exposure to Seawater in Dry- and Wet-Weather Conditions</w:t>
      </w:r>
    </w:p>
    <w:p w14:paraId="19BFDECC" w14:textId="77777777" w:rsidR="00C51EE3" w:rsidRPr="00397A3E" w:rsidRDefault="00171C91" w:rsidP="005101BB">
      <w:pPr>
        <w:keepNext/>
        <w:spacing w:before="0" w:after="0" w:line="240" w:lineRule="auto"/>
        <w:ind w:left="153"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J26: Napier et al. (2017) Exposure to human-associated fecal indicators and self-reported illness among swimmers at recreational beaches: A cohort study</w:t>
      </w:r>
    </w:p>
    <w:p w14:paraId="70D2FADE" w14:textId="77777777" w:rsidR="00C51EE3" w:rsidRPr="00397A3E" w:rsidRDefault="00171C91" w:rsidP="005101BB">
      <w:pPr>
        <w:keepNext/>
        <w:spacing w:before="0" w:after="0" w:line="240" w:lineRule="auto"/>
        <w:ind w:left="153"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J27: Napier et al. (2018) Exposure to Human-Associated Chemical Markers of Fecal Contamination and Self-Reported Illness among Swimmers at Recreational Beaches</w:t>
      </w:r>
    </w:p>
    <w:p w14:paraId="4DFFD5DB" w14:textId="68EF10C8" w:rsidR="00A40245" w:rsidRPr="00397A3E" w:rsidRDefault="00171C91" w:rsidP="003A4ACD">
      <w:pPr>
        <w:spacing w:before="0" w:after="0" w:line="240" w:lineRule="auto"/>
        <w:ind w:left="153"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J29: Polkowska et al. (2018) An outbreak of Norovirus infections associated with recreational lake water in Western Finland, 2014</w:t>
      </w:r>
    </w:p>
    <w:p w14:paraId="72D5EFA8" w14:textId="45B708D6" w:rsidR="005101BB" w:rsidRPr="00397A3E" w:rsidRDefault="00171C91" w:rsidP="00764500">
      <w:pPr>
        <w:pStyle w:val="Heading4"/>
        <w:pageBreakBefore/>
        <w:numPr>
          <w:ilvl w:val="3"/>
          <w:numId w:val="22"/>
        </w:numPr>
        <w:rPr>
          <w:noProof w:val="0"/>
          <w:color w:val="auto"/>
        </w:rPr>
      </w:pPr>
      <w:bookmarkStart w:id="339" w:name="_Toc106964832"/>
      <w:bookmarkStart w:id="340" w:name="_Ref91171014"/>
      <w:r w:rsidRPr="00397A3E">
        <w:rPr>
          <w:noProof w:val="0"/>
          <w:color w:val="auto"/>
        </w:rPr>
        <w:t xml:space="preserve">Systematic </w:t>
      </w:r>
      <w:r w:rsidR="00741195">
        <w:rPr>
          <w:noProof w:val="0"/>
          <w:color w:val="auto"/>
        </w:rPr>
        <w:t>r</w:t>
      </w:r>
      <w:r w:rsidRPr="00397A3E">
        <w:rPr>
          <w:noProof w:val="0"/>
          <w:color w:val="auto"/>
        </w:rPr>
        <w:t>eviews</w:t>
      </w:r>
      <w:bookmarkEnd w:id="339"/>
    </w:p>
    <w:p w14:paraId="67810547" w14:textId="58EA1831" w:rsidR="003325AF" w:rsidRPr="00397A3E" w:rsidRDefault="00171C91" w:rsidP="003325AF">
      <w:pPr>
        <w:rPr>
          <w:noProof w:val="0"/>
        </w:rPr>
      </w:pPr>
      <w:r w:rsidRPr="00397A3E">
        <w:rPr>
          <w:noProof w:val="0"/>
        </w:rPr>
        <w:t xml:space="preserve">Eligibility assessment of the </w:t>
      </w:r>
      <w:r w:rsidR="00226786">
        <w:rPr>
          <w:noProof w:val="0"/>
        </w:rPr>
        <w:t>five</w:t>
      </w:r>
      <w:r w:rsidR="00226786" w:rsidRPr="00397A3E">
        <w:rPr>
          <w:noProof w:val="0"/>
        </w:rPr>
        <w:t xml:space="preserve"> </w:t>
      </w:r>
      <w:r w:rsidR="00741195">
        <w:rPr>
          <w:noProof w:val="0"/>
        </w:rPr>
        <w:t>s</w:t>
      </w:r>
      <w:r w:rsidRPr="00397A3E">
        <w:rPr>
          <w:noProof w:val="0"/>
        </w:rPr>
        <w:t xml:space="preserve">ystematic </w:t>
      </w:r>
      <w:r w:rsidR="00741195">
        <w:rPr>
          <w:noProof w:val="0"/>
        </w:rPr>
        <w:t>r</w:t>
      </w:r>
      <w:r w:rsidRPr="00397A3E">
        <w:rPr>
          <w:noProof w:val="0"/>
        </w:rPr>
        <w:t xml:space="preserve">eviews resulted in </w:t>
      </w:r>
      <w:r w:rsidR="00226786">
        <w:rPr>
          <w:noProof w:val="0"/>
        </w:rPr>
        <w:t xml:space="preserve">one </w:t>
      </w:r>
      <w:r w:rsidRPr="00397A3E">
        <w:rPr>
          <w:noProof w:val="0"/>
        </w:rPr>
        <w:t xml:space="preserve">study </w:t>
      </w:r>
      <w:r w:rsidRPr="00397A3E">
        <w:rPr>
          <w:noProof w:val="0"/>
        </w:rPr>
        <w:fldChar w:fldCharType="begin"/>
      </w:r>
      <w:r w:rsidRPr="00397A3E">
        <w:rPr>
          <w:noProof w:val="0"/>
        </w:rPr>
        <w:instrText xml:space="preserve"> ADDIN ZOTERO_ITEM CSL_CITATION {"citationID":"z9xQtbr0","properties":{"formattedCitation":"(Boehm, Graham, et al., 2018)","plainCitation":"(Boehm, Graham, et al., 2018)","noteIndex":0},"citationItems":[{"id":16509,"uris":["http://zotero.org/users/148142/items/YHWZRSBA"],"uri":["http://zotero.org/users/148142/items/YHWZRSBA"],"itemData":{"id":16509,"type":"article-journal","abstract":"This study investigated the risk of gastrointestinal illness associated with swimmingin surface waters with aged sewage contamination. First, a systematic review compiled 333firstorder decay rate constants (k) for human norovirus and its surrogates feline calicivirus and murinenorovirus,Salmonella,Campylobacter,Escherichia coliO157:H7,Giardia, andCryptosporidium, andhuman-associated indicators in surface water. A meta-analysis investigated effects of sunlight,temperature, and water matrix onk. There was a relatively large number ofkfor bacterialpathogens and some human-associated indicators (n&gt; 40), fewer for protozoan and (n=14−22),and few for human norovirus and itsCaliciviridaesurrogates (n=2−4). Averagekranked:Campylobacter&gt; human-associated markers &gt;Salmonella&gt;E. coliO157:H7 &gt; norovirus and itssurrogates &gt;Giardia&gt;Cryptosporidium. Compiledkvalues were used in a quantitative microbialrisk assessment (QMRA) to simulate gastrointestinal illness risk associated with swimming in waterwith aged sewage contamination. The QMRA used human-associated fecal indicator HF183 as anindex for the amount of sewage present and thereby provided insight into how risk relates toHF183 concentrations in surface water. Because exposure to norovirus contributed the majority of risk, and HF183kis greaterthan norovirusk, the risk associated with exposure to afixed HF183 concentration increases with the age of contamination.Swimmer exposure to sewage after it has aged</w:instrText>
      </w:r>
      <w:r w:rsidRPr="00397A3E">
        <w:rPr>
          <w:rFonts w:ascii="Cambria Math" w:hAnsi="Cambria Math" w:cs="Cambria Math"/>
          <w:noProof w:val="0"/>
        </w:rPr>
        <w:instrText>∼</w:instrText>
      </w:r>
      <w:r w:rsidRPr="00397A3E">
        <w:rPr>
          <w:noProof w:val="0"/>
        </w:rPr>
        <w:instrText xml:space="preserve">3 days results in median risks less than 30/1000. A risk-based water qualitythreshold for HF183 in surface waters that takes into account uncertainty in contamination age is derived to be 4100 copies/100 mL.","archive":"Scopus","container-title":"Environmental Science and Technology","DOI":"10.1021/acs.est.8b01948","issue":"17","page":"9634-9645","title":"Can We Swim Yet? Systematic Review, Meta-Analysis, and Risk Assessment of Aging Sewage in Surface Waters","URL":"https://www.scopus.com/inward/record.uri?eid=2-s2.0-85052402164&amp;doi=10.1021%2facs.est.8b01948&amp;partnerID=40&amp;md5=8d3f2f8b54fd926e1bc1283f4ab94d25","volume":"52","author":[{"family":"Boehm","given":"A. B."},{"family":"Graham","given":"K. E."},{"family":"Jennings","given":"W. C."}],"issued":{"date-parts":[["2018"]]}}}],"schema":"https://github.com/citation-style-language/schema/raw/master/csl-citation.json"} </w:instrText>
      </w:r>
      <w:r w:rsidRPr="00397A3E">
        <w:rPr>
          <w:noProof w:val="0"/>
        </w:rPr>
        <w:fldChar w:fldCharType="separate"/>
      </w:r>
      <w:r w:rsidRPr="00397A3E">
        <w:rPr>
          <w:rFonts w:cs="Arial"/>
          <w:noProof w:val="0"/>
        </w:rPr>
        <w:t>(Boehm, Graham, et al., 2018)</w:t>
      </w:r>
      <w:r w:rsidRPr="00397A3E">
        <w:rPr>
          <w:noProof w:val="0"/>
        </w:rPr>
        <w:fldChar w:fldCharType="end"/>
      </w:r>
      <w:r w:rsidRPr="00397A3E">
        <w:rPr>
          <w:noProof w:val="0"/>
        </w:rPr>
        <w:t xml:space="preserve"> being retained for final review (</w:t>
      </w:r>
      <w:r w:rsidRPr="00397A3E">
        <w:rPr>
          <w:noProof w:val="0"/>
        </w:rPr>
        <w:fldChar w:fldCharType="begin"/>
      </w:r>
      <w:r w:rsidRPr="00397A3E">
        <w:rPr>
          <w:noProof w:val="0"/>
        </w:rPr>
        <w:instrText xml:space="preserve"> REF _Ref91242004 \h </w:instrText>
      </w:r>
      <w:r w:rsidRPr="00397A3E">
        <w:rPr>
          <w:noProof w:val="0"/>
        </w:rPr>
      </w:r>
      <w:r w:rsidRPr="00397A3E">
        <w:rPr>
          <w:noProof w:val="0"/>
        </w:rPr>
        <w:fldChar w:fldCharType="separate"/>
      </w:r>
      <w:r w:rsidR="001A0E9F" w:rsidRPr="00397A3E">
        <w:rPr>
          <w:noProof w:val="0"/>
        </w:rPr>
        <w:t xml:space="preserve">Table </w:t>
      </w:r>
      <w:r w:rsidR="001A0E9F">
        <w:t>4</w:t>
      </w:r>
      <w:r w:rsidR="001A0E9F">
        <w:rPr>
          <w:noProof w:val="0"/>
        </w:rPr>
        <w:noBreakHyphen/>
      </w:r>
      <w:r w:rsidR="001A0E9F">
        <w:t>3</w:t>
      </w:r>
      <w:r w:rsidRPr="00397A3E">
        <w:rPr>
          <w:noProof w:val="0"/>
        </w:rPr>
        <w:fldChar w:fldCharType="end"/>
      </w:r>
      <w:r w:rsidRPr="00397A3E">
        <w:rPr>
          <w:noProof w:val="0"/>
        </w:rPr>
        <w:t xml:space="preserve">) and the remaining </w:t>
      </w:r>
      <w:r w:rsidR="00226786">
        <w:rPr>
          <w:noProof w:val="0"/>
        </w:rPr>
        <w:t>four</w:t>
      </w:r>
      <w:r w:rsidR="00226786" w:rsidRPr="00397A3E">
        <w:rPr>
          <w:noProof w:val="0"/>
        </w:rPr>
        <w:t xml:space="preserve"> </w:t>
      </w:r>
      <w:r w:rsidRPr="00397A3E">
        <w:rPr>
          <w:noProof w:val="0"/>
        </w:rPr>
        <w:t>studies being excluded from further consideration.</w:t>
      </w:r>
    </w:p>
    <w:p w14:paraId="7384ED49" w14:textId="419E98A9" w:rsidR="00212BE6" w:rsidRPr="00397A3E" w:rsidRDefault="00171C91" w:rsidP="005101BB">
      <w:pPr>
        <w:pStyle w:val="Caption"/>
        <w:rPr>
          <w:noProof w:val="0"/>
          <w:color w:val="365F91" w:themeColor="accent1" w:themeShade="BF"/>
        </w:rPr>
      </w:pPr>
      <w:bookmarkStart w:id="341" w:name="_Toc106964865"/>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4</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4</w:t>
      </w:r>
      <w:r w:rsidR="00F178D7">
        <w:rPr>
          <w:noProof w:val="0"/>
        </w:rPr>
        <w:fldChar w:fldCharType="end"/>
      </w:r>
      <w:bookmarkEnd w:id="340"/>
      <w:r w:rsidRPr="00397A3E">
        <w:rPr>
          <w:noProof w:val="0"/>
        </w:rPr>
        <w:t xml:space="preserve">. Primary </w:t>
      </w:r>
      <w:r w:rsidR="00D95421">
        <w:rPr>
          <w:noProof w:val="0"/>
        </w:rPr>
        <w:t>s</w:t>
      </w:r>
      <w:r w:rsidRPr="00397A3E">
        <w:rPr>
          <w:noProof w:val="0"/>
        </w:rPr>
        <w:t xml:space="preserve">tudies [Systematic </w:t>
      </w:r>
      <w:r w:rsidR="00741195">
        <w:rPr>
          <w:noProof w:val="0"/>
        </w:rPr>
        <w:t>r</w:t>
      </w:r>
      <w:r w:rsidRPr="00397A3E">
        <w:rPr>
          <w:noProof w:val="0"/>
        </w:rPr>
        <w:t>eviews] overall risk of bias (body of evidence) (protocol adapted from</w:t>
      </w:r>
      <w:r w:rsidR="004473C5">
        <w:rPr>
          <w:noProof w:val="0"/>
        </w:rPr>
        <w:t xml:space="preserve"> the CASP appraisal tool [Oxford CVTH, 2020] and the</w:t>
      </w:r>
      <w:r w:rsidRPr="00397A3E">
        <w:rPr>
          <w:noProof w:val="0"/>
        </w:rPr>
        <w:t xml:space="preserve"> OHAT </w:t>
      </w:r>
      <w:r w:rsidR="004473C5">
        <w:rPr>
          <w:noProof w:val="0"/>
        </w:rPr>
        <w:t>Risk-of-Bias ratings system [OHAT, 2015]</w:t>
      </w:r>
      <w:r w:rsidRPr="00397A3E">
        <w:rPr>
          <w:noProof w:val="0"/>
        </w:rPr>
        <w:fldChar w:fldCharType="begin"/>
      </w:r>
      <w:r w:rsidR="005D7C59" w:rsidRPr="00397A3E">
        <w:rPr>
          <w:noProof w:val="0"/>
        </w:rPr>
        <w:instrText xml:space="preserve"> ADDIN ZOTERO_ITEM CSL_CITATION {"citationID":"nW7mhxTe","properties":{"custom":"OHAT, 2019)","formattedCitation":"OHAT, 2019)","plainCitation":"OHAT, 2019)","noteIndex":0},"citationItems":[{"id":11791,"uris":["http://zotero.org/users/148142/items/QNVMZ3M2"],"uri":["http://zotero.org/users/148142/items/QNVMZ3M2"],"itemData":{"id":11791,"type":"report","page":"101","publisher":"Office of Health Assessment and Translation (OHAT), US Department of Health and Human Services","title":"Handbook for Conducting a Literature-Based Health Assessment Using OHAT Approach for Systematic Review and Evidence Integration","URL":"https://ntp.niehs.nih.gov/go/ohathandbook","author":[{"literal":"OHAT"}],"issued":{"date-parts":[["2019",3,4]]}}}],"schema":"https://github.com/citation-style-language/schema/raw/master/csl-citation.json"} </w:instrText>
      </w:r>
      <w:r w:rsidRPr="00397A3E">
        <w:rPr>
          <w:noProof w:val="0"/>
        </w:rPr>
        <w:fldChar w:fldCharType="separate"/>
      </w:r>
      <w:r w:rsidR="00A643B8" w:rsidRPr="00A643B8">
        <w:rPr>
          <w:rFonts w:cs="Arial"/>
        </w:rPr>
        <w:t>OHAT, 2019)</w:t>
      </w:r>
      <w:r w:rsidRPr="00397A3E">
        <w:rPr>
          <w:noProof w:val="0"/>
        </w:rPr>
        <w:fldChar w:fldCharType="end"/>
      </w:r>
      <w:r w:rsidRPr="00397A3E">
        <w:rPr>
          <w:noProof w:val="0"/>
        </w:rPr>
        <w:t>.</w:t>
      </w:r>
      <w:bookmarkEnd w:id="341"/>
      <w:r w:rsidR="00DD7F31" w:rsidRPr="00397A3E">
        <w:rPr>
          <w:b/>
          <w:bCs/>
          <w:noProof w:val="0"/>
        </w:rPr>
        <w:t xml:space="preserve"> </w:t>
      </w:r>
    </w:p>
    <w:tbl>
      <w:tblPr>
        <w:tblW w:w="8180" w:type="dxa"/>
        <w:tblLook w:val="04A0" w:firstRow="1" w:lastRow="0" w:firstColumn="1" w:lastColumn="0" w:noHBand="0" w:noVBand="1"/>
      </w:tblPr>
      <w:tblGrid>
        <w:gridCol w:w="620"/>
        <w:gridCol w:w="4260"/>
        <w:gridCol w:w="660"/>
        <w:gridCol w:w="660"/>
        <w:gridCol w:w="660"/>
        <w:gridCol w:w="660"/>
        <w:gridCol w:w="660"/>
      </w:tblGrid>
      <w:tr w:rsidR="00785848" w14:paraId="1B983C40" w14:textId="77777777" w:rsidTr="0075369B">
        <w:tc>
          <w:tcPr>
            <w:tcW w:w="620" w:type="dxa"/>
            <w:tcBorders>
              <w:top w:val="single" w:sz="8" w:space="0" w:color="B5DDDC"/>
              <w:left w:val="single" w:sz="8" w:space="0" w:color="B5DDDC"/>
              <w:bottom w:val="single" w:sz="8" w:space="0" w:color="B5DDDC"/>
              <w:right w:val="single" w:sz="8" w:space="0" w:color="B5DDDC"/>
            </w:tcBorders>
            <w:shd w:val="clear" w:color="000000" w:fill="B5DDDC"/>
            <w:vAlign w:val="center"/>
          </w:tcPr>
          <w:p w14:paraId="24890BE7" w14:textId="77777777" w:rsidR="00212BE6" w:rsidRPr="00397A3E" w:rsidRDefault="00212BE6" w:rsidP="007C7DC8">
            <w:pPr>
              <w:spacing w:before="0" w:after="0" w:line="240" w:lineRule="auto"/>
              <w:jc w:val="center"/>
              <w:rPr>
                <w:rFonts w:asciiTheme="minorHAnsi" w:hAnsiTheme="minorHAnsi" w:cstheme="minorHAnsi"/>
                <w:b/>
                <w:bCs/>
                <w:noProof w:val="0"/>
                <w:color w:val="008000"/>
                <w:sz w:val="16"/>
                <w:szCs w:val="16"/>
              </w:rPr>
            </w:pPr>
          </w:p>
        </w:tc>
        <w:tc>
          <w:tcPr>
            <w:tcW w:w="4260" w:type="dxa"/>
            <w:tcBorders>
              <w:top w:val="single" w:sz="8" w:space="0" w:color="B5DDDC"/>
              <w:left w:val="nil"/>
              <w:bottom w:val="single" w:sz="8" w:space="0" w:color="B5DDDC"/>
              <w:right w:val="single" w:sz="8" w:space="0" w:color="B5DDDC"/>
            </w:tcBorders>
            <w:shd w:val="clear" w:color="000000" w:fill="B5DDDC"/>
            <w:vAlign w:val="center"/>
          </w:tcPr>
          <w:p w14:paraId="389A745C" w14:textId="77777777" w:rsidR="00212BE6" w:rsidRPr="00397A3E" w:rsidRDefault="00212BE6" w:rsidP="007C7DC8">
            <w:pPr>
              <w:spacing w:before="0" w:after="0" w:line="240" w:lineRule="auto"/>
              <w:rPr>
                <w:rFonts w:asciiTheme="minorHAnsi" w:hAnsiTheme="minorHAnsi" w:cstheme="minorHAnsi"/>
                <w:b/>
                <w:bCs/>
                <w:noProof w:val="0"/>
                <w:color w:val="008000"/>
                <w:sz w:val="16"/>
                <w:szCs w:val="16"/>
              </w:rPr>
            </w:pPr>
          </w:p>
        </w:tc>
        <w:tc>
          <w:tcPr>
            <w:tcW w:w="3300" w:type="dxa"/>
            <w:gridSpan w:val="5"/>
            <w:tcBorders>
              <w:top w:val="single" w:sz="8" w:space="0" w:color="B5DDDC"/>
              <w:left w:val="nil"/>
              <w:bottom w:val="single" w:sz="8" w:space="0" w:color="B5DDDC"/>
              <w:right w:val="single" w:sz="8" w:space="0" w:color="B5DDDC"/>
            </w:tcBorders>
            <w:shd w:val="clear" w:color="000000" w:fill="B5DDDC"/>
            <w:vAlign w:val="center"/>
          </w:tcPr>
          <w:p w14:paraId="20A6019A" w14:textId="2949AC42" w:rsidR="00212BE6" w:rsidRPr="00397A3E" w:rsidRDefault="00171C91" w:rsidP="007C7DC8">
            <w:pPr>
              <w:spacing w:before="0" w:after="0" w:line="240" w:lineRule="auto"/>
              <w:jc w:val="center"/>
              <w:rPr>
                <w:rFonts w:asciiTheme="minorHAnsi" w:hAnsiTheme="minorHAnsi" w:cstheme="minorHAnsi"/>
                <w:b/>
                <w:bCs/>
                <w:noProof w:val="0"/>
                <w:color w:val="008000"/>
                <w:sz w:val="16"/>
                <w:szCs w:val="16"/>
              </w:rPr>
            </w:pPr>
            <w:r w:rsidRPr="00397A3E">
              <w:rPr>
                <w:rFonts w:asciiTheme="minorHAnsi" w:hAnsiTheme="minorHAnsi" w:cstheme="minorHAnsi"/>
                <w:b/>
                <w:bCs/>
                <w:noProof w:val="0"/>
                <w:color w:val="008000"/>
                <w:sz w:val="16"/>
                <w:szCs w:val="16"/>
              </w:rPr>
              <w:t>Study ID</w:t>
            </w:r>
          </w:p>
        </w:tc>
      </w:tr>
      <w:tr w:rsidR="00785848" w14:paraId="766C08C4" w14:textId="77777777" w:rsidTr="007C7DC8">
        <w:tc>
          <w:tcPr>
            <w:tcW w:w="620"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3D53984E" w14:textId="77777777" w:rsidR="007C7DC8" w:rsidRPr="00397A3E" w:rsidRDefault="00171C91" w:rsidP="007C7DC8">
            <w:pPr>
              <w:spacing w:before="0" w:after="0" w:line="240" w:lineRule="auto"/>
              <w:jc w:val="center"/>
              <w:rPr>
                <w:rFonts w:asciiTheme="minorHAnsi" w:hAnsiTheme="minorHAnsi" w:cstheme="minorHAnsi"/>
                <w:b/>
                <w:bCs/>
                <w:noProof w:val="0"/>
                <w:color w:val="008000"/>
                <w:sz w:val="16"/>
                <w:szCs w:val="16"/>
              </w:rPr>
            </w:pPr>
            <w:r w:rsidRPr="00397A3E">
              <w:rPr>
                <w:rFonts w:asciiTheme="minorHAnsi" w:hAnsiTheme="minorHAnsi" w:cstheme="minorHAnsi"/>
                <w:b/>
                <w:bCs/>
                <w:noProof w:val="0"/>
                <w:color w:val="008000"/>
                <w:sz w:val="16"/>
                <w:szCs w:val="16"/>
              </w:rPr>
              <w:t xml:space="preserve">Q. </w:t>
            </w:r>
          </w:p>
        </w:tc>
        <w:tc>
          <w:tcPr>
            <w:tcW w:w="4260" w:type="dxa"/>
            <w:tcBorders>
              <w:top w:val="single" w:sz="8" w:space="0" w:color="B5DDDC"/>
              <w:left w:val="nil"/>
              <w:bottom w:val="single" w:sz="8" w:space="0" w:color="B5DDDC"/>
              <w:right w:val="single" w:sz="8" w:space="0" w:color="B5DDDC"/>
            </w:tcBorders>
            <w:shd w:val="clear" w:color="000000" w:fill="B5DDDC"/>
            <w:vAlign w:val="center"/>
            <w:hideMark/>
          </w:tcPr>
          <w:p w14:paraId="4B06CEEA" w14:textId="77777777" w:rsidR="007C7DC8" w:rsidRPr="00397A3E" w:rsidRDefault="00171C91" w:rsidP="007C7DC8">
            <w:pPr>
              <w:spacing w:before="0" w:after="0" w:line="240" w:lineRule="auto"/>
              <w:rPr>
                <w:rFonts w:asciiTheme="minorHAnsi" w:hAnsiTheme="minorHAnsi" w:cstheme="minorHAnsi"/>
                <w:b/>
                <w:bCs/>
                <w:noProof w:val="0"/>
                <w:color w:val="008000"/>
                <w:sz w:val="16"/>
                <w:szCs w:val="16"/>
              </w:rPr>
            </w:pPr>
            <w:r w:rsidRPr="00397A3E">
              <w:rPr>
                <w:rFonts w:asciiTheme="minorHAnsi" w:hAnsiTheme="minorHAnsi" w:cstheme="minorHAnsi"/>
                <w:b/>
                <w:bCs/>
                <w:noProof w:val="0"/>
                <w:color w:val="008000"/>
                <w:sz w:val="16"/>
                <w:szCs w:val="16"/>
              </w:rPr>
              <w:t>Paper for appraisal and reference:</w:t>
            </w:r>
          </w:p>
        </w:tc>
        <w:tc>
          <w:tcPr>
            <w:tcW w:w="660" w:type="dxa"/>
            <w:tcBorders>
              <w:top w:val="single" w:sz="8" w:space="0" w:color="B5DDDC"/>
              <w:left w:val="nil"/>
              <w:bottom w:val="single" w:sz="8" w:space="0" w:color="B5DDDC"/>
              <w:right w:val="single" w:sz="8" w:space="0" w:color="B5DDDC"/>
            </w:tcBorders>
            <w:shd w:val="clear" w:color="000000" w:fill="B5DDDC"/>
            <w:vAlign w:val="center"/>
            <w:hideMark/>
          </w:tcPr>
          <w:p w14:paraId="5F3CB408" w14:textId="77777777" w:rsidR="007C7DC8" w:rsidRPr="00397A3E" w:rsidRDefault="00171C91" w:rsidP="007C7DC8">
            <w:pPr>
              <w:spacing w:before="0" w:after="0" w:line="240" w:lineRule="auto"/>
              <w:jc w:val="center"/>
              <w:rPr>
                <w:rFonts w:asciiTheme="minorHAnsi" w:hAnsiTheme="minorHAnsi" w:cstheme="minorHAnsi"/>
                <w:b/>
                <w:bCs/>
                <w:noProof w:val="0"/>
                <w:color w:val="008000"/>
                <w:sz w:val="16"/>
                <w:szCs w:val="16"/>
              </w:rPr>
            </w:pPr>
            <w:r w:rsidRPr="00397A3E">
              <w:rPr>
                <w:rFonts w:asciiTheme="minorHAnsi" w:hAnsiTheme="minorHAnsi" w:cstheme="minorHAnsi"/>
                <w:b/>
                <w:bCs/>
                <w:noProof w:val="0"/>
                <w:color w:val="008000"/>
                <w:sz w:val="16"/>
                <w:szCs w:val="16"/>
              </w:rPr>
              <w:t>J8</w:t>
            </w:r>
          </w:p>
        </w:tc>
        <w:tc>
          <w:tcPr>
            <w:tcW w:w="660" w:type="dxa"/>
            <w:tcBorders>
              <w:top w:val="single" w:sz="8" w:space="0" w:color="B5DDDC"/>
              <w:left w:val="nil"/>
              <w:bottom w:val="single" w:sz="8" w:space="0" w:color="B5DDDC"/>
              <w:right w:val="single" w:sz="8" w:space="0" w:color="B5DDDC"/>
            </w:tcBorders>
            <w:shd w:val="clear" w:color="000000" w:fill="B5DDDC"/>
            <w:vAlign w:val="center"/>
            <w:hideMark/>
          </w:tcPr>
          <w:p w14:paraId="36D38C9F" w14:textId="77777777" w:rsidR="007C7DC8" w:rsidRPr="00397A3E" w:rsidRDefault="00171C91" w:rsidP="007C7DC8">
            <w:pPr>
              <w:spacing w:before="0" w:after="0" w:line="240" w:lineRule="auto"/>
              <w:jc w:val="center"/>
              <w:rPr>
                <w:rFonts w:asciiTheme="minorHAnsi" w:hAnsiTheme="minorHAnsi" w:cstheme="minorHAnsi"/>
                <w:b/>
                <w:bCs/>
                <w:noProof w:val="0"/>
                <w:color w:val="008000"/>
                <w:sz w:val="16"/>
                <w:szCs w:val="16"/>
              </w:rPr>
            </w:pPr>
            <w:r w:rsidRPr="00397A3E">
              <w:rPr>
                <w:rFonts w:asciiTheme="minorHAnsi" w:hAnsiTheme="minorHAnsi" w:cstheme="minorHAnsi"/>
                <w:b/>
                <w:bCs/>
                <w:noProof w:val="0"/>
                <w:color w:val="008000"/>
                <w:sz w:val="16"/>
                <w:szCs w:val="16"/>
              </w:rPr>
              <w:t>J14</w:t>
            </w:r>
          </w:p>
        </w:tc>
        <w:tc>
          <w:tcPr>
            <w:tcW w:w="660" w:type="dxa"/>
            <w:tcBorders>
              <w:top w:val="single" w:sz="8" w:space="0" w:color="B5DDDC"/>
              <w:left w:val="nil"/>
              <w:bottom w:val="single" w:sz="8" w:space="0" w:color="B5DDDC"/>
              <w:right w:val="single" w:sz="8" w:space="0" w:color="B5DDDC"/>
            </w:tcBorders>
            <w:shd w:val="clear" w:color="000000" w:fill="B5DDDC"/>
            <w:vAlign w:val="center"/>
            <w:hideMark/>
          </w:tcPr>
          <w:p w14:paraId="6CC670F2" w14:textId="77777777" w:rsidR="007C7DC8" w:rsidRPr="00397A3E" w:rsidRDefault="00171C91" w:rsidP="007C7DC8">
            <w:pPr>
              <w:spacing w:before="0" w:after="0" w:line="240" w:lineRule="auto"/>
              <w:jc w:val="center"/>
              <w:rPr>
                <w:rFonts w:asciiTheme="minorHAnsi" w:hAnsiTheme="minorHAnsi" w:cstheme="minorHAnsi"/>
                <w:b/>
                <w:bCs/>
                <w:noProof w:val="0"/>
                <w:color w:val="008000"/>
                <w:sz w:val="16"/>
                <w:szCs w:val="16"/>
              </w:rPr>
            </w:pPr>
            <w:r w:rsidRPr="00397A3E">
              <w:rPr>
                <w:rFonts w:asciiTheme="minorHAnsi" w:hAnsiTheme="minorHAnsi" w:cstheme="minorHAnsi"/>
                <w:b/>
                <w:bCs/>
                <w:noProof w:val="0"/>
                <w:color w:val="008000"/>
                <w:sz w:val="16"/>
                <w:szCs w:val="16"/>
              </w:rPr>
              <w:t>J22</w:t>
            </w:r>
          </w:p>
        </w:tc>
        <w:tc>
          <w:tcPr>
            <w:tcW w:w="660" w:type="dxa"/>
            <w:tcBorders>
              <w:top w:val="single" w:sz="8" w:space="0" w:color="B5DDDC"/>
              <w:left w:val="nil"/>
              <w:bottom w:val="single" w:sz="8" w:space="0" w:color="B5DDDC"/>
              <w:right w:val="single" w:sz="8" w:space="0" w:color="B5DDDC"/>
            </w:tcBorders>
            <w:shd w:val="clear" w:color="000000" w:fill="B5DDDC"/>
            <w:vAlign w:val="center"/>
            <w:hideMark/>
          </w:tcPr>
          <w:p w14:paraId="13E7F52B" w14:textId="77777777" w:rsidR="007C7DC8" w:rsidRPr="00397A3E" w:rsidRDefault="00171C91" w:rsidP="007C7DC8">
            <w:pPr>
              <w:spacing w:before="0" w:after="0" w:line="240" w:lineRule="auto"/>
              <w:jc w:val="center"/>
              <w:rPr>
                <w:rFonts w:asciiTheme="minorHAnsi" w:hAnsiTheme="minorHAnsi" w:cstheme="minorHAnsi"/>
                <w:b/>
                <w:bCs/>
                <w:noProof w:val="0"/>
                <w:color w:val="008000"/>
                <w:sz w:val="16"/>
                <w:szCs w:val="16"/>
              </w:rPr>
            </w:pPr>
            <w:r w:rsidRPr="00397A3E">
              <w:rPr>
                <w:rFonts w:asciiTheme="minorHAnsi" w:hAnsiTheme="minorHAnsi" w:cstheme="minorHAnsi"/>
                <w:b/>
                <w:bCs/>
                <w:noProof w:val="0"/>
                <w:color w:val="008000"/>
                <w:sz w:val="16"/>
                <w:szCs w:val="16"/>
              </w:rPr>
              <w:t>J31</w:t>
            </w:r>
          </w:p>
        </w:tc>
        <w:tc>
          <w:tcPr>
            <w:tcW w:w="660" w:type="dxa"/>
            <w:tcBorders>
              <w:top w:val="single" w:sz="8" w:space="0" w:color="B5DDDC"/>
              <w:left w:val="nil"/>
              <w:bottom w:val="single" w:sz="8" w:space="0" w:color="B5DDDC"/>
              <w:right w:val="single" w:sz="8" w:space="0" w:color="B5DDDC"/>
            </w:tcBorders>
            <w:shd w:val="clear" w:color="000000" w:fill="B5DDDC"/>
            <w:vAlign w:val="center"/>
            <w:hideMark/>
          </w:tcPr>
          <w:p w14:paraId="44B532D6" w14:textId="77777777" w:rsidR="007C7DC8" w:rsidRPr="00397A3E" w:rsidRDefault="00171C91" w:rsidP="007C7DC8">
            <w:pPr>
              <w:spacing w:before="0" w:after="0" w:line="240" w:lineRule="auto"/>
              <w:jc w:val="center"/>
              <w:rPr>
                <w:rFonts w:asciiTheme="minorHAnsi" w:hAnsiTheme="minorHAnsi" w:cstheme="minorHAnsi"/>
                <w:b/>
                <w:bCs/>
                <w:noProof w:val="0"/>
                <w:color w:val="008000"/>
                <w:sz w:val="16"/>
                <w:szCs w:val="16"/>
              </w:rPr>
            </w:pPr>
            <w:r w:rsidRPr="00397A3E">
              <w:rPr>
                <w:rFonts w:asciiTheme="minorHAnsi" w:hAnsiTheme="minorHAnsi" w:cstheme="minorHAnsi"/>
                <w:b/>
                <w:bCs/>
                <w:noProof w:val="0"/>
                <w:color w:val="008000"/>
                <w:sz w:val="16"/>
                <w:szCs w:val="16"/>
              </w:rPr>
              <w:t>J34</w:t>
            </w:r>
          </w:p>
        </w:tc>
      </w:tr>
      <w:tr w:rsidR="00785848" w14:paraId="684FFE98" w14:textId="77777777" w:rsidTr="007C7DC8">
        <w:tc>
          <w:tcPr>
            <w:tcW w:w="620" w:type="dxa"/>
            <w:tcBorders>
              <w:top w:val="nil"/>
              <w:left w:val="single" w:sz="8" w:space="0" w:color="B5DDDC"/>
              <w:bottom w:val="single" w:sz="8" w:space="0" w:color="B5DDDC"/>
              <w:right w:val="single" w:sz="8" w:space="0" w:color="B5DDDC"/>
            </w:tcBorders>
            <w:shd w:val="clear" w:color="000000" w:fill="D6EAEB"/>
            <w:vAlign w:val="center"/>
            <w:hideMark/>
          </w:tcPr>
          <w:p w14:paraId="29993CEB" w14:textId="77777777" w:rsidR="007C7DC8" w:rsidRPr="00397A3E" w:rsidRDefault="00171C91" w:rsidP="007C7DC8">
            <w:pPr>
              <w:spacing w:before="0" w:after="0" w:line="240" w:lineRule="auto"/>
              <w:jc w:val="center"/>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 </w:t>
            </w:r>
          </w:p>
        </w:tc>
        <w:tc>
          <w:tcPr>
            <w:tcW w:w="7560" w:type="dxa"/>
            <w:gridSpan w:val="6"/>
            <w:tcBorders>
              <w:top w:val="nil"/>
              <w:left w:val="nil"/>
              <w:bottom w:val="single" w:sz="8" w:space="0" w:color="B5DDDC"/>
              <w:right w:val="single" w:sz="8" w:space="0" w:color="B5DDDC"/>
            </w:tcBorders>
            <w:shd w:val="clear" w:color="000000" w:fill="D6EAEB"/>
            <w:vAlign w:val="center"/>
            <w:hideMark/>
          </w:tcPr>
          <w:p w14:paraId="76C3932D" w14:textId="371E8189" w:rsidR="007C7DC8" w:rsidRPr="00397A3E" w:rsidRDefault="00171C91" w:rsidP="007C7DC8">
            <w:pPr>
              <w:spacing w:before="0" w:after="0" w:line="240" w:lineRule="auto"/>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Section A1: Are the results valid?</w:t>
            </w:r>
          </w:p>
          <w:p w14:paraId="3E7D4F17" w14:textId="47F20CD3" w:rsidR="007C7DC8" w:rsidRPr="00397A3E" w:rsidRDefault="007C7DC8" w:rsidP="007C7DC8">
            <w:pPr>
              <w:spacing w:before="0" w:after="0" w:line="240" w:lineRule="auto"/>
              <w:rPr>
                <w:rFonts w:asciiTheme="minorHAnsi" w:hAnsiTheme="minorHAnsi" w:cstheme="minorHAnsi"/>
                <w:b/>
                <w:bCs/>
                <w:noProof w:val="0"/>
                <w:color w:val="000000"/>
                <w:sz w:val="16"/>
                <w:szCs w:val="16"/>
              </w:rPr>
            </w:pPr>
          </w:p>
        </w:tc>
      </w:tr>
      <w:tr w:rsidR="00785848" w14:paraId="7CB9FEBA" w14:textId="77777777" w:rsidTr="007C7DC8">
        <w:tc>
          <w:tcPr>
            <w:tcW w:w="620" w:type="dxa"/>
            <w:tcBorders>
              <w:top w:val="nil"/>
              <w:left w:val="single" w:sz="8" w:space="0" w:color="B5DDDC"/>
              <w:bottom w:val="single" w:sz="8" w:space="0" w:color="B5DDDC"/>
              <w:right w:val="single" w:sz="8" w:space="0" w:color="B5DDDC"/>
            </w:tcBorders>
            <w:vAlign w:val="center"/>
            <w:hideMark/>
          </w:tcPr>
          <w:p w14:paraId="5FE6F3DE" w14:textId="77777777" w:rsidR="007C7DC8" w:rsidRPr="00397A3E" w:rsidRDefault="00171C91" w:rsidP="007C7DC8">
            <w:pPr>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1</w:t>
            </w:r>
          </w:p>
        </w:tc>
        <w:tc>
          <w:tcPr>
            <w:tcW w:w="4260" w:type="dxa"/>
            <w:tcBorders>
              <w:top w:val="nil"/>
              <w:left w:val="nil"/>
              <w:bottom w:val="single" w:sz="8" w:space="0" w:color="B5DDDC"/>
              <w:right w:val="single" w:sz="8" w:space="0" w:color="B5DDDC"/>
            </w:tcBorders>
            <w:vAlign w:val="center"/>
            <w:hideMark/>
          </w:tcPr>
          <w:p w14:paraId="3A268602" w14:textId="77777777" w:rsidR="007C7DC8" w:rsidRPr="00397A3E" w:rsidRDefault="00171C91" w:rsidP="007C7DC8">
            <w:pPr>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Did the review address a clearly focused question?</w:t>
            </w:r>
          </w:p>
        </w:tc>
        <w:tc>
          <w:tcPr>
            <w:tcW w:w="660" w:type="dxa"/>
            <w:tcBorders>
              <w:top w:val="nil"/>
              <w:left w:val="nil"/>
              <w:bottom w:val="single" w:sz="8" w:space="0" w:color="B5DDDC"/>
              <w:right w:val="single" w:sz="8" w:space="0" w:color="B5DDDC"/>
            </w:tcBorders>
            <w:shd w:val="clear" w:color="000000" w:fill="E2EFDA"/>
            <w:vAlign w:val="center"/>
            <w:hideMark/>
          </w:tcPr>
          <w:p w14:paraId="72EFC5F4" w14:textId="77777777" w:rsidR="007C7DC8" w:rsidRPr="00397A3E" w:rsidRDefault="00171C91" w:rsidP="007C7DC8">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660" w:type="dxa"/>
            <w:tcBorders>
              <w:top w:val="nil"/>
              <w:left w:val="nil"/>
              <w:bottom w:val="single" w:sz="8" w:space="0" w:color="B5DDDC"/>
              <w:right w:val="single" w:sz="8" w:space="0" w:color="B5DDDC"/>
            </w:tcBorders>
            <w:shd w:val="clear" w:color="000000" w:fill="FF0000"/>
            <w:vAlign w:val="center"/>
            <w:hideMark/>
          </w:tcPr>
          <w:p w14:paraId="738A0990" w14:textId="77777777" w:rsidR="007C7DC8" w:rsidRPr="00397A3E" w:rsidRDefault="00171C91" w:rsidP="007C7DC8">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nil"/>
              <w:left w:val="nil"/>
              <w:bottom w:val="nil"/>
              <w:right w:val="single" w:sz="8" w:space="0" w:color="B5DDDC"/>
            </w:tcBorders>
            <w:shd w:val="clear" w:color="000000" w:fill="F8CBAD"/>
            <w:vAlign w:val="center"/>
            <w:hideMark/>
          </w:tcPr>
          <w:p w14:paraId="119DD71F" w14:textId="77777777" w:rsidR="007C7DC8" w:rsidRPr="00397A3E" w:rsidRDefault="00171C91" w:rsidP="007C7DC8">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660" w:type="dxa"/>
            <w:tcBorders>
              <w:top w:val="nil"/>
              <w:left w:val="nil"/>
              <w:bottom w:val="nil"/>
              <w:right w:val="single" w:sz="8" w:space="0" w:color="B5DDDC"/>
            </w:tcBorders>
            <w:shd w:val="clear" w:color="000000" w:fill="F8CBAD"/>
            <w:vAlign w:val="center"/>
            <w:hideMark/>
          </w:tcPr>
          <w:p w14:paraId="6F5272D6" w14:textId="77777777" w:rsidR="007C7DC8" w:rsidRPr="00397A3E" w:rsidRDefault="00171C91" w:rsidP="007C7DC8">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660" w:type="dxa"/>
            <w:tcBorders>
              <w:top w:val="nil"/>
              <w:left w:val="nil"/>
              <w:bottom w:val="single" w:sz="8" w:space="0" w:color="B5DDDC"/>
              <w:right w:val="single" w:sz="8" w:space="0" w:color="B5DDDC"/>
            </w:tcBorders>
            <w:shd w:val="clear" w:color="000000" w:fill="70AD47"/>
            <w:vAlign w:val="center"/>
            <w:hideMark/>
          </w:tcPr>
          <w:p w14:paraId="490C6CE2" w14:textId="77777777" w:rsidR="007C7DC8" w:rsidRPr="00397A3E" w:rsidRDefault="00171C91" w:rsidP="007C7DC8">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r>
      <w:tr w:rsidR="00785848" w14:paraId="6D044A30" w14:textId="77777777" w:rsidTr="007C7DC8">
        <w:tc>
          <w:tcPr>
            <w:tcW w:w="620" w:type="dxa"/>
            <w:tcBorders>
              <w:top w:val="nil"/>
              <w:left w:val="single" w:sz="8" w:space="0" w:color="B5DDDC"/>
              <w:bottom w:val="single" w:sz="8" w:space="0" w:color="B5DDDC"/>
              <w:right w:val="single" w:sz="8" w:space="0" w:color="B5DDDC"/>
            </w:tcBorders>
            <w:vAlign w:val="center"/>
            <w:hideMark/>
          </w:tcPr>
          <w:p w14:paraId="066E239B" w14:textId="77777777" w:rsidR="007C7DC8" w:rsidRPr="00397A3E" w:rsidRDefault="00171C91" w:rsidP="007C7DC8">
            <w:pPr>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2</w:t>
            </w:r>
          </w:p>
        </w:tc>
        <w:tc>
          <w:tcPr>
            <w:tcW w:w="4260" w:type="dxa"/>
            <w:tcBorders>
              <w:top w:val="nil"/>
              <w:left w:val="nil"/>
              <w:bottom w:val="single" w:sz="8" w:space="0" w:color="B5DDDC"/>
              <w:right w:val="single" w:sz="8" w:space="0" w:color="B5DDDC"/>
            </w:tcBorders>
            <w:vAlign w:val="center"/>
            <w:hideMark/>
          </w:tcPr>
          <w:p w14:paraId="4A589280" w14:textId="77777777" w:rsidR="007C7DC8" w:rsidRPr="00397A3E" w:rsidRDefault="00171C91" w:rsidP="007C7DC8">
            <w:pPr>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Did the authors look for the right type of papers?</w:t>
            </w:r>
          </w:p>
        </w:tc>
        <w:tc>
          <w:tcPr>
            <w:tcW w:w="660" w:type="dxa"/>
            <w:tcBorders>
              <w:top w:val="nil"/>
              <w:left w:val="nil"/>
              <w:bottom w:val="single" w:sz="8" w:space="0" w:color="B5DDDC"/>
              <w:right w:val="single" w:sz="8" w:space="0" w:color="B5DDDC"/>
            </w:tcBorders>
            <w:shd w:val="clear" w:color="000000" w:fill="E2EFDA"/>
            <w:vAlign w:val="center"/>
            <w:hideMark/>
          </w:tcPr>
          <w:p w14:paraId="42F9243F" w14:textId="77777777" w:rsidR="007C7DC8" w:rsidRPr="00397A3E" w:rsidRDefault="00171C91" w:rsidP="007C7DC8">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660" w:type="dxa"/>
            <w:tcBorders>
              <w:top w:val="nil"/>
              <w:left w:val="nil"/>
              <w:bottom w:val="single" w:sz="8" w:space="0" w:color="B5DDDC"/>
              <w:right w:val="single" w:sz="8" w:space="0" w:color="B5DDDC"/>
            </w:tcBorders>
            <w:shd w:val="clear" w:color="000000" w:fill="E2EFDA"/>
            <w:vAlign w:val="center"/>
            <w:hideMark/>
          </w:tcPr>
          <w:p w14:paraId="6AF0665E" w14:textId="77777777" w:rsidR="007C7DC8" w:rsidRPr="00397A3E" w:rsidRDefault="00171C91" w:rsidP="007C7DC8">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660" w:type="dxa"/>
            <w:tcBorders>
              <w:top w:val="single" w:sz="8" w:space="0" w:color="B5DDDC"/>
              <w:left w:val="nil"/>
              <w:bottom w:val="nil"/>
              <w:right w:val="single" w:sz="8" w:space="0" w:color="B5DDDC"/>
            </w:tcBorders>
            <w:shd w:val="clear" w:color="000000" w:fill="F8CBAD"/>
            <w:vAlign w:val="center"/>
            <w:hideMark/>
          </w:tcPr>
          <w:p w14:paraId="23940A0E" w14:textId="77777777" w:rsidR="007C7DC8" w:rsidRPr="00397A3E" w:rsidRDefault="00171C91" w:rsidP="007C7DC8">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660" w:type="dxa"/>
            <w:tcBorders>
              <w:top w:val="single" w:sz="8" w:space="0" w:color="B5DDDC"/>
              <w:left w:val="nil"/>
              <w:bottom w:val="single" w:sz="8" w:space="0" w:color="B5DDDC"/>
              <w:right w:val="single" w:sz="8" w:space="0" w:color="B5DDDC"/>
            </w:tcBorders>
            <w:shd w:val="clear" w:color="000000" w:fill="FF0000"/>
            <w:vAlign w:val="center"/>
            <w:hideMark/>
          </w:tcPr>
          <w:p w14:paraId="01526FC4" w14:textId="77777777" w:rsidR="007C7DC8" w:rsidRPr="00397A3E" w:rsidRDefault="00171C91" w:rsidP="007C7DC8">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nil"/>
              <w:left w:val="nil"/>
              <w:bottom w:val="single" w:sz="8" w:space="0" w:color="B5DDDC"/>
              <w:right w:val="single" w:sz="8" w:space="0" w:color="B5DDDC"/>
            </w:tcBorders>
            <w:shd w:val="clear" w:color="000000" w:fill="E2EFDA"/>
            <w:vAlign w:val="center"/>
            <w:hideMark/>
          </w:tcPr>
          <w:p w14:paraId="529659EA" w14:textId="77777777" w:rsidR="007C7DC8" w:rsidRPr="00397A3E" w:rsidRDefault="00171C91" w:rsidP="007C7DC8">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r>
      <w:tr w:rsidR="00785848" w14:paraId="4BF2D47C" w14:textId="77777777" w:rsidTr="006415C1">
        <w:tc>
          <w:tcPr>
            <w:tcW w:w="620" w:type="dxa"/>
            <w:tcBorders>
              <w:top w:val="nil"/>
              <w:left w:val="single" w:sz="8" w:space="0" w:color="B5DDDC"/>
              <w:bottom w:val="single" w:sz="8" w:space="0" w:color="B5DDDC"/>
              <w:right w:val="single" w:sz="8" w:space="0" w:color="B5DDDC"/>
            </w:tcBorders>
            <w:shd w:val="clear" w:color="auto" w:fill="D6EAEB"/>
            <w:vAlign w:val="center"/>
          </w:tcPr>
          <w:p w14:paraId="3182511F" w14:textId="1299B276" w:rsidR="006415C1" w:rsidRPr="00397A3E" w:rsidRDefault="00171C91" w:rsidP="006415C1">
            <w:pPr>
              <w:keepNext/>
              <w:spacing w:before="0" w:after="0" w:line="240" w:lineRule="auto"/>
              <w:jc w:val="center"/>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 </w:t>
            </w:r>
          </w:p>
        </w:tc>
        <w:tc>
          <w:tcPr>
            <w:tcW w:w="4260" w:type="dxa"/>
            <w:tcBorders>
              <w:top w:val="nil"/>
              <w:left w:val="nil"/>
              <w:bottom w:val="single" w:sz="8" w:space="0" w:color="B5DDDC"/>
              <w:right w:val="single" w:sz="8" w:space="0" w:color="B5DDDC"/>
            </w:tcBorders>
            <w:shd w:val="clear" w:color="auto" w:fill="D6EAEB"/>
            <w:vAlign w:val="center"/>
          </w:tcPr>
          <w:p w14:paraId="6F6EEF2C" w14:textId="2D60151C" w:rsidR="006415C1" w:rsidRPr="00397A3E" w:rsidRDefault="00171C91" w:rsidP="006415C1">
            <w:pPr>
              <w:keepNext/>
              <w:spacing w:before="0" w:after="0" w:line="240" w:lineRule="auto"/>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Section A2: Is it worth continuing?</w:t>
            </w:r>
          </w:p>
        </w:tc>
        <w:tc>
          <w:tcPr>
            <w:tcW w:w="660" w:type="dxa"/>
            <w:tcBorders>
              <w:top w:val="nil"/>
              <w:left w:val="nil"/>
              <w:bottom w:val="single" w:sz="8" w:space="0" w:color="B5DDDC"/>
              <w:right w:val="single" w:sz="8" w:space="0" w:color="B5DDDC"/>
            </w:tcBorders>
            <w:shd w:val="clear" w:color="auto" w:fill="D6EAEB"/>
            <w:vAlign w:val="center"/>
          </w:tcPr>
          <w:p w14:paraId="0DDA4DD1" w14:textId="5A16AE82" w:rsidR="006415C1" w:rsidRPr="00397A3E" w:rsidRDefault="00171C91" w:rsidP="006415C1">
            <w:pPr>
              <w:keepNext/>
              <w:spacing w:before="0" w:after="0" w:line="240" w:lineRule="auto"/>
              <w:jc w:val="center"/>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Yes</w:t>
            </w:r>
          </w:p>
        </w:tc>
        <w:tc>
          <w:tcPr>
            <w:tcW w:w="660" w:type="dxa"/>
            <w:tcBorders>
              <w:top w:val="nil"/>
              <w:left w:val="nil"/>
              <w:bottom w:val="single" w:sz="8" w:space="0" w:color="B5DDDC"/>
              <w:right w:val="single" w:sz="8" w:space="0" w:color="B5DDDC"/>
            </w:tcBorders>
            <w:shd w:val="clear" w:color="auto" w:fill="D6EAEB"/>
            <w:vAlign w:val="center"/>
          </w:tcPr>
          <w:p w14:paraId="0AE814E2" w14:textId="33319B2D" w:rsidR="006415C1" w:rsidRPr="00397A3E" w:rsidRDefault="00171C91" w:rsidP="006415C1">
            <w:pPr>
              <w:keepNext/>
              <w:spacing w:before="0" w:after="0" w:line="240" w:lineRule="auto"/>
              <w:jc w:val="center"/>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Yes</w:t>
            </w:r>
          </w:p>
        </w:tc>
        <w:tc>
          <w:tcPr>
            <w:tcW w:w="660" w:type="dxa"/>
            <w:tcBorders>
              <w:top w:val="single" w:sz="8" w:space="0" w:color="B5DDDC"/>
              <w:left w:val="nil"/>
              <w:bottom w:val="nil"/>
              <w:right w:val="single" w:sz="8" w:space="0" w:color="B5DDDC"/>
            </w:tcBorders>
            <w:shd w:val="clear" w:color="auto" w:fill="D6EAEB"/>
            <w:vAlign w:val="center"/>
          </w:tcPr>
          <w:p w14:paraId="0475E04C" w14:textId="0AA22970" w:rsidR="006415C1" w:rsidRPr="00397A3E" w:rsidRDefault="00171C91" w:rsidP="006415C1">
            <w:pPr>
              <w:keepNext/>
              <w:spacing w:before="0" w:after="0" w:line="240" w:lineRule="auto"/>
              <w:jc w:val="center"/>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 Yes</w:t>
            </w:r>
          </w:p>
        </w:tc>
        <w:tc>
          <w:tcPr>
            <w:tcW w:w="660" w:type="dxa"/>
            <w:tcBorders>
              <w:top w:val="single" w:sz="8" w:space="0" w:color="B5DDDC"/>
              <w:left w:val="nil"/>
              <w:bottom w:val="single" w:sz="8" w:space="0" w:color="B5DDDC"/>
              <w:right w:val="single" w:sz="8" w:space="0" w:color="B5DDDC"/>
            </w:tcBorders>
            <w:shd w:val="clear" w:color="auto" w:fill="D6EAEB"/>
            <w:vAlign w:val="center"/>
          </w:tcPr>
          <w:p w14:paraId="392A6DF2" w14:textId="4F3838B7" w:rsidR="006415C1" w:rsidRPr="00397A3E" w:rsidRDefault="00171C91" w:rsidP="006415C1">
            <w:pPr>
              <w:keepNext/>
              <w:spacing w:before="0" w:after="0" w:line="240" w:lineRule="auto"/>
              <w:jc w:val="center"/>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No</w:t>
            </w:r>
          </w:p>
        </w:tc>
        <w:tc>
          <w:tcPr>
            <w:tcW w:w="660" w:type="dxa"/>
            <w:tcBorders>
              <w:top w:val="nil"/>
              <w:left w:val="nil"/>
              <w:bottom w:val="single" w:sz="8" w:space="0" w:color="B5DDDC"/>
              <w:right w:val="single" w:sz="8" w:space="0" w:color="B5DDDC"/>
            </w:tcBorders>
            <w:shd w:val="clear" w:color="auto" w:fill="D6EAEB"/>
            <w:vAlign w:val="center"/>
          </w:tcPr>
          <w:p w14:paraId="2BC8A871" w14:textId="1246DD89" w:rsidR="006415C1" w:rsidRPr="00397A3E" w:rsidRDefault="00171C91" w:rsidP="006415C1">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 w:val="16"/>
                <w:szCs w:val="16"/>
              </w:rPr>
              <w:t>Yes</w:t>
            </w:r>
          </w:p>
        </w:tc>
      </w:tr>
      <w:tr w:rsidR="00785848" w14:paraId="40BD7863" w14:textId="77777777" w:rsidTr="007C7DC8">
        <w:tc>
          <w:tcPr>
            <w:tcW w:w="620" w:type="dxa"/>
            <w:tcBorders>
              <w:top w:val="nil"/>
              <w:left w:val="single" w:sz="8" w:space="0" w:color="B5DDDC"/>
              <w:bottom w:val="single" w:sz="8" w:space="0" w:color="B5DDDC"/>
              <w:right w:val="single" w:sz="8" w:space="0" w:color="B5DDDC"/>
            </w:tcBorders>
            <w:vAlign w:val="center"/>
            <w:hideMark/>
          </w:tcPr>
          <w:p w14:paraId="103EAE3D" w14:textId="77777777" w:rsidR="006415C1" w:rsidRPr="00397A3E" w:rsidRDefault="00171C91" w:rsidP="006415C1">
            <w:pPr>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3</w:t>
            </w:r>
          </w:p>
        </w:tc>
        <w:tc>
          <w:tcPr>
            <w:tcW w:w="4260" w:type="dxa"/>
            <w:tcBorders>
              <w:top w:val="nil"/>
              <w:left w:val="nil"/>
              <w:bottom w:val="single" w:sz="8" w:space="0" w:color="B5DDDC"/>
              <w:right w:val="single" w:sz="8" w:space="0" w:color="B5DDDC"/>
            </w:tcBorders>
            <w:vAlign w:val="center"/>
            <w:hideMark/>
          </w:tcPr>
          <w:p w14:paraId="4FAF0385" w14:textId="77777777" w:rsidR="006415C1" w:rsidRPr="00397A3E" w:rsidRDefault="00171C91" w:rsidP="006415C1">
            <w:pPr>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Do you think all the important, relevant studies were included?</w:t>
            </w:r>
          </w:p>
        </w:tc>
        <w:tc>
          <w:tcPr>
            <w:tcW w:w="660" w:type="dxa"/>
            <w:tcBorders>
              <w:top w:val="nil"/>
              <w:left w:val="nil"/>
              <w:bottom w:val="single" w:sz="8" w:space="0" w:color="B5DDDC"/>
              <w:right w:val="single" w:sz="8" w:space="0" w:color="B5DDDC"/>
            </w:tcBorders>
            <w:shd w:val="clear" w:color="000000" w:fill="70AD47"/>
            <w:vAlign w:val="center"/>
            <w:hideMark/>
          </w:tcPr>
          <w:p w14:paraId="0826E959"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nil"/>
              <w:left w:val="nil"/>
              <w:bottom w:val="single" w:sz="8" w:space="0" w:color="B5DDDC"/>
              <w:right w:val="single" w:sz="8" w:space="0" w:color="B5DDDC"/>
            </w:tcBorders>
            <w:shd w:val="clear" w:color="000000" w:fill="70AD47"/>
            <w:vAlign w:val="center"/>
            <w:hideMark/>
          </w:tcPr>
          <w:p w14:paraId="57D2C19D"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nil"/>
              <w:left w:val="nil"/>
              <w:bottom w:val="nil"/>
              <w:right w:val="single" w:sz="8" w:space="0" w:color="B5DDDC"/>
            </w:tcBorders>
            <w:shd w:val="clear" w:color="000000" w:fill="F8CBAD"/>
            <w:vAlign w:val="center"/>
            <w:hideMark/>
          </w:tcPr>
          <w:p w14:paraId="4B5A8C69" w14:textId="77777777" w:rsidR="006415C1" w:rsidRPr="00397A3E" w:rsidRDefault="00171C91" w:rsidP="006415C1">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660" w:type="dxa"/>
            <w:tcBorders>
              <w:top w:val="nil"/>
              <w:left w:val="nil"/>
              <w:bottom w:val="nil"/>
              <w:right w:val="single" w:sz="8" w:space="0" w:color="B5DDDC"/>
            </w:tcBorders>
            <w:shd w:val="clear" w:color="000000" w:fill="F8CBAD"/>
            <w:vAlign w:val="center"/>
            <w:hideMark/>
          </w:tcPr>
          <w:p w14:paraId="6BC972F5" w14:textId="77777777" w:rsidR="006415C1" w:rsidRPr="00397A3E" w:rsidRDefault="00171C91" w:rsidP="006415C1">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660" w:type="dxa"/>
            <w:tcBorders>
              <w:top w:val="nil"/>
              <w:left w:val="nil"/>
              <w:bottom w:val="single" w:sz="8" w:space="0" w:color="B5DDDC"/>
              <w:right w:val="single" w:sz="8" w:space="0" w:color="B5DDDC"/>
            </w:tcBorders>
            <w:shd w:val="clear" w:color="000000" w:fill="70AD47"/>
            <w:vAlign w:val="center"/>
            <w:hideMark/>
          </w:tcPr>
          <w:p w14:paraId="2A4C008A"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r>
      <w:tr w:rsidR="00785848" w14:paraId="310DAA13" w14:textId="77777777" w:rsidTr="007C7DC8">
        <w:tc>
          <w:tcPr>
            <w:tcW w:w="620" w:type="dxa"/>
            <w:tcBorders>
              <w:top w:val="nil"/>
              <w:left w:val="single" w:sz="8" w:space="0" w:color="B5DDDC"/>
              <w:bottom w:val="single" w:sz="8" w:space="0" w:color="B5DDDC"/>
              <w:right w:val="single" w:sz="8" w:space="0" w:color="B5DDDC"/>
            </w:tcBorders>
            <w:vAlign w:val="center"/>
            <w:hideMark/>
          </w:tcPr>
          <w:p w14:paraId="3FC04807" w14:textId="77777777" w:rsidR="006415C1" w:rsidRPr="00397A3E" w:rsidRDefault="00171C91" w:rsidP="006415C1">
            <w:pPr>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4</w:t>
            </w:r>
          </w:p>
        </w:tc>
        <w:tc>
          <w:tcPr>
            <w:tcW w:w="4260" w:type="dxa"/>
            <w:tcBorders>
              <w:top w:val="nil"/>
              <w:left w:val="nil"/>
              <w:bottom w:val="single" w:sz="8" w:space="0" w:color="B5DDDC"/>
              <w:right w:val="single" w:sz="8" w:space="0" w:color="B5DDDC"/>
            </w:tcBorders>
            <w:vAlign w:val="center"/>
            <w:hideMark/>
          </w:tcPr>
          <w:p w14:paraId="4E981B1F" w14:textId="77777777" w:rsidR="006415C1" w:rsidRPr="00397A3E" w:rsidRDefault="00171C91" w:rsidP="006415C1">
            <w:pPr>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Did the review’s authors do enough to assess quality of the included studies?</w:t>
            </w:r>
          </w:p>
        </w:tc>
        <w:tc>
          <w:tcPr>
            <w:tcW w:w="660" w:type="dxa"/>
            <w:tcBorders>
              <w:top w:val="nil"/>
              <w:left w:val="nil"/>
              <w:bottom w:val="single" w:sz="8" w:space="0" w:color="B5DDDC"/>
              <w:right w:val="single" w:sz="8" w:space="0" w:color="B5DDDC"/>
            </w:tcBorders>
            <w:shd w:val="clear" w:color="000000" w:fill="FF0000"/>
            <w:vAlign w:val="center"/>
            <w:hideMark/>
          </w:tcPr>
          <w:p w14:paraId="3C55414A"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nil"/>
              <w:left w:val="nil"/>
              <w:bottom w:val="single" w:sz="8" w:space="0" w:color="B5DDDC"/>
              <w:right w:val="single" w:sz="8" w:space="0" w:color="B5DDDC"/>
            </w:tcBorders>
            <w:shd w:val="clear" w:color="000000" w:fill="FF0000"/>
            <w:vAlign w:val="center"/>
            <w:hideMark/>
          </w:tcPr>
          <w:p w14:paraId="2DB6833C"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single" w:sz="8" w:space="0" w:color="B5DDDC"/>
              <w:left w:val="nil"/>
              <w:bottom w:val="single" w:sz="8" w:space="0" w:color="B5DDDC"/>
              <w:right w:val="single" w:sz="8" w:space="0" w:color="B5DDDC"/>
            </w:tcBorders>
            <w:shd w:val="clear" w:color="000000" w:fill="FF0000"/>
            <w:vAlign w:val="center"/>
            <w:hideMark/>
          </w:tcPr>
          <w:p w14:paraId="4DD555FC"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single" w:sz="8" w:space="0" w:color="B5DDDC"/>
              <w:left w:val="nil"/>
              <w:bottom w:val="single" w:sz="8" w:space="0" w:color="B5DDDC"/>
              <w:right w:val="single" w:sz="8" w:space="0" w:color="B5DDDC"/>
            </w:tcBorders>
            <w:shd w:val="clear" w:color="000000" w:fill="FF0000"/>
            <w:vAlign w:val="center"/>
            <w:hideMark/>
          </w:tcPr>
          <w:p w14:paraId="0C507F70"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nil"/>
              <w:left w:val="nil"/>
              <w:bottom w:val="single" w:sz="8" w:space="0" w:color="B5DDDC"/>
              <w:right w:val="single" w:sz="8" w:space="0" w:color="B5DDDC"/>
            </w:tcBorders>
            <w:shd w:val="clear" w:color="000000" w:fill="70AD47"/>
            <w:vAlign w:val="center"/>
            <w:hideMark/>
          </w:tcPr>
          <w:p w14:paraId="0735ABD4"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r>
      <w:tr w:rsidR="00785848" w14:paraId="0E9C3B70" w14:textId="77777777" w:rsidTr="007C7DC8">
        <w:tc>
          <w:tcPr>
            <w:tcW w:w="620" w:type="dxa"/>
            <w:tcBorders>
              <w:top w:val="nil"/>
              <w:left w:val="single" w:sz="8" w:space="0" w:color="B5DDDC"/>
              <w:bottom w:val="single" w:sz="8" w:space="0" w:color="B5DDDC"/>
              <w:right w:val="single" w:sz="8" w:space="0" w:color="B5DDDC"/>
            </w:tcBorders>
            <w:vAlign w:val="center"/>
            <w:hideMark/>
          </w:tcPr>
          <w:p w14:paraId="74426E5F" w14:textId="77777777" w:rsidR="006415C1" w:rsidRPr="00397A3E" w:rsidRDefault="00171C91" w:rsidP="006415C1">
            <w:pPr>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5</w:t>
            </w:r>
          </w:p>
        </w:tc>
        <w:tc>
          <w:tcPr>
            <w:tcW w:w="4260" w:type="dxa"/>
            <w:tcBorders>
              <w:top w:val="nil"/>
              <w:left w:val="nil"/>
              <w:bottom w:val="single" w:sz="8" w:space="0" w:color="B5DDDC"/>
              <w:right w:val="single" w:sz="8" w:space="0" w:color="B5DDDC"/>
            </w:tcBorders>
            <w:vAlign w:val="center"/>
            <w:hideMark/>
          </w:tcPr>
          <w:p w14:paraId="339119B0" w14:textId="77777777" w:rsidR="006415C1" w:rsidRPr="00397A3E" w:rsidRDefault="00171C91" w:rsidP="006415C1">
            <w:pPr>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If the results of the review have been combined, was it reasonable to do so?</w:t>
            </w:r>
          </w:p>
        </w:tc>
        <w:tc>
          <w:tcPr>
            <w:tcW w:w="660" w:type="dxa"/>
            <w:tcBorders>
              <w:top w:val="nil"/>
              <w:left w:val="nil"/>
              <w:bottom w:val="nil"/>
              <w:right w:val="single" w:sz="8" w:space="0" w:color="B5DDDC"/>
            </w:tcBorders>
            <w:shd w:val="clear" w:color="000000" w:fill="F8CBAD"/>
            <w:vAlign w:val="center"/>
            <w:hideMark/>
          </w:tcPr>
          <w:p w14:paraId="6093536C" w14:textId="77777777" w:rsidR="006415C1" w:rsidRPr="00397A3E" w:rsidRDefault="00171C91" w:rsidP="006415C1">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660" w:type="dxa"/>
            <w:tcBorders>
              <w:top w:val="nil"/>
              <w:left w:val="nil"/>
              <w:bottom w:val="single" w:sz="8" w:space="0" w:color="B5DDDC"/>
              <w:right w:val="single" w:sz="8" w:space="0" w:color="B5DDDC"/>
            </w:tcBorders>
            <w:vAlign w:val="center"/>
            <w:hideMark/>
          </w:tcPr>
          <w:p w14:paraId="0EF431F3" w14:textId="77777777" w:rsidR="006415C1" w:rsidRPr="00397A3E" w:rsidRDefault="00171C91" w:rsidP="006415C1">
            <w:pPr>
              <w:spacing w:before="0" w:after="0" w:line="240" w:lineRule="auto"/>
              <w:jc w:val="center"/>
              <w:rPr>
                <w:rFonts w:asciiTheme="minorHAnsi" w:hAnsiTheme="minorHAnsi" w:cstheme="minorHAnsi"/>
                <w:noProof w:val="0"/>
                <w:szCs w:val="20"/>
              </w:rPr>
            </w:pPr>
            <w:r w:rsidRPr="00397A3E">
              <w:rPr>
                <w:rFonts w:asciiTheme="minorHAnsi" w:hAnsiTheme="minorHAnsi" w:cstheme="minorHAnsi"/>
                <w:noProof w:val="0"/>
                <w:sz w:val="16"/>
                <w:szCs w:val="16"/>
              </w:rPr>
              <w:t>n/a</w:t>
            </w:r>
          </w:p>
        </w:tc>
        <w:tc>
          <w:tcPr>
            <w:tcW w:w="660" w:type="dxa"/>
            <w:tcBorders>
              <w:top w:val="nil"/>
              <w:left w:val="nil"/>
              <w:bottom w:val="single" w:sz="8" w:space="0" w:color="B5DDDC"/>
              <w:right w:val="single" w:sz="8" w:space="0" w:color="B5DDDC"/>
            </w:tcBorders>
            <w:shd w:val="clear" w:color="000000" w:fill="FF0000"/>
            <w:vAlign w:val="center"/>
            <w:hideMark/>
          </w:tcPr>
          <w:p w14:paraId="492CF757"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nil"/>
              <w:left w:val="nil"/>
              <w:bottom w:val="single" w:sz="8" w:space="0" w:color="B5DDDC"/>
              <w:right w:val="single" w:sz="8" w:space="0" w:color="B5DDDC"/>
            </w:tcBorders>
            <w:vAlign w:val="center"/>
            <w:hideMark/>
          </w:tcPr>
          <w:p w14:paraId="5D19AA0F" w14:textId="77777777" w:rsidR="006415C1" w:rsidRPr="00397A3E" w:rsidRDefault="00171C91" w:rsidP="006415C1">
            <w:pPr>
              <w:spacing w:before="0" w:after="0" w:line="240" w:lineRule="auto"/>
              <w:jc w:val="center"/>
              <w:rPr>
                <w:rFonts w:asciiTheme="minorHAnsi" w:hAnsiTheme="minorHAnsi" w:cstheme="minorHAnsi"/>
                <w:noProof w:val="0"/>
                <w:sz w:val="16"/>
                <w:szCs w:val="16"/>
              </w:rPr>
            </w:pPr>
            <w:r w:rsidRPr="00397A3E">
              <w:rPr>
                <w:rFonts w:asciiTheme="minorHAnsi" w:hAnsiTheme="minorHAnsi" w:cstheme="minorHAnsi"/>
                <w:noProof w:val="0"/>
                <w:sz w:val="16"/>
                <w:szCs w:val="16"/>
              </w:rPr>
              <w:t>n/a</w:t>
            </w:r>
          </w:p>
        </w:tc>
        <w:tc>
          <w:tcPr>
            <w:tcW w:w="660" w:type="dxa"/>
            <w:tcBorders>
              <w:top w:val="nil"/>
              <w:left w:val="nil"/>
              <w:bottom w:val="single" w:sz="8" w:space="0" w:color="B5DDDC"/>
              <w:right w:val="single" w:sz="8" w:space="0" w:color="B5DDDC"/>
            </w:tcBorders>
            <w:shd w:val="clear" w:color="000000" w:fill="70AD47"/>
            <w:vAlign w:val="center"/>
            <w:hideMark/>
          </w:tcPr>
          <w:p w14:paraId="3C9DD90A"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r>
      <w:tr w:rsidR="00785848" w14:paraId="2B52618C" w14:textId="77777777" w:rsidTr="007C7DC8">
        <w:tc>
          <w:tcPr>
            <w:tcW w:w="620" w:type="dxa"/>
            <w:tcBorders>
              <w:top w:val="nil"/>
              <w:left w:val="single" w:sz="8" w:space="0" w:color="B5DDDC"/>
              <w:bottom w:val="single" w:sz="8" w:space="0" w:color="B5DDDC"/>
              <w:right w:val="single" w:sz="8" w:space="0" w:color="B5DDDC"/>
            </w:tcBorders>
            <w:shd w:val="clear" w:color="000000" w:fill="D6EAEB"/>
            <w:vAlign w:val="center"/>
            <w:hideMark/>
          </w:tcPr>
          <w:p w14:paraId="1AA0F342" w14:textId="77777777" w:rsidR="006415C1" w:rsidRPr="00397A3E" w:rsidRDefault="00171C91" w:rsidP="006415C1">
            <w:pPr>
              <w:spacing w:before="0" w:after="0" w:line="240" w:lineRule="auto"/>
              <w:jc w:val="center"/>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 </w:t>
            </w:r>
          </w:p>
        </w:tc>
        <w:tc>
          <w:tcPr>
            <w:tcW w:w="7560" w:type="dxa"/>
            <w:gridSpan w:val="6"/>
            <w:tcBorders>
              <w:top w:val="nil"/>
              <w:left w:val="nil"/>
              <w:bottom w:val="single" w:sz="8" w:space="0" w:color="B5DDDC"/>
              <w:right w:val="single" w:sz="8" w:space="0" w:color="B5DDDC"/>
            </w:tcBorders>
            <w:shd w:val="clear" w:color="000000" w:fill="D6EAEB"/>
            <w:vAlign w:val="center"/>
            <w:hideMark/>
          </w:tcPr>
          <w:p w14:paraId="0D6B0450" w14:textId="6F5C8663" w:rsidR="006415C1" w:rsidRPr="00397A3E" w:rsidRDefault="00171C91" w:rsidP="006415C1">
            <w:pPr>
              <w:spacing w:before="0" w:after="0" w:line="240" w:lineRule="auto"/>
              <w:rPr>
                <w:rFonts w:asciiTheme="minorHAnsi" w:hAnsiTheme="minorHAnsi" w:cstheme="minorHAnsi"/>
                <w:b/>
                <w:bCs/>
                <w:noProof w:val="0"/>
                <w:color w:val="000000"/>
                <w:szCs w:val="20"/>
              </w:rPr>
            </w:pPr>
            <w:r w:rsidRPr="00397A3E">
              <w:rPr>
                <w:rFonts w:asciiTheme="minorHAnsi" w:hAnsiTheme="minorHAnsi" w:cstheme="minorHAnsi"/>
                <w:b/>
                <w:bCs/>
                <w:noProof w:val="0"/>
                <w:color w:val="000000"/>
                <w:sz w:val="16"/>
                <w:szCs w:val="16"/>
              </w:rPr>
              <w:t>Section B: What are the results?</w:t>
            </w:r>
          </w:p>
          <w:p w14:paraId="162F3008" w14:textId="26333CC9" w:rsidR="006415C1" w:rsidRPr="00397A3E" w:rsidRDefault="006415C1" w:rsidP="006415C1">
            <w:pPr>
              <w:spacing w:before="0" w:after="0" w:line="240" w:lineRule="auto"/>
              <w:rPr>
                <w:rFonts w:asciiTheme="minorHAnsi" w:hAnsiTheme="minorHAnsi" w:cstheme="minorHAnsi"/>
                <w:b/>
                <w:bCs/>
                <w:noProof w:val="0"/>
                <w:color w:val="000000"/>
                <w:szCs w:val="20"/>
              </w:rPr>
            </w:pPr>
          </w:p>
        </w:tc>
      </w:tr>
      <w:tr w:rsidR="00785848" w14:paraId="39D987EF" w14:textId="77777777" w:rsidTr="007C7DC8">
        <w:tc>
          <w:tcPr>
            <w:tcW w:w="620" w:type="dxa"/>
            <w:tcBorders>
              <w:top w:val="single" w:sz="4" w:space="0" w:color="C6E0B4"/>
              <w:left w:val="single" w:sz="4" w:space="0" w:color="C6E0B4"/>
              <w:bottom w:val="single" w:sz="4" w:space="0" w:color="C6E0B4"/>
              <w:right w:val="single" w:sz="4" w:space="0" w:color="C6E0B4"/>
            </w:tcBorders>
            <w:noWrap/>
            <w:hideMark/>
          </w:tcPr>
          <w:p w14:paraId="12750C02" w14:textId="77777777" w:rsidR="006415C1" w:rsidRPr="00397A3E" w:rsidRDefault="00171C91" w:rsidP="006415C1">
            <w:pPr>
              <w:spacing w:before="0" w:after="0" w:line="240" w:lineRule="auto"/>
              <w:jc w:val="center"/>
              <w:rPr>
                <w:rFonts w:asciiTheme="minorHAnsi" w:hAnsiTheme="minorHAnsi" w:cstheme="minorHAnsi"/>
                <w:noProof w:val="0"/>
                <w:color w:val="000000"/>
                <w:sz w:val="16"/>
                <w:szCs w:val="16"/>
              </w:rPr>
            </w:pPr>
            <w:r w:rsidRPr="00397A3E">
              <w:rPr>
                <w:rFonts w:asciiTheme="minorHAnsi" w:hAnsiTheme="minorHAnsi" w:cstheme="minorHAnsi"/>
                <w:noProof w:val="0"/>
                <w:color w:val="000000"/>
                <w:sz w:val="16"/>
                <w:szCs w:val="16"/>
              </w:rPr>
              <w:t>6</w:t>
            </w:r>
          </w:p>
        </w:tc>
        <w:tc>
          <w:tcPr>
            <w:tcW w:w="4260" w:type="dxa"/>
            <w:tcBorders>
              <w:top w:val="nil"/>
              <w:left w:val="single" w:sz="8" w:space="0" w:color="B5DDDC"/>
              <w:bottom w:val="single" w:sz="8" w:space="0" w:color="B5DDDC"/>
              <w:right w:val="single" w:sz="8" w:space="0" w:color="B5DDDC"/>
            </w:tcBorders>
            <w:vAlign w:val="center"/>
            <w:hideMark/>
          </w:tcPr>
          <w:p w14:paraId="2F5A5B87" w14:textId="77777777" w:rsidR="006415C1" w:rsidRPr="00397A3E" w:rsidRDefault="00171C91" w:rsidP="006415C1">
            <w:pPr>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What are the overall results of the review?</w:t>
            </w:r>
          </w:p>
        </w:tc>
        <w:tc>
          <w:tcPr>
            <w:tcW w:w="660" w:type="dxa"/>
            <w:tcBorders>
              <w:top w:val="nil"/>
              <w:left w:val="nil"/>
              <w:bottom w:val="single" w:sz="8" w:space="0" w:color="B5DDDC"/>
              <w:right w:val="single" w:sz="8" w:space="0" w:color="B5DDDC"/>
            </w:tcBorders>
            <w:shd w:val="clear" w:color="000000" w:fill="E2EFDA"/>
            <w:vAlign w:val="center"/>
            <w:hideMark/>
          </w:tcPr>
          <w:p w14:paraId="387629BA" w14:textId="77777777" w:rsidR="006415C1" w:rsidRPr="00397A3E" w:rsidRDefault="00171C91" w:rsidP="006415C1">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660" w:type="dxa"/>
            <w:tcBorders>
              <w:top w:val="nil"/>
              <w:left w:val="nil"/>
              <w:bottom w:val="nil"/>
              <w:right w:val="single" w:sz="8" w:space="0" w:color="B5DDDC"/>
            </w:tcBorders>
            <w:shd w:val="clear" w:color="000000" w:fill="F8CBAD"/>
            <w:vAlign w:val="center"/>
            <w:hideMark/>
          </w:tcPr>
          <w:p w14:paraId="282B9CB0" w14:textId="77777777" w:rsidR="006415C1" w:rsidRPr="00397A3E" w:rsidRDefault="00171C91" w:rsidP="006415C1">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660" w:type="dxa"/>
            <w:tcBorders>
              <w:top w:val="nil"/>
              <w:left w:val="nil"/>
              <w:bottom w:val="nil"/>
              <w:right w:val="single" w:sz="8" w:space="0" w:color="B5DDDC"/>
            </w:tcBorders>
            <w:shd w:val="clear" w:color="000000" w:fill="F8CBAD"/>
            <w:vAlign w:val="center"/>
            <w:hideMark/>
          </w:tcPr>
          <w:p w14:paraId="2C26D6CB" w14:textId="77777777" w:rsidR="006415C1" w:rsidRPr="00397A3E" w:rsidRDefault="00171C91" w:rsidP="006415C1">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660" w:type="dxa"/>
            <w:tcBorders>
              <w:top w:val="nil"/>
              <w:left w:val="nil"/>
              <w:bottom w:val="single" w:sz="8" w:space="0" w:color="B5DDDC"/>
              <w:right w:val="single" w:sz="8" w:space="0" w:color="B5DDDC"/>
            </w:tcBorders>
            <w:vAlign w:val="center"/>
            <w:hideMark/>
          </w:tcPr>
          <w:p w14:paraId="690AEED4" w14:textId="77777777" w:rsidR="006415C1" w:rsidRPr="00397A3E" w:rsidRDefault="00171C91" w:rsidP="006415C1">
            <w:pPr>
              <w:spacing w:before="0" w:after="0" w:line="240" w:lineRule="auto"/>
              <w:jc w:val="center"/>
              <w:rPr>
                <w:rFonts w:asciiTheme="minorHAnsi" w:hAnsiTheme="minorHAnsi" w:cstheme="minorHAnsi"/>
                <w:noProof w:val="0"/>
                <w:sz w:val="16"/>
                <w:szCs w:val="16"/>
              </w:rPr>
            </w:pPr>
            <w:r w:rsidRPr="00397A3E">
              <w:rPr>
                <w:rFonts w:asciiTheme="minorHAnsi" w:hAnsiTheme="minorHAnsi" w:cstheme="minorHAnsi"/>
                <w:noProof w:val="0"/>
                <w:sz w:val="16"/>
                <w:szCs w:val="16"/>
              </w:rPr>
              <w:t>n/a</w:t>
            </w:r>
          </w:p>
        </w:tc>
        <w:tc>
          <w:tcPr>
            <w:tcW w:w="660" w:type="dxa"/>
            <w:tcBorders>
              <w:top w:val="nil"/>
              <w:left w:val="nil"/>
              <w:bottom w:val="single" w:sz="8" w:space="0" w:color="B5DDDC"/>
              <w:right w:val="single" w:sz="8" w:space="0" w:color="B5DDDC"/>
            </w:tcBorders>
            <w:shd w:val="clear" w:color="000000" w:fill="E2EFDA"/>
            <w:vAlign w:val="center"/>
            <w:hideMark/>
          </w:tcPr>
          <w:p w14:paraId="637926FC" w14:textId="77777777" w:rsidR="006415C1" w:rsidRPr="00397A3E" w:rsidRDefault="00171C91" w:rsidP="006415C1">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r>
      <w:tr w:rsidR="00785848" w14:paraId="5DB38DE6" w14:textId="77777777" w:rsidTr="007C7DC8">
        <w:tc>
          <w:tcPr>
            <w:tcW w:w="620" w:type="dxa"/>
            <w:tcBorders>
              <w:top w:val="single" w:sz="8" w:space="0" w:color="B5DDDC"/>
              <w:left w:val="single" w:sz="8" w:space="0" w:color="B5DDDC"/>
              <w:bottom w:val="single" w:sz="8" w:space="0" w:color="B5DDDC"/>
              <w:right w:val="single" w:sz="8" w:space="0" w:color="B5DDDC"/>
            </w:tcBorders>
            <w:vAlign w:val="center"/>
            <w:hideMark/>
          </w:tcPr>
          <w:p w14:paraId="6940B55D" w14:textId="77777777" w:rsidR="006415C1" w:rsidRPr="00397A3E" w:rsidRDefault="00171C91" w:rsidP="006415C1">
            <w:pPr>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7</w:t>
            </w:r>
          </w:p>
        </w:tc>
        <w:tc>
          <w:tcPr>
            <w:tcW w:w="4260" w:type="dxa"/>
            <w:tcBorders>
              <w:top w:val="nil"/>
              <w:left w:val="nil"/>
              <w:bottom w:val="single" w:sz="8" w:space="0" w:color="B5DDDC"/>
              <w:right w:val="single" w:sz="8" w:space="0" w:color="B5DDDC"/>
            </w:tcBorders>
            <w:vAlign w:val="center"/>
            <w:hideMark/>
          </w:tcPr>
          <w:p w14:paraId="727A8CF2" w14:textId="77777777" w:rsidR="006415C1" w:rsidRPr="00397A3E" w:rsidRDefault="00171C91" w:rsidP="006415C1">
            <w:pPr>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How precise are the results?</w:t>
            </w:r>
          </w:p>
        </w:tc>
        <w:tc>
          <w:tcPr>
            <w:tcW w:w="660" w:type="dxa"/>
            <w:tcBorders>
              <w:top w:val="nil"/>
              <w:left w:val="nil"/>
              <w:bottom w:val="single" w:sz="8" w:space="0" w:color="B5DDDC"/>
              <w:right w:val="single" w:sz="8" w:space="0" w:color="B5DDDC"/>
            </w:tcBorders>
            <w:shd w:val="clear" w:color="000000" w:fill="FF0000"/>
            <w:vAlign w:val="center"/>
            <w:hideMark/>
          </w:tcPr>
          <w:p w14:paraId="627E09C9"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single" w:sz="8" w:space="0" w:color="B5DDDC"/>
              <w:left w:val="nil"/>
              <w:bottom w:val="single" w:sz="8" w:space="0" w:color="B5DDDC"/>
              <w:right w:val="single" w:sz="8" w:space="0" w:color="B5DDDC"/>
            </w:tcBorders>
            <w:vAlign w:val="center"/>
            <w:hideMark/>
          </w:tcPr>
          <w:p w14:paraId="184A5730" w14:textId="77777777" w:rsidR="006415C1" w:rsidRPr="00397A3E" w:rsidRDefault="00171C91" w:rsidP="006415C1">
            <w:pPr>
              <w:spacing w:before="0" w:after="0" w:line="240" w:lineRule="auto"/>
              <w:jc w:val="center"/>
              <w:rPr>
                <w:rFonts w:asciiTheme="minorHAnsi" w:hAnsiTheme="minorHAnsi" w:cstheme="minorHAnsi"/>
                <w:noProof w:val="0"/>
                <w:szCs w:val="20"/>
              </w:rPr>
            </w:pPr>
            <w:r w:rsidRPr="00397A3E">
              <w:rPr>
                <w:rFonts w:asciiTheme="minorHAnsi" w:hAnsiTheme="minorHAnsi" w:cstheme="minorHAnsi"/>
                <w:noProof w:val="0"/>
                <w:sz w:val="16"/>
                <w:szCs w:val="16"/>
              </w:rPr>
              <w:t>n/a</w:t>
            </w:r>
          </w:p>
        </w:tc>
        <w:tc>
          <w:tcPr>
            <w:tcW w:w="660" w:type="dxa"/>
            <w:tcBorders>
              <w:top w:val="single" w:sz="8" w:space="0" w:color="B5DDDC"/>
              <w:left w:val="nil"/>
              <w:bottom w:val="single" w:sz="8" w:space="0" w:color="B5DDDC"/>
              <w:right w:val="single" w:sz="8" w:space="0" w:color="B5DDDC"/>
            </w:tcBorders>
            <w:shd w:val="clear" w:color="000000" w:fill="FF0000"/>
            <w:vAlign w:val="center"/>
            <w:hideMark/>
          </w:tcPr>
          <w:p w14:paraId="76FF86E1"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nil"/>
              <w:left w:val="nil"/>
              <w:bottom w:val="single" w:sz="8" w:space="0" w:color="B5DDDC"/>
              <w:right w:val="single" w:sz="8" w:space="0" w:color="B5DDDC"/>
            </w:tcBorders>
            <w:vAlign w:val="center"/>
            <w:hideMark/>
          </w:tcPr>
          <w:p w14:paraId="43E659A7" w14:textId="77777777" w:rsidR="006415C1" w:rsidRPr="00397A3E" w:rsidRDefault="00171C91" w:rsidP="006415C1">
            <w:pPr>
              <w:spacing w:before="0" w:after="0" w:line="240" w:lineRule="auto"/>
              <w:jc w:val="center"/>
              <w:rPr>
                <w:rFonts w:asciiTheme="minorHAnsi" w:hAnsiTheme="minorHAnsi" w:cstheme="minorHAnsi"/>
                <w:noProof w:val="0"/>
                <w:sz w:val="16"/>
                <w:szCs w:val="16"/>
              </w:rPr>
            </w:pPr>
            <w:r w:rsidRPr="00397A3E">
              <w:rPr>
                <w:rFonts w:asciiTheme="minorHAnsi" w:hAnsiTheme="minorHAnsi" w:cstheme="minorHAnsi"/>
                <w:noProof w:val="0"/>
                <w:sz w:val="16"/>
                <w:szCs w:val="16"/>
              </w:rPr>
              <w:t>n/a</w:t>
            </w:r>
          </w:p>
        </w:tc>
        <w:tc>
          <w:tcPr>
            <w:tcW w:w="660" w:type="dxa"/>
            <w:tcBorders>
              <w:top w:val="nil"/>
              <w:left w:val="nil"/>
              <w:bottom w:val="single" w:sz="8" w:space="0" w:color="B5DDDC"/>
              <w:right w:val="single" w:sz="8" w:space="0" w:color="B5DDDC"/>
            </w:tcBorders>
            <w:shd w:val="clear" w:color="000000" w:fill="E2EFDA"/>
            <w:vAlign w:val="center"/>
            <w:hideMark/>
          </w:tcPr>
          <w:p w14:paraId="770A3581" w14:textId="77777777" w:rsidR="006415C1" w:rsidRPr="00397A3E" w:rsidRDefault="00171C91" w:rsidP="006415C1">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r>
      <w:tr w:rsidR="00785848" w14:paraId="425B68E4" w14:textId="77777777" w:rsidTr="007C7DC8">
        <w:tc>
          <w:tcPr>
            <w:tcW w:w="620" w:type="dxa"/>
            <w:tcBorders>
              <w:top w:val="nil"/>
              <w:left w:val="single" w:sz="8" w:space="0" w:color="B5DDDC"/>
              <w:bottom w:val="single" w:sz="8" w:space="0" w:color="B5DDDC"/>
              <w:right w:val="single" w:sz="8" w:space="0" w:color="B5DDDC"/>
            </w:tcBorders>
            <w:shd w:val="clear" w:color="000000" w:fill="D6EAEB"/>
            <w:vAlign w:val="center"/>
            <w:hideMark/>
          </w:tcPr>
          <w:p w14:paraId="4C578A18" w14:textId="77777777" w:rsidR="006415C1" w:rsidRPr="00397A3E" w:rsidRDefault="00171C91" w:rsidP="006415C1">
            <w:pPr>
              <w:spacing w:before="0" w:after="0" w:line="240" w:lineRule="auto"/>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 </w:t>
            </w:r>
          </w:p>
        </w:tc>
        <w:tc>
          <w:tcPr>
            <w:tcW w:w="4260" w:type="dxa"/>
            <w:tcBorders>
              <w:top w:val="nil"/>
              <w:left w:val="nil"/>
              <w:bottom w:val="single" w:sz="8" w:space="0" w:color="B5DDDC"/>
              <w:right w:val="single" w:sz="8" w:space="0" w:color="B5DDDC"/>
            </w:tcBorders>
            <w:shd w:val="clear" w:color="000000" w:fill="D6EAEB"/>
            <w:vAlign w:val="center"/>
            <w:hideMark/>
          </w:tcPr>
          <w:p w14:paraId="555996E1" w14:textId="77777777" w:rsidR="006415C1" w:rsidRPr="00397A3E" w:rsidRDefault="00171C91" w:rsidP="006415C1">
            <w:pPr>
              <w:spacing w:before="0" w:after="0" w:line="240" w:lineRule="auto"/>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Section C: Will the results help locally?</w:t>
            </w:r>
          </w:p>
        </w:tc>
        <w:tc>
          <w:tcPr>
            <w:tcW w:w="660" w:type="dxa"/>
            <w:tcBorders>
              <w:top w:val="nil"/>
              <w:left w:val="nil"/>
              <w:bottom w:val="single" w:sz="8" w:space="0" w:color="B5DDDC"/>
              <w:right w:val="single" w:sz="8" w:space="0" w:color="B5DDDC"/>
            </w:tcBorders>
            <w:shd w:val="clear" w:color="000000" w:fill="D6EAEB"/>
            <w:vAlign w:val="center"/>
            <w:hideMark/>
          </w:tcPr>
          <w:p w14:paraId="68FE1F9C" w14:textId="77777777" w:rsidR="006415C1" w:rsidRPr="00397A3E" w:rsidRDefault="00171C91" w:rsidP="006415C1">
            <w:pPr>
              <w:spacing w:before="0" w:after="0" w:line="240" w:lineRule="auto"/>
              <w:rPr>
                <w:rFonts w:asciiTheme="minorHAnsi" w:hAnsiTheme="minorHAnsi" w:cstheme="minorHAnsi"/>
                <w:b/>
                <w:bCs/>
                <w:noProof w:val="0"/>
                <w:color w:val="000000"/>
                <w:szCs w:val="20"/>
              </w:rPr>
            </w:pPr>
            <w:r w:rsidRPr="00397A3E">
              <w:rPr>
                <w:rFonts w:asciiTheme="minorHAnsi" w:hAnsiTheme="minorHAnsi" w:cstheme="minorHAnsi"/>
                <w:b/>
                <w:bCs/>
                <w:noProof w:val="0"/>
                <w:color w:val="000000"/>
                <w:szCs w:val="20"/>
              </w:rPr>
              <w:t> </w:t>
            </w:r>
          </w:p>
        </w:tc>
        <w:tc>
          <w:tcPr>
            <w:tcW w:w="660" w:type="dxa"/>
            <w:tcBorders>
              <w:top w:val="nil"/>
              <w:left w:val="nil"/>
              <w:bottom w:val="single" w:sz="8" w:space="0" w:color="B5DDDC"/>
              <w:right w:val="single" w:sz="8" w:space="0" w:color="B5DDDC"/>
            </w:tcBorders>
            <w:shd w:val="clear" w:color="000000" w:fill="D6EAEB"/>
            <w:vAlign w:val="center"/>
            <w:hideMark/>
          </w:tcPr>
          <w:p w14:paraId="780F96C2" w14:textId="77777777" w:rsidR="006415C1" w:rsidRPr="00397A3E" w:rsidRDefault="00171C91" w:rsidP="006415C1">
            <w:pPr>
              <w:spacing w:before="0" w:after="0" w:line="240" w:lineRule="auto"/>
              <w:rPr>
                <w:rFonts w:asciiTheme="minorHAnsi" w:hAnsiTheme="minorHAnsi" w:cstheme="minorHAnsi"/>
                <w:b/>
                <w:bCs/>
                <w:noProof w:val="0"/>
                <w:color w:val="000000"/>
                <w:szCs w:val="20"/>
              </w:rPr>
            </w:pPr>
            <w:r w:rsidRPr="00397A3E">
              <w:rPr>
                <w:rFonts w:asciiTheme="minorHAnsi" w:hAnsiTheme="minorHAnsi" w:cstheme="minorHAnsi"/>
                <w:b/>
                <w:bCs/>
                <w:noProof w:val="0"/>
                <w:color w:val="000000"/>
                <w:szCs w:val="20"/>
              </w:rPr>
              <w:t> </w:t>
            </w:r>
          </w:p>
        </w:tc>
        <w:tc>
          <w:tcPr>
            <w:tcW w:w="660" w:type="dxa"/>
            <w:tcBorders>
              <w:top w:val="nil"/>
              <w:left w:val="nil"/>
              <w:bottom w:val="single" w:sz="8" w:space="0" w:color="B5DDDC"/>
              <w:right w:val="single" w:sz="8" w:space="0" w:color="B5DDDC"/>
            </w:tcBorders>
            <w:shd w:val="clear" w:color="000000" w:fill="D6EAEB"/>
            <w:vAlign w:val="center"/>
            <w:hideMark/>
          </w:tcPr>
          <w:p w14:paraId="091790AF" w14:textId="77777777" w:rsidR="006415C1" w:rsidRPr="00397A3E" w:rsidRDefault="00171C91" w:rsidP="006415C1">
            <w:pPr>
              <w:spacing w:before="0" w:after="0" w:line="240" w:lineRule="auto"/>
              <w:rPr>
                <w:rFonts w:asciiTheme="minorHAnsi" w:hAnsiTheme="minorHAnsi" w:cstheme="minorHAnsi"/>
                <w:b/>
                <w:bCs/>
                <w:noProof w:val="0"/>
                <w:color w:val="000000"/>
                <w:szCs w:val="20"/>
              </w:rPr>
            </w:pPr>
            <w:r w:rsidRPr="00397A3E">
              <w:rPr>
                <w:rFonts w:asciiTheme="minorHAnsi" w:hAnsiTheme="minorHAnsi" w:cstheme="minorHAnsi"/>
                <w:b/>
                <w:bCs/>
                <w:noProof w:val="0"/>
                <w:color w:val="000000"/>
                <w:szCs w:val="20"/>
              </w:rPr>
              <w:t> </w:t>
            </w:r>
          </w:p>
        </w:tc>
        <w:tc>
          <w:tcPr>
            <w:tcW w:w="660" w:type="dxa"/>
            <w:tcBorders>
              <w:top w:val="nil"/>
              <w:left w:val="nil"/>
              <w:bottom w:val="single" w:sz="8" w:space="0" w:color="B5DDDC"/>
              <w:right w:val="single" w:sz="8" w:space="0" w:color="B5DDDC"/>
            </w:tcBorders>
            <w:shd w:val="clear" w:color="000000" w:fill="D6EAEB"/>
            <w:vAlign w:val="center"/>
            <w:hideMark/>
          </w:tcPr>
          <w:p w14:paraId="681634F5" w14:textId="77777777" w:rsidR="006415C1" w:rsidRPr="00397A3E" w:rsidRDefault="00171C91" w:rsidP="006415C1">
            <w:pPr>
              <w:spacing w:before="0" w:after="0" w:line="240" w:lineRule="auto"/>
              <w:rPr>
                <w:rFonts w:asciiTheme="minorHAnsi" w:hAnsiTheme="minorHAnsi" w:cstheme="minorHAnsi"/>
                <w:b/>
                <w:bCs/>
                <w:noProof w:val="0"/>
                <w:color w:val="000000"/>
                <w:szCs w:val="20"/>
              </w:rPr>
            </w:pPr>
            <w:r w:rsidRPr="00397A3E">
              <w:rPr>
                <w:rFonts w:asciiTheme="minorHAnsi" w:hAnsiTheme="minorHAnsi" w:cstheme="minorHAnsi"/>
                <w:b/>
                <w:bCs/>
                <w:noProof w:val="0"/>
                <w:color w:val="000000"/>
                <w:szCs w:val="20"/>
              </w:rPr>
              <w:t> </w:t>
            </w:r>
          </w:p>
        </w:tc>
        <w:tc>
          <w:tcPr>
            <w:tcW w:w="660" w:type="dxa"/>
            <w:tcBorders>
              <w:top w:val="nil"/>
              <w:left w:val="nil"/>
              <w:bottom w:val="single" w:sz="8" w:space="0" w:color="B5DDDC"/>
              <w:right w:val="single" w:sz="8" w:space="0" w:color="B5DDDC"/>
            </w:tcBorders>
            <w:shd w:val="clear" w:color="000000" w:fill="D6EAEB"/>
            <w:vAlign w:val="center"/>
            <w:hideMark/>
          </w:tcPr>
          <w:p w14:paraId="36FA7B5D" w14:textId="77777777" w:rsidR="006415C1" w:rsidRPr="00397A3E" w:rsidRDefault="00171C91" w:rsidP="006415C1">
            <w:pPr>
              <w:spacing w:before="0" w:after="0" w:line="240" w:lineRule="auto"/>
              <w:rPr>
                <w:rFonts w:asciiTheme="minorHAnsi" w:hAnsiTheme="minorHAnsi" w:cstheme="minorHAnsi"/>
                <w:b/>
                <w:bCs/>
                <w:noProof w:val="0"/>
                <w:color w:val="000000"/>
                <w:szCs w:val="20"/>
              </w:rPr>
            </w:pPr>
            <w:r w:rsidRPr="00397A3E">
              <w:rPr>
                <w:rFonts w:asciiTheme="minorHAnsi" w:hAnsiTheme="minorHAnsi" w:cstheme="minorHAnsi"/>
                <w:b/>
                <w:bCs/>
                <w:noProof w:val="0"/>
                <w:color w:val="000000"/>
                <w:szCs w:val="20"/>
              </w:rPr>
              <w:t> </w:t>
            </w:r>
          </w:p>
        </w:tc>
      </w:tr>
      <w:tr w:rsidR="00785848" w14:paraId="2AC41F82" w14:textId="77777777" w:rsidTr="007C7DC8">
        <w:tc>
          <w:tcPr>
            <w:tcW w:w="620" w:type="dxa"/>
            <w:tcBorders>
              <w:top w:val="single" w:sz="4" w:space="0" w:color="C6E0B4"/>
              <w:left w:val="single" w:sz="4" w:space="0" w:color="C6E0B4"/>
              <w:bottom w:val="single" w:sz="4" w:space="0" w:color="C6E0B4"/>
              <w:right w:val="single" w:sz="4" w:space="0" w:color="C6E0B4"/>
            </w:tcBorders>
            <w:noWrap/>
            <w:hideMark/>
          </w:tcPr>
          <w:p w14:paraId="47D3BEF5" w14:textId="77777777" w:rsidR="006415C1" w:rsidRPr="00397A3E" w:rsidRDefault="00171C91" w:rsidP="006415C1">
            <w:pPr>
              <w:spacing w:before="0" w:after="0" w:line="240" w:lineRule="auto"/>
              <w:jc w:val="center"/>
              <w:rPr>
                <w:rFonts w:asciiTheme="minorHAnsi" w:hAnsiTheme="minorHAnsi" w:cstheme="minorHAnsi"/>
                <w:noProof w:val="0"/>
                <w:color w:val="000000"/>
                <w:sz w:val="16"/>
                <w:szCs w:val="16"/>
              </w:rPr>
            </w:pPr>
            <w:r w:rsidRPr="00397A3E">
              <w:rPr>
                <w:rFonts w:asciiTheme="minorHAnsi" w:hAnsiTheme="minorHAnsi" w:cstheme="minorHAnsi"/>
                <w:noProof w:val="0"/>
                <w:color w:val="000000"/>
                <w:sz w:val="16"/>
                <w:szCs w:val="16"/>
              </w:rPr>
              <w:t>8</w:t>
            </w:r>
          </w:p>
        </w:tc>
        <w:tc>
          <w:tcPr>
            <w:tcW w:w="4260" w:type="dxa"/>
            <w:tcBorders>
              <w:top w:val="nil"/>
              <w:left w:val="single" w:sz="8" w:space="0" w:color="B5DDDC"/>
              <w:bottom w:val="single" w:sz="8" w:space="0" w:color="B5DDDC"/>
              <w:right w:val="single" w:sz="8" w:space="0" w:color="B5DDDC"/>
            </w:tcBorders>
            <w:vAlign w:val="center"/>
            <w:hideMark/>
          </w:tcPr>
          <w:p w14:paraId="21518576" w14:textId="77777777" w:rsidR="006415C1" w:rsidRPr="00397A3E" w:rsidRDefault="00171C91" w:rsidP="006415C1">
            <w:pPr>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Can the results be applied to the local population?</w:t>
            </w:r>
          </w:p>
        </w:tc>
        <w:tc>
          <w:tcPr>
            <w:tcW w:w="660" w:type="dxa"/>
            <w:tcBorders>
              <w:top w:val="nil"/>
              <w:left w:val="nil"/>
              <w:bottom w:val="nil"/>
              <w:right w:val="single" w:sz="8" w:space="0" w:color="B5DDDC"/>
            </w:tcBorders>
            <w:shd w:val="clear" w:color="000000" w:fill="F8CBAD"/>
            <w:vAlign w:val="center"/>
            <w:hideMark/>
          </w:tcPr>
          <w:p w14:paraId="4F79CC25" w14:textId="77777777" w:rsidR="006415C1" w:rsidRPr="00397A3E" w:rsidRDefault="00171C91" w:rsidP="006415C1">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660" w:type="dxa"/>
            <w:tcBorders>
              <w:top w:val="nil"/>
              <w:left w:val="nil"/>
              <w:bottom w:val="single" w:sz="8" w:space="0" w:color="B5DDDC"/>
              <w:right w:val="single" w:sz="8" w:space="0" w:color="B5DDDC"/>
            </w:tcBorders>
            <w:shd w:val="clear" w:color="000000" w:fill="FF0000"/>
            <w:vAlign w:val="center"/>
            <w:hideMark/>
          </w:tcPr>
          <w:p w14:paraId="0E997DD6"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nil"/>
              <w:left w:val="nil"/>
              <w:bottom w:val="single" w:sz="8" w:space="0" w:color="B5DDDC"/>
              <w:right w:val="single" w:sz="8" w:space="0" w:color="B5DDDC"/>
            </w:tcBorders>
            <w:shd w:val="clear" w:color="000000" w:fill="FF0000"/>
            <w:vAlign w:val="center"/>
            <w:hideMark/>
          </w:tcPr>
          <w:p w14:paraId="317D3EC7"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nil"/>
              <w:left w:val="nil"/>
              <w:bottom w:val="nil"/>
              <w:right w:val="single" w:sz="8" w:space="0" w:color="B5DDDC"/>
            </w:tcBorders>
            <w:shd w:val="clear" w:color="000000" w:fill="F8CBAD"/>
            <w:vAlign w:val="center"/>
            <w:hideMark/>
          </w:tcPr>
          <w:p w14:paraId="2CDE2F70" w14:textId="77777777" w:rsidR="006415C1" w:rsidRPr="00397A3E" w:rsidRDefault="00171C91" w:rsidP="006415C1">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660" w:type="dxa"/>
            <w:tcBorders>
              <w:top w:val="nil"/>
              <w:left w:val="nil"/>
              <w:bottom w:val="single" w:sz="8" w:space="0" w:color="B5DDDC"/>
              <w:right w:val="single" w:sz="8" w:space="0" w:color="B5DDDC"/>
            </w:tcBorders>
            <w:shd w:val="clear" w:color="000000" w:fill="E2EFDA"/>
            <w:vAlign w:val="center"/>
            <w:hideMark/>
          </w:tcPr>
          <w:p w14:paraId="62CE98AD" w14:textId="77777777" w:rsidR="006415C1" w:rsidRPr="00397A3E" w:rsidRDefault="00171C91" w:rsidP="006415C1">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r>
      <w:tr w:rsidR="00785848" w14:paraId="3C539C90" w14:textId="77777777" w:rsidTr="007C7DC8">
        <w:tc>
          <w:tcPr>
            <w:tcW w:w="620" w:type="dxa"/>
            <w:tcBorders>
              <w:top w:val="single" w:sz="8" w:space="0" w:color="B5DDDC"/>
              <w:left w:val="single" w:sz="8" w:space="0" w:color="B5DDDC"/>
              <w:bottom w:val="single" w:sz="8" w:space="0" w:color="B5DDDC"/>
              <w:right w:val="single" w:sz="8" w:space="0" w:color="B5DDDC"/>
            </w:tcBorders>
            <w:vAlign w:val="center"/>
            <w:hideMark/>
          </w:tcPr>
          <w:p w14:paraId="40F97EF7" w14:textId="77777777" w:rsidR="006415C1" w:rsidRPr="00397A3E" w:rsidRDefault="00171C91" w:rsidP="006415C1">
            <w:pPr>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9</w:t>
            </w:r>
          </w:p>
        </w:tc>
        <w:tc>
          <w:tcPr>
            <w:tcW w:w="4260" w:type="dxa"/>
            <w:tcBorders>
              <w:top w:val="nil"/>
              <w:left w:val="nil"/>
              <w:bottom w:val="single" w:sz="8" w:space="0" w:color="B5DDDC"/>
              <w:right w:val="single" w:sz="8" w:space="0" w:color="B5DDDC"/>
            </w:tcBorders>
            <w:vAlign w:val="center"/>
            <w:hideMark/>
          </w:tcPr>
          <w:p w14:paraId="3E88A12C" w14:textId="77777777" w:rsidR="006415C1" w:rsidRPr="00397A3E" w:rsidRDefault="00171C91" w:rsidP="006415C1">
            <w:pPr>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Were all important outcomes considered?</w:t>
            </w:r>
          </w:p>
        </w:tc>
        <w:tc>
          <w:tcPr>
            <w:tcW w:w="660" w:type="dxa"/>
            <w:tcBorders>
              <w:top w:val="single" w:sz="8" w:space="0" w:color="B5DDDC"/>
              <w:left w:val="nil"/>
              <w:bottom w:val="nil"/>
              <w:right w:val="single" w:sz="8" w:space="0" w:color="B5DDDC"/>
            </w:tcBorders>
            <w:shd w:val="clear" w:color="000000" w:fill="F8CBAD"/>
            <w:vAlign w:val="center"/>
            <w:hideMark/>
          </w:tcPr>
          <w:p w14:paraId="1A9BEDDA" w14:textId="77777777" w:rsidR="006415C1" w:rsidRPr="00397A3E" w:rsidRDefault="00171C91" w:rsidP="006415C1">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660" w:type="dxa"/>
            <w:tcBorders>
              <w:top w:val="nil"/>
              <w:left w:val="nil"/>
              <w:bottom w:val="nil"/>
              <w:right w:val="single" w:sz="8" w:space="0" w:color="B5DDDC"/>
            </w:tcBorders>
            <w:shd w:val="clear" w:color="000000" w:fill="F8CBAD"/>
            <w:vAlign w:val="center"/>
            <w:hideMark/>
          </w:tcPr>
          <w:p w14:paraId="6B008801" w14:textId="77777777" w:rsidR="006415C1" w:rsidRPr="00397A3E" w:rsidRDefault="00171C91" w:rsidP="006415C1">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660" w:type="dxa"/>
            <w:tcBorders>
              <w:top w:val="nil"/>
              <w:left w:val="nil"/>
              <w:bottom w:val="nil"/>
              <w:right w:val="single" w:sz="8" w:space="0" w:color="B5DDDC"/>
            </w:tcBorders>
            <w:shd w:val="clear" w:color="000000" w:fill="F8CBAD"/>
            <w:vAlign w:val="center"/>
            <w:hideMark/>
          </w:tcPr>
          <w:p w14:paraId="0E6E76F7" w14:textId="77777777" w:rsidR="006415C1" w:rsidRPr="00397A3E" w:rsidRDefault="00171C91" w:rsidP="006415C1">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660" w:type="dxa"/>
            <w:tcBorders>
              <w:top w:val="single" w:sz="8" w:space="0" w:color="B5DDDC"/>
              <w:left w:val="nil"/>
              <w:bottom w:val="nil"/>
              <w:right w:val="single" w:sz="8" w:space="0" w:color="B5DDDC"/>
            </w:tcBorders>
            <w:shd w:val="clear" w:color="000000" w:fill="F8CBAD"/>
            <w:vAlign w:val="center"/>
            <w:hideMark/>
          </w:tcPr>
          <w:p w14:paraId="3ED6AB16" w14:textId="77777777" w:rsidR="006415C1" w:rsidRPr="00397A3E" w:rsidRDefault="00171C91" w:rsidP="006415C1">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c>
          <w:tcPr>
            <w:tcW w:w="660" w:type="dxa"/>
            <w:tcBorders>
              <w:top w:val="nil"/>
              <w:left w:val="nil"/>
              <w:bottom w:val="single" w:sz="8" w:space="0" w:color="B5DDDC"/>
              <w:right w:val="single" w:sz="8" w:space="0" w:color="B5DDDC"/>
            </w:tcBorders>
            <w:shd w:val="clear" w:color="000000" w:fill="E2EFDA"/>
            <w:vAlign w:val="center"/>
            <w:hideMark/>
          </w:tcPr>
          <w:p w14:paraId="4C6E3E2A" w14:textId="77777777" w:rsidR="006415C1" w:rsidRPr="00397A3E" w:rsidRDefault="00171C91" w:rsidP="006415C1">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r>
      <w:tr w:rsidR="00785848" w14:paraId="4BB79546" w14:textId="77777777" w:rsidTr="007C7DC8">
        <w:tc>
          <w:tcPr>
            <w:tcW w:w="620" w:type="dxa"/>
            <w:tcBorders>
              <w:top w:val="nil"/>
              <w:left w:val="single" w:sz="8" w:space="0" w:color="B5DDDC"/>
              <w:bottom w:val="single" w:sz="8" w:space="0" w:color="B5DDDC"/>
              <w:right w:val="single" w:sz="8" w:space="0" w:color="B5DDDC"/>
            </w:tcBorders>
            <w:vAlign w:val="center"/>
            <w:hideMark/>
          </w:tcPr>
          <w:p w14:paraId="6EAA08D7" w14:textId="77777777" w:rsidR="006415C1" w:rsidRPr="00397A3E" w:rsidRDefault="00171C91" w:rsidP="006415C1">
            <w:pPr>
              <w:spacing w:before="0" w:after="0" w:line="240" w:lineRule="auto"/>
              <w:jc w:val="center"/>
              <w:rPr>
                <w:rFonts w:asciiTheme="minorHAnsi" w:hAnsiTheme="minorHAnsi" w:cstheme="minorHAnsi"/>
                <w:b/>
                <w:bCs/>
                <w:noProof w:val="0"/>
                <w:sz w:val="16"/>
                <w:szCs w:val="16"/>
              </w:rPr>
            </w:pPr>
            <w:r w:rsidRPr="00397A3E">
              <w:rPr>
                <w:rFonts w:asciiTheme="minorHAnsi" w:hAnsiTheme="minorHAnsi" w:cstheme="minorHAnsi"/>
                <w:b/>
                <w:bCs/>
                <w:noProof w:val="0"/>
                <w:sz w:val="16"/>
                <w:szCs w:val="16"/>
              </w:rPr>
              <w:t>10</w:t>
            </w:r>
          </w:p>
        </w:tc>
        <w:tc>
          <w:tcPr>
            <w:tcW w:w="4260" w:type="dxa"/>
            <w:tcBorders>
              <w:top w:val="nil"/>
              <w:left w:val="nil"/>
              <w:bottom w:val="single" w:sz="8" w:space="0" w:color="B5DDDC"/>
              <w:right w:val="single" w:sz="8" w:space="0" w:color="B5DDDC"/>
            </w:tcBorders>
            <w:vAlign w:val="center"/>
            <w:hideMark/>
          </w:tcPr>
          <w:p w14:paraId="0C2219B8" w14:textId="77777777" w:rsidR="006415C1" w:rsidRPr="00397A3E" w:rsidRDefault="00171C91" w:rsidP="006415C1">
            <w:pPr>
              <w:spacing w:before="0" w:after="0" w:line="240" w:lineRule="auto"/>
              <w:rPr>
                <w:rFonts w:asciiTheme="minorHAnsi" w:hAnsiTheme="minorHAnsi" w:cstheme="minorHAnsi"/>
                <w:noProof w:val="0"/>
                <w:sz w:val="16"/>
                <w:szCs w:val="16"/>
              </w:rPr>
            </w:pPr>
            <w:r w:rsidRPr="00397A3E">
              <w:rPr>
                <w:rFonts w:asciiTheme="minorHAnsi" w:hAnsiTheme="minorHAnsi" w:cstheme="minorHAnsi"/>
                <w:noProof w:val="0"/>
                <w:sz w:val="16"/>
                <w:szCs w:val="16"/>
              </w:rPr>
              <w:t>Are the benefits worth the harms and costs?</w:t>
            </w:r>
          </w:p>
        </w:tc>
        <w:tc>
          <w:tcPr>
            <w:tcW w:w="660" w:type="dxa"/>
            <w:tcBorders>
              <w:top w:val="single" w:sz="8" w:space="0" w:color="B5DDDC"/>
              <w:left w:val="nil"/>
              <w:bottom w:val="single" w:sz="8" w:space="0" w:color="B5DDDC"/>
              <w:right w:val="single" w:sz="8" w:space="0" w:color="B5DDDC"/>
            </w:tcBorders>
            <w:shd w:val="clear" w:color="000000" w:fill="FF0000"/>
            <w:vAlign w:val="center"/>
            <w:hideMark/>
          </w:tcPr>
          <w:p w14:paraId="134153D4"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single" w:sz="8" w:space="0" w:color="B5DDDC"/>
              <w:left w:val="nil"/>
              <w:bottom w:val="single" w:sz="8" w:space="0" w:color="B5DDDC"/>
              <w:right w:val="single" w:sz="8" w:space="0" w:color="B5DDDC"/>
            </w:tcBorders>
            <w:shd w:val="clear" w:color="000000" w:fill="FF0000"/>
            <w:vAlign w:val="center"/>
            <w:hideMark/>
          </w:tcPr>
          <w:p w14:paraId="4C39B765"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single" w:sz="8" w:space="0" w:color="B5DDDC"/>
              <w:left w:val="nil"/>
              <w:bottom w:val="single" w:sz="8" w:space="0" w:color="B5DDDC"/>
              <w:right w:val="single" w:sz="8" w:space="0" w:color="B5DDDC"/>
            </w:tcBorders>
            <w:shd w:val="clear" w:color="000000" w:fill="FF0000"/>
            <w:vAlign w:val="center"/>
            <w:hideMark/>
          </w:tcPr>
          <w:p w14:paraId="5D3D6D30"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single" w:sz="8" w:space="0" w:color="B5DDDC"/>
              <w:left w:val="nil"/>
              <w:bottom w:val="single" w:sz="8" w:space="0" w:color="B5DDDC"/>
              <w:right w:val="single" w:sz="8" w:space="0" w:color="B5DDDC"/>
            </w:tcBorders>
            <w:shd w:val="clear" w:color="000000" w:fill="FF0000"/>
            <w:vAlign w:val="center"/>
            <w:hideMark/>
          </w:tcPr>
          <w:p w14:paraId="1892BFEE"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nil"/>
              <w:left w:val="nil"/>
              <w:bottom w:val="single" w:sz="8" w:space="0" w:color="B5DDDC"/>
              <w:right w:val="single" w:sz="8" w:space="0" w:color="B5DDDC"/>
            </w:tcBorders>
            <w:shd w:val="clear" w:color="000000" w:fill="E2EFDA"/>
            <w:vAlign w:val="center"/>
            <w:hideMark/>
          </w:tcPr>
          <w:p w14:paraId="50D9B9BE" w14:textId="77777777" w:rsidR="006415C1" w:rsidRPr="00397A3E" w:rsidRDefault="00171C91" w:rsidP="006415C1">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r>
      <w:tr w:rsidR="00785848" w14:paraId="6EE35C4C" w14:textId="77777777" w:rsidTr="007C7DC8">
        <w:tc>
          <w:tcPr>
            <w:tcW w:w="620" w:type="dxa"/>
            <w:tcBorders>
              <w:top w:val="nil"/>
              <w:left w:val="single" w:sz="8" w:space="0" w:color="B5DDDC"/>
              <w:bottom w:val="single" w:sz="8" w:space="0" w:color="B5DDDC"/>
              <w:right w:val="single" w:sz="8" w:space="0" w:color="B5DDDC"/>
            </w:tcBorders>
            <w:shd w:val="clear" w:color="000000" w:fill="D6EAEB"/>
            <w:vAlign w:val="center"/>
            <w:hideMark/>
          </w:tcPr>
          <w:p w14:paraId="5CE683CE" w14:textId="77777777" w:rsidR="006415C1" w:rsidRPr="00397A3E" w:rsidRDefault="00171C91" w:rsidP="006415C1">
            <w:pPr>
              <w:spacing w:before="0" w:after="0" w:line="240" w:lineRule="auto"/>
              <w:jc w:val="center"/>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w:t>
            </w:r>
          </w:p>
        </w:tc>
        <w:tc>
          <w:tcPr>
            <w:tcW w:w="4260"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125B6CD3" w14:textId="77777777" w:rsidR="006415C1" w:rsidRPr="00397A3E" w:rsidRDefault="00171C91" w:rsidP="006415C1">
            <w:pPr>
              <w:spacing w:before="0" w:after="0" w:line="240" w:lineRule="auto"/>
              <w:rPr>
                <w:rFonts w:asciiTheme="minorHAnsi" w:hAnsiTheme="minorHAnsi" w:cstheme="minorHAnsi"/>
                <w:b/>
                <w:bCs/>
                <w:noProof w:val="0"/>
                <w:color w:val="000000"/>
                <w:sz w:val="16"/>
                <w:szCs w:val="16"/>
              </w:rPr>
            </w:pPr>
            <w:r w:rsidRPr="00397A3E">
              <w:rPr>
                <w:rFonts w:asciiTheme="minorHAnsi" w:hAnsiTheme="minorHAnsi" w:cstheme="minorHAnsi"/>
                <w:b/>
                <w:bCs/>
                <w:noProof w:val="0"/>
                <w:color w:val="000000"/>
                <w:sz w:val="16"/>
                <w:szCs w:val="16"/>
              </w:rPr>
              <w:t>Overall risk of bias rating</w:t>
            </w:r>
          </w:p>
        </w:tc>
        <w:tc>
          <w:tcPr>
            <w:tcW w:w="660" w:type="dxa"/>
            <w:tcBorders>
              <w:top w:val="single" w:sz="8" w:space="0" w:color="008000"/>
              <w:left w:val="single" w:sz="8" w:space="0" w:color="B5DDDC"/>
              <w:bottom w:val="single" w:sz="8" w:space="0" w:color="008000"/>
              <w:right w:val="single" w:sz="8" w:space="0" w:color="B5DDDC"/>
            </w:tcBorders>
            <w:shd w:val="clear" w:color="000000" w:fill="FF0000"/>
            <w:vAlign w:val="center"/>
            <w:hideMark/>
          </w:tcPr>
          <w:p w14:paraId="586A9F36"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single" w:sz="8" w:space="0" w:color="008000"/>
              <w:left w:val="nil"/>
              <w:bottom w:val="single" w:sz="8" w:space="0" w:color="008000"/>
              <w:right w:val="single" w:sz="8" w:space="0" w:color="B5DDDC"/>
            </w:tcBorders>
            <w:shd w:val="clear" w:color="000000" w:fill="FF0000"/>
            <w:vAlign w:val="center"/>
            <w:hideMark/>
          </w:tcPr>
          <w:p w14:paraId="0D6ABC2D"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single" w:sz="8" w:space="0" w:color="008000"/>
              <w:left w:val="nil"/>
              <w:bottom w:val="single" w:sz="8" w:space="0" w:color="008000"/>
              <w:right w:val="single" w:sz="8" w:space="0" w:color="B5DDDC"/>
            </w:tcBorders>
            <w:shd w:val="clear" w:color="000000" w:fill="FF0000"/>
            <w:vAlign w:val="center"/>
            <w:hideMark/>
          </w:tcPr>
          <w:p w14:paraId="52C1D0DB"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single" w:sz="8" w:space="0" w:color="008000"/>
              <w:left w:val="nil"/>
              <w:bottom w:val="single" w:sz="8" w:space="0" w:color="008000"/>
              <w:right w:val="single" w:sz="8" w:space="0" w:color="B5DDDC"/>
            </w:tcBorders>
            <w:shd w:val="clear" w:color="000000" w:fill="FF0000"/>
            <w:vAlign w:val="center"/>
            <w:hideMark/>
          </w:tcPr>
          <w:p w14:paraId="70763879" w14:textId="77777777" w:rsidR="006415C1" w:rsidRPr="00397A3E" w:rsidRDefault="00171C91" w:rsidP="006415C1">
            <w:pPr>
              <w:spacing w:before="0" w:after="0" w:line="240" w:lineRule="auto"/>
              <w:jc w:val="center"/>
              <w:rPr>
                <w:rFonts w:asciiTheme="minorHAnsi" w:hAnsiTheme="minorHAnsi" w:cstheme="minorHAnsi"/>
                <w:b/>
                <w:bCs/>
                <w:noProof w:val="0"/>
                <w:color w:val="FFFFFF"/>
                <w:szCs w:val="20"/>
              </w:rPr>
            </w:pPr>
            <w:r w:rsidRPr="00397A3E">
              <w:rPr>
                <w:rFonts w:asciiTheme="minorHAnsi" w:hAnsiTheme="minorHAnsi" w:cstheme="minorHAnsi"/>
                <w:b/>
                <w:bCs/>
                <w:noProof w:val="0"/>
                <w:color w:val="FFFFFF"/>
                <w:szCs w:val="20"/>
              </w:rPr>
              <w:t xml:space="preserve"> --</w:t>
            </w:r>
          </w:p>
        </w:tc>
        <w:tc>
          <w:tcPr>
            <w:tcW w:w="660" w:type="dxa"/>
            <w:tcBorders>
              <w:top w:val="single" w:sz="8" w:space="0" w:color="008000"/>
              <w:left w:val="nil"/>
              <w:bottom w:val="single" w:sz="8" w:space="0" w:color="008000"/>
              <w:right w:val="single" w:sz="8" w:space="0" w:color="008000"/>
            </w:tcBorders>
            <w:shd w:val="clear" w:color="000000" w:fill="E2EFDA"/>
            <w:vAlign w:val="center"/>
            <w:hideMark/>
          </w:tcPr>
          <w:p w14:paraId="02616EC6" w14:textId="77777777" w:rsidR="006415C1" w:rsidRPr="00397A3E" w:rsidRDefault="00171C91" w:rsidP="006415C1">
            <w:pPr>
              <w:spacing w:before="0" w:after="0" w:line="240" w:lineRule="auto"/>
              <w:jc w:val="center"/>
              <w:rPr>
                <w:rFonts w:asciiTheme="minorHAnsi" w:hAnsiTheme="minorHAnsi" w:cstheme="minorHAnsi"/>
                <w:b/>
                <w:bCs/>
                <w:noProof w:val="0"/>
                <w:szCs w:val="20"/>
              </w:rPr>
            </w:pPr>
            <w:r w:rsidRPr="00397A3E">
              <w:rPr>
                <w:rFonts w:asciiTheme="minorHAnsi" w:hAnsiTheme="minorHAnsi" w:cstheme="minorHAnsi"/>
                <w:b/>
                <w:bCs/>
                <w:noProof w:val="0"/>
                <w:szCs w:val="20"/>
              </w:rPr>
              <w:t xml:space="preserve"> +</w:t>
            </w:r>
          </w:p>
        </w:tc>
      </w:tr>
    </w:tbl>
    <w:p w14:paraId="5E99E9EC" w14:textId="544C431B" w:rsidR="00212BE6" w:rsidRPr="00397A3E" w:rsidRDefault="00212BE6" w:rsidP="00212BE6">
      <w:pPr>
        <w:spacing w:before="0" w:after="0" w:line="240" w:lineRule="auto"/>
        <w:rPr>
          <w:rFonts w:ascii="Calibri" w:hAnsi="Calibri" w:cs="Calibri"/>
          <w:noProof w:val="0"/>
        </w:rPr>
      </w:pPr>
    </w:p>
    <w:p w14:paraId="0CB757C6" w14:textId="17ABBE18" w:rsidR="00986BE2" w:rsidRPr="00397A3E" w:rsidRDefault="00171C91" w:rsidP="00212BE6">
      <w:pPr>
        <w:spacing w:before="0" w:after="0" w:line="240" w:lineRule="auto"/>
        <w:rPr>
          <w:rFonts w:ascii="Calibri" w:hAnsi="Calibri" w:cs="Calibri"/>
          <w:noProof w:val="0"/>
        </w:rPr>
      </w:pPr>
      <w:r w:rsidRPr="00397A3E">
        <w:rPr>
          <w:rFonts w:ascii="Calibri" w:hAnsi="Calibri" w:cs="Calibri"/>
          <w:noProof w:val="0"/>
        </w:rPr>
        <w:t xml:space="preserve">Key to </w:t>
      </w:r>
      <w:r w:rsidRPr="00397A3E">
        <w:rPr>
          <w:rFonts w:ascii="Calibri" w:hAnsi="Calibri" w:cs="Calibri"/>
          <w:noProof w:val="0"/>
        </w:rPr>
        <w:fldChar w:fldCharType="begin"/>
      </w:r>
      <w:r w:rsidRPr="00397A3E">
        <w:rPr>
          <w:rFonts w:ascii="Calibri" w:hAnsi="Calibri" w:cs="Calibri"/>
          <w:noProof w:val="0"/>
        </w:rPr>
        <w:instrText xml:space="preserve"> REF _Ref91242004 \h  \* MERGEFORMAT </w:instrText>
      </w:r>
      <w:r w:rsidRPr="00397A3E">
        <w:rPr>
          <w:rFonts w:ascii="Calibri" w:hAnsi="Calibri" w:cs="Calibri"/>
          <w:noProof w:val="0"/>
        </w:rPr>
      </w:r>
      <w:r w:rsidRPr="00397A3E">
        <w:rPr>
          <w:rFonts w:ascii="Calibri" w:hAnsi="Calibri" w:cs="Calibri"/>
          <w:noProof w:val="0"/>
        </w:rPr>
        <w:fldChar w:fldCharType="separate"/>
      </w:r>
      <w:r w:rsidR="001A0E9F" w:rsidRPr="001A0E9F">
        <w:rPr>
          <w:rFonts w:ascii="Calibri" w:hAnsi="Calibri" w:cs="Calibri"/>
          <w:noProof w:val="0"/>
        </w:rPr>
        <w:t>Table 4</w:t>
      </w:r>
      <w:r w:rsidR="001A0E9F" w:rsidRPr="001A0E9F">
        <w:rPr>
          <w:rFonts w:ascii="Calibri" w:hAnsi="Calibri" w:cs="Calibri"/>
          <w:noProof w:val="0"/>
        </w:rPr>
        <w:noBreakHyphen/>
        <w:t>3</w:t>
      </w:r>
      <w:r w:rsidRPr="00397A3E">
        <w:rPr>
          <w:rFonts w:ascii="Calibri" w:hAnsi="Calibri" w:cs="Calibri"/>
          <w:noProof w:val="0"/>
        </w:rPr>
        <w:fldChar w:fldCharType="end"/>
      </w:r>
    </w:p>
    <w:tbl>
      <w:tblPr>
        <w:tblStyle w:val="TableGrid"/>
        <w:tblW w:w="0" w:type="auto"/>
        <w:tblBorders>
          <w:top w:val="single" w:sz="8" w:space="0" w:color="B5DDDC"/>
          <w:left w:val="single" w:sz="8" w:space="0" w:color="B5DDDC"/>
          <w:bottom w:val="single" w:sz="8" w:space="0" w:color="B5DDDC"/>
          <w:right w:val="single" w:sz="8" w:space="0" w:color="B5DDDC"/>
          <w:insideH w:val="single" w:sz="8" w:space="0" w:color="B5DDDC"/>
          <w:insideV w:val="single" w:sz="8" w:space="0" w:color="B5DDDC"/>
        </w:tblBorders>
        <w:tblLook w:val="04A0" w:firstRow="1" w:lastRow="0" w:firstColumn="1" w:lastColumn="0" w:noHBand="0" w:noVBand="1"/>
      </w:tblPr>
      <w:tblGrid>
        <w:gridCol w:w="953"/>
        <w:gridCol w:w="953"/>
        <w:gridCol w:w="954"/>
        <w:gridCol w:w="954"/>
        <w:gridCol w:w="954"/>
        <w:gridCol w:w="955"/>
        <w:gridCol w:w="955"/>
        <w:gridCol w:w="955"/>
      </w:tblGrid>
      <w:tr w:rsidR="00785848" w14:paraId="52FB7540" w14:textId="77777777" w:rsidTr="0075369B">
        <w:tc>
          <w:tcPr>
            <w:tcW w:w="953" w:type="dxa"/>
            <w:shd w:val="clear" w:color="auto" w:fill="70AD47"/>
            <w:vAlign w:val="center"/>
          </w:tcPr>
          <w:p w14:paraId="51AFEB42" w14:textId="77777777" w:rsidR="00212BE6" w:rsidRPr="00397A3E" w:rsidRDefault="00171C91" w:rsidP="0075369B">
            <w:pPr>
              <w:spacing w:before="0" w:after="0" w:line="240" w:lineRule="auto"/>
              <w:jc w:val="center"/>
              <w:rPr>
                <w:rFonts w:ascii="Calibri" w:hAnsi="Calibri" w:cs="Calibri"/>
                <w:noProof w:val="0"/>
                <w:sz w:val="20"/>
                <w:szCs w:val="20"/>
              </w:rPr>
            </w:pPr>
            <w:r w:rsidRPr="00397A3E">
              <w:rPr>
                <w:rFonts w:asciiTheme="minorHAnsi" w:hAnsiTheme="minorHAnsi" w:cstheme="minorHAnsi"/>
                <w:b/>
                <w:bCs/>
                <w:noProof w:val="0"/>
                <w:color w:val="FFFFFF" w:themeColor="background1"/>
                <w:sz w:val="20"/>
                <w:szCs w:val="20"/>
              </w:rPr>
              <w:t>++</w:t>
            </w:r>
          </w:p>
        </w:tc>
        <w:tc>
          <w:tcPr>
            <w:tcW w:w="953" w:type="dxa"/>
          </w:tcPr>
          <w:p w14:paraId="64E12BB9" w14:textId="77777777" w:rsidR="00212BE6" w:rsidRPr="00397A3E" w:rsidRDefault="00171C91" w:rsidP="0075369B">
            <w:pPr>
              <w:spacing w:before="0" w:after="0" w:line="240" w:lineRule="auto"/>
              <w:jc w:val="center"/>
              <w:rPr>
                <w:rFonts w:ascii="Calibri" w:hAnsi="Calibri" w:cs="Calibri"/>
                <w:noProof w:val="0"/>
                <w:sz w:val="16"/>
                <w:szCs w:val="16"/>
              </w:rPr>
            </w:pPr>
            <w:r w:rsidRPr="00397A3E">
              <w:rPr>
                <w:rFonts w:asciiTheme="minorHAnsi" w:hAnsiTheme="minorHAnsi" w:cstheme="minorHAnsi"/>
                <w:b/>
                <w:i/>
                <w:noProof w:val="0"/>
                <w:sz w:val="16"/>
                <w:szCs w:val="16"/>
                <w:lang w:bidi="en-US"/>
              </w:rPr>
              <w:t xml:space="preserve">Definitely Low </w:t>
            </w:r>
            <w:r w:rsidRPr="00397A3E">
              <w:rPr>
                <w:rFonts w:asciiTheme="minorHAnsi" w:hAnsiTheme="minorHAnsi" w:cstheme="minorHAnsi"/>
                <w:i/>
                <w:noProof w:val="0"/>
                <w:sz w:val="16"/>
                <w:szCs w:val="16"/>
                <w:lang w:bidi="en-US"/>
              </w:rPr>
              <w:t>risk of bias</w:t>
            </w:r>
            <w:r w:rsidRPr="00397A3E">
              <w:rPr>
                <w:rFonts w:asciiTheme="minorHAnsi" w:hAnsiTheme="minorHAnsi" w:cstheme="minorHAnsi"/>
                <w:noProof w:val="0"/>
                <w:sz w:val="16"/>
                <w:szCs w:val="16"/>
                <w:lang w:bidi="en-US"/>
              </w:rPr>
              <w:t>:</w:t>
            </w:r>
          </w:p>
        </w:tc>
        <w:tc>
          <w:tcPr>
            <w:tcW w:w="954" w:type="dxa"/>
            <w:shd w:val="clear" w:color="auto" w:fill="E2EFDA"/>
            <w:vAlign w:val="center"/>
          </w:tcPr>
          <w:p w14:paraId="2D5755DD" w14:textId="77777777" w:rsidR="00212BE6" w:rsidRPr="00397A3E" w:rsidRDefault="00171C91" w:rsidP="0075369B">
            <w:pPr>
              <w:spacing w:before="0" w:after="0" w:line="240" w:lineRule="auto"/>
              <w:jc w:val="center"/>
              <w:rPr>
                <w:rFonts w:ascii="Calibri" w:hAnsi="Calibri" w:cs="Calibri"/>
                <w:noProof w:val="0"/>
                <w:sz w:val="20"/>
                <w:szCs w:val="20"/>
              </w:rPr>
            </w:pPr>
            <w:r w:rsidRPr="00397A3E">
              <w:rPr>
                <w:rFonts w:asciiTheme="minorHAnsi" w:hAnsiTheme="minorHAnsi" w:cstheme="minorHAnsi"/>
                <w:b/>
                <w:noProof w:val="0"/>
                <w:sz w:val="20"/>
                <w:szCs w:val="20"/>
                <w:lang w:bidi="en-US"/>
              </w:rPr>
              <w:t>+</w:t>
            </w:r>
          </w:p>
        </w:tc>
        <w:tc>
          <w:tcPr>
            <w:tcW w:w="954" w:type="dxa"/>
          </w:tcPr>
          <w:p w14:paraId="0A85CA38" w14:textId="77777777" w:rsidR="00212BE6" w:rsidRPr="00397A3E" w:rsidRDefault="00171C91" w:rsidP="0075369B">
            <w:pPr>
              <w:spacing w:before="0" w:after="0" w:line="240" w:lineRule="auto"/>
              <w:jc w:val="center"/>
              <w:rPr>
                <w:rFonts w:ascii="Calibri" w:hAnsi="Calibri" w:cs="Calibri"/>
                <w:noProof w:val="0"/>
                <w:sz w:val="16"/>
                <w:szCs w:val="16"/>
              </w:rPr>
            </w:pPr>
            <w:r w:rsidRPr="00397A3E">
              <w:rPr>
                <w:rFonts w:asciiTheme="minorHAnsi" w:hAnsiTheme="minorHAnsi" w:cstheme="minorHAnsi"/>
                <w:b/>
                <w:i/>
                <w:noProof w:val="0"/>
                <w:sz w:val="16"/>
                <w:szCs w:val="16"/>
                <w:lang w:bidi="en-US"/>
              </w:rPr>
              <w:t xml:space="preserve">Probably Low </w:t>
            </w:r>
            <w:r w:rsidRPr="00397A3E">
              <w:rPr>
                <w:rFonts w:asciiTheme="minorHAnsi" w:hAnsiTheme="minorHAnsi" w:cstheme="minorHAnsi"/>
                <w:i/>
                <w:noProof w:val="0"/>
                <w:sz w:val="16"/>
                <w:szCs w:val="16"/>
                <w:lang w:bidi="en-US"/>
              </w:rPr>
              <w:t>risk of bias</w:t>
            </w:r>
          </w:p>
        </w:tc>
        <w:tc>
          <w:tcPr>
            <w:tcW w:w="954" w:type="dxa"/>
            <w:shd w:val="clear" w:color="auto" w:fill="F8CBAD"/>
            <w:vAlign w:val="center"/>
          </w:tcPr>
          <w:p w14:paraId="49AB6C08" w14:textId="77777777" w:rsidR="00212BE6" w:rsidRPr="00397A3E" w:rsidRDefault="00171C91" w:rsidP="0075369B">
            <w:pPr>
              <w:spacing w:before="0" w:after="0" w:line="240" w:lineRule="auto"/>
              <w:jc w:val="center"/>
              <w:rPr>
                <w:rFonts w:ascii="Calibri" w:hAnsi="Calibri" w:cs="Calibri"/>
                <w:noProof w:val="0"/>
                <w:sz w:val="20"/>
                <w:szCs w:val="20"/>
              </w:rPr>
            </w:pPr>
            <w:r w:rsidRPr="00397A3E">
              <w:rPr>
                <w:rFonts w:asciiTheme="minorHAnsi" w:hAnsiTheme="minorHAnsi" w:cstheme="minorHAnsi"/>
                <w:b/>
                <w:noProof w:val="0"/>
                <w:sz w:val="20"/>
                <w:szCs w:val="20"/>
                <w:lang w:bidi="en-US"/>
              </w:rPr>
              <w:t>-</w:t>
            </w:r>
          </w:p>
        </w:tc>
        <w:tc>
          <w:tcPr>
            <w:tcW w:w="955" w:type="dxa"/>
          </w:tcPr>
          <w:p w14:paraId="505C56C2" w14:textId="77777777" w:rsidR="00212BE6" w:rsidRPr="00397A3E" w:rsidRDefault="00171C91" w:rsidP="0075369B">
            <w:pPr>
              <w:spacing w:before="0" w:after="0" w:line="240" w:lineRule="auto"/>
              <w:jc w:val="center"/>
              <w:rPr>
                <w:rFonts w:ascii="Calibri" w:hAnsi="Calibri" w:cs="Calibri"/>
                <w:noProof w:val="0"/>
                <w:sz w:val="16"/>
                <w:szCs w:val="16"/>
              </w:rPr>
            </w:pPr>
            <w:r w:rsidRPr="00397A3E">
              <w:rPr>
                <w:rFonts w:asciiTheme="minorHAnsi" w:hAnsiTheme="minorHAnsi" w:cstheme="minorHAnsi"/>
                <w:b/>
                <w:i/>
                <w:noProof w:val="0"/>
                <w:sz w:val="16"/>
                <w:szCs w:val="16"/>
                <w:lang w:bidi="en-US"/>
              </w:rPr>
              <w:t xml:space="preserve">Probably High </w:t>
            </w:r>
            <w:r w:rsidRPr="00397A3E">
              <w:rPr>
                <w:rFonts w:asciiTheme="minorHAnsi" w:hAnsiTheme="minorHAnsi" w:cstheme="minorHAnsi"/>
                <w:i/>
                <w:noProof w:val="0"/>
                <w:sz w:val="16"/>
                <w:szCs w:val="16"/>
                <w:lang w:bidi="en-US"/>
              </w:rPr>
              <w:t>risk of bias</w:t>
            </w:r>
            <w:r w:rsidRPr="00397A3E">
              <w:rPr>
                <w:rFonts w:asciiTheme="minorHAnsi" w:hAnsiTheme="minorHAnsi" w:cstheme="minorHAnsi"/>
                <w:noProof w:val="0"/>
                <w:sz w:val="16"/>
                <w:szCs w:val="16"/>
                <w:lang w:bidi="en-US"/>
              </w:rPr>
              <w:t>:</w:t>
            </w:r>
          </w:p>
        </w:tc>
        <w:tc>
          <w:tcPr>
            <w:tcW w:w="955" w:type="dxa"/>
            <w:shd w:val="clear" w:color="auto" w:fill="FF0000"/>
            <w:vAlign w:val="center"/>
          </w:tcPr>
          <w:p w14:paraId="017920E1" w14:textId="77777777" w:rsidR="00212BE6" w:rsidRPr="00397A3E" w:rsidRDefault="00171C91" w:rsidP="0075369B">
            <w:pPr>
              <w:spacing w:before="0" w:after="0" w:line="240" w:lineRule="auto"/>
              <w:jc w:val="center"/>
              <w:rPr>
                <w:rFonts w:ascii="Calibri" w:hAnsi="Calibri" w:cs="Calibri"/>
                <w:b/>
                <w:bCs/>
                <w:noProof w:val="0"/>
                <w:sz w:val="20"/>
                <w:szCs w:val="20"/>
              </w:rPr>
            </w:pPr>
            <w:r w:rsidRPr="00397A3E">
              <w:rPr>
                <w:rFonts w:asciiTheme="minorHAnsi" w:hAnsiTheme="minorHAnsi" w:cstheme="minorHAnsi"/>
                <w:b/>
                <w:bCs/>
                <w:noProof w:val="0"/>
                <w:color w:val="FFFFFF" w:themeColor="background1"/>
                <w:sz w:val="20"/>
                <w:szCs w:val="20"/>
              </w:rPr>
              <w:t>--</w:t>
            </w:r>
          </w:p>
        </w:tc>
        <w:tc>
          <w:tcPr>
            <w:tcW w:w="955" w:type="dxa"/>
          </w:tcPr>
          <w:p w14:paraId="1EEF0765" w14:textId="77777777" w:rsidR="00212BE6" w:rsidRPr="00397A3E" w:rsidRDefault="00171C91" w:rsidP="0075369B">
            <w:pPr>
              <w:spacing w:before="0" w:after="0" w:line="240" w:lineRule="auto"/>
              <w:jc w:val="center"/>
              <w:rPr>
                <w:rFonts w:ascii="Calibri" w:hAnsi="Calibri" w:cs="Calibri"/>
                <w:noProof w:val="0"/>
                <w:sz w:val="16"/>
                <w:szCs w:val="16"/>
              </w:rPr>
            </w:pPr>
            <w:r w:rsidRPr="00397A3E">
              <w:rPr>
                <w:rFonts w:asciiTheme="minorHAnsi" w:hAnsiTheme="minorHAnsi" w:cstheme="minorHAnsi"/>
                <w:b/>
                <w:i/>
                <w:noProof w:val="0"/>
                <w:sz w:val="16"/>
                <w:szCs w:val="16"/>
                <w:lang w:bidi="en-US"/>
              </w:rPr>
              <w:t xml:space="preserve">Definitely High </w:t>
            </w:r>
            <w:r w:rsidRPr="00397A3E">
              <w:rPr>
                <w:rFonts w:asciiTheme="minorHAnsi" w:hAnsiTheme="minorHAnsi" w:cstheme="minorHAnsi"/>
                <w:i/>
                <w:noProof w:val="0"/>
                <w:sz w:val="16"/>
                <w:szCs w:val="16"/>
                <w:lang w:bidi="en-US"/>
              </w:rPr>
              <w:t>risk of bias</w:t>
            </w:r>
            <w:r w:rsidRPr="00397A3E">
              <w:rPr>
                <w:rFonts w:asciiTheme="minorHAnsi" w:hAnsiTheme="minorHAnsi" w:cstheme="minorHAnsi"/>
                <w:noProof w:val="0"/>
                <w:sz w:val="16"/>
                <w:szCs w:val="16"/>
                <w:lang w:bidi="en-US"/>
              </w:rPr>
              <w:t>:</w:t>
            </w:r>
          </w:p>
        </w:tc>
      </w:tr>
    </w:tbl>
    <w:p w14:paraId="19BBE64E" w14:textId="37899F85" w:rsidR="00212BE6" w:rsidRPr="00397A3E" w:rsidRDefault="00171C91" w:rsidP="00212BE6">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J8: Boehm et al. (2018) Can We Swim Yet? Systematic Review, Meta-Analysis, and Risk Assessment of Aging Sewage in Surface Waters</w:t>
      </w:r>
    </w:p>
    <w:p w14:paraId="587F030B" w14:textId="77777777" w:rsidR="00212BE6" w:rsidRPr="00397A3E" w:rsidRDefault="00171C91" w:rsidP="00212BE6">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J14: Federigi et al. (2019) The application of quantitative microbial risk assessment to natural recreational waters: A review</w:t>
      </w:r>
    </w:p>
    <w:p w14:paraId="1BA4AC7E" w14:textId="77777777" w:rsidR="00212BE6" w:rsidRPr="00397A3E" w:rsidRDefault="00171C91" w:rsidP="00212BE6">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J22: Korajkic et al. (2018) Relationships between microbial indicators and pathogens in recreational water settings</w:t>
      </w:r>
    </w:p>
    <w:p w14:paraId="177A1C0B" w14:textId="77777777" w:rsidR="00212BE6" w:rsidRPr="00397A3E" w:rsidRDefault="00171C91" w:rsidP="00212BE6">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J31: Rodrigues et al. (2017) Assessment of the microbiological quality of recreational waters: indicators and methods</w:t>
      </w:r>
    </w:p>
    <w:p w14:paraId="60442357" w14:textId="4292834D" w:rsidR="00155640" w:rsidRPr="00397A3E" w:rsidRDefault="00171C91" w:rsidP="00212BE6">
      <w:pPr>
        <w:spacing w:before="0" w:after="0" w:line="240" w:lineRule="auto"/>
        <w:ind w:left="720" w:hanging="720"/>
        <w:rPr>
          <w:rFonts w:asciiTheme="minorHAnsi" w:hAnsiTheme="minorHAnsi" w:cstheme="minorHAnsi"/>
          <w:noProof w:val="0"/>
          <w:sz w:val="16"/>
          <w:szCs w:val="16"/>
        </w:rPr>
      </w:pPr>
      <w:r w:rsidRPr="00397A3E">
        <w:rPr>
          <w:rFonts w:asciiTheme="minorHAnsi" w:hAnsiTheme="minorHAnsi" w:cstheme="minorHAnsi"/>
          <w:noProof w:val="0"/>
          <w:sz w:val="16"/>
          <w:szCs w:val="16"/>
        </w:rPr>
        <w:t>J34: Russo et al. (2020) Evaluating health risks associated with exposure to ambient surface waters during recreational activities: A systematic review and meta-analysis</w:t>
      </w:r>
    </w:p>
    <w:p w14:paraId="208311D7" w14:textId="77777777" w:rsidR="00155640" w:rsidRPr="00397A3E" w:rsidRDefault="00155640" w:rsidP="00F95F63">
      <w:pPr>
        <w:rPr>
          <w:noProof w:val="0"/>
          <w:color w:val="365F91" w:themeColor="accent1" w:themeShade="BF"/>
        </w:rPr>
      </w:pPr>
    </w:p>
    <w:p w14:paraId="10BD6622" w14:textId="20F480D4" w:rsidR="004F2259" w:rsidRPr="00397A3E" w:rsidRDefault="004F2259" w:rsidP="004F2259">
      <w:pPr>
        <w:rPr>
          <w:noProof w:val="0"/>
          <w:color w:val="365F91" w:themeColor="accent1" w:themeShade="BF"/>
        </w:rPr>
      </w:pPr>
    </w:p>
    <w:p w14:paraId="4B962CE7" w14:textId="62FF7D04" w:rsidR="004179B6" w:rsidRPr="00397A3E" w:rsidRDefault="00171C91" w:rsidP="005B36E3">
      <w:pPr>
        <w:pStyle w:val="Heading1"/>
        <w:rPr>
          <w:noProof w:val="0"/>
        </w:rPr>
      </w:pPr>
      <w:bookmarkStart w:id="342" w:name="_Toc106964833"/>
      <w:r w:rsidRPr="00397A3E">
        <w:rPr>
          <w:noProof w:val="0"/>
        </w:rPr>
        <w:t>Full list of included studies</w:t>
      </w:r>
      <w:bookmarkEnd w:id="342"/>
    </w:p>
    <w:p w14:paraId="1DB8785E" w14:textId="7385FF53" w:rsidR="00036D07" w:rsidRPr="00397A3E" w:rsidRDefault="00171C91" w:rsidP="00D95B6A">
      <w:pPr>
        <w:pStyle w:val="Heading2"/>
        <w:rPr>
          <w:noProof w:val="0"/>
        </w:rPr>
      </w:pPr>
      <w:bookmarkStart w:id="343" w:name="_Ref93927725"/>
      <w:bookmarkStart w:id="344" w:name="_Toc106964834"/>
      <w:r w:rsidRPr="00397A3E">
        <w:rPr>
          <w:noProof w:val="0"/>
        </w:rPr>
        <w:t>Grey literature</w:t>
      </w:r>
      <w:bookmarkEnd w:id="343"/>
      <w:bookmarkEnd w:id="344"/>
    </w:p>
    <w:p w14:paraId="0620B8C6" w14:textId="0C000910" w:rsidR="006B157C" w:rsidRPr="00397A3E" w:rsidRDefault="00171C91" w:rsidP="00833AA5">
      <w:pPr>
        <w:rPr>
          <w:noProof w:val="0"/>
        </w:rPr>
      </w:pPr>
      <w:r w:rsidRPr="00397A3E">
        <w:rPr>
          <w:noProof w:val="0"/>
        </w:rPr>
        <w:t xml:space="preserve">The </w:t>
      </w:r>
      <w:r w:rsidR="00DA55B9" w:rsidRPr="00397A3E">
        <w:rPr>
          <w:noProof w:val="0"/>
        </w:rPr>
        <w:t>six</w:t>
      </w:r>
      <w:r w:rsidRPr="00397A3E">
        <w:rPr>
          <w:noProof w:val="0"/>
        </w:rPr>
        <w:t xml:space="preserve"> </w:t>
      </w:r>
      <w:r w:rsidR="00DA55B9" w:rsidRPr="00397A3E">
        <w:rPr>
          <w:noProof w:val="0"/>
        </w:rPr>
        <w:t>grey literature</w:t>
      </w:r>
      <w:r w:rsidRPr="00397A3E">
        <w:rPr>
          <w:noProof w:val="0"/>
        </w:rPr>
        <w:t xml:space="preserve"> documents </w:t>
      </w:r>
      <w:r w:rsidR="00DA55B9" w:rsidRPr="00397A3E">
        <w:rPr>
          <w:noProof w:val="0"/>
        </w:rPr>
        <w:t>remaining</w:t>
      </w:r>
      <w:r w:rsidR="005F4662" w:rsidRPr="00397A3E">
        <w:rPr>
          <w:noProof w:val="0"/>
        </w:rPr>
        <w:t xml:space="preserve"> </w:t>
      </w:r>
      <w:r w:rsidRPr="00397A3E">
        <w:rPr>
          <w:noProof w:val="0"/>
        </w:rPr>
        <w:t xml:space="preserve">after screening and quality assessment </w:t>
      </w:r>
      <w:r w:rsidR="00DA55B9" w:rsidRPr="00397A3E">
        <w:rPr>
          <w:noProof w:val="0"/>
        </w:rPr>
        <w:t>included</w:t>
      </w:r>
      <w:r w:rsidR="000450A9" w:rsidRPr="00397A3E">
        <w:rPr>
          <w:noProof w:val="0"/>
        </w:rPr>
        <w:t xml:space="preserve"> </w:t>
      </w:r>
      <w:r w:rsidR="00FF64AF" w:rsidRPr="00397A3E">
        <w:rPr>
          <w:noProof w:val="0"/>
        </w:rPr>
        <w:t>one</w:t>
      </w:r>
      <w:r w:rsidR="00C13585" w:rsidRPr="00397A3E">
        <w:rPr>
          <w:noProof w:val="0"/>
        </w:rPr>
        <w:t xml:space="preserve"> report on based on original research,</w:t>
      </w:r>
      <w:r w:rsidR="000450A9" w:rsidRPr="00397A3E">
        <w:rPr>
          <w:noProof w:val="0"/>
        </w:rPr>
        <w:t xml:space="preserve"> </w:t>
      </w:r>
      <w:r w:rsidR="00FF64AF" w:rsidRPr="00397A3E">
        <w:rPr>
          <w:noProof w:val="0"/>
        </w:rPr>
        <w:t>three</w:t>
      </w:r>
      <w:r w:rsidR="000450A9" w:rsidRPr="00397A3E">
        <w:rPr>
          <w:noProof w:val="0"/>
        </w:rPr>
        <w:t xml:space="preserve"> comprehensive reviews</w:t>
      </w:r>
      <w:r w:rsidR="00C13585" w:rsidRPr="00397A3E">
        <w:rPr>
          <w:noProof w:val="0"/>
        </w:rPr>
        <w:t>,</w:t>
      </w:r>
      <w:r w:rsidR="000450A9" w:rsidRPr="00397A3E">
        <w:rPr>
          <w:noProof w:val="0"/>
        </w:rPr>
        <w:t xml:space="preserve"> and </w:t>
      </w:r>
      <w:r w:rsidR="00FF64AF" w:rsidRPr="00397A3E">
        <w:rPr>
          <w:noProof w:val="0"/>
        </w:rPr>
        <w:t>two</w:t>
      </w:r>
      <w:r w:rsidR="00C13585" w:rsidRPr="00397A3E">
        <w:rPr>
          <w:noProof w:val="0"/>
        </w:rPr>
        <w:t xml:space="preserve"> guideline documents </w:t>
      </w:r>
      <w:r w:rsidR="001B4B78" w:rsidRPr="00397A3E">
        <w:rPr>
          <w:noProof w:val="0"/>
        </w:rPr>
        <w:t>(</w:t>
      </w:r>
      <w:r w:rsidR="001B4B78" w:rsidRPr="00397A3E">
        <w:rPr>
          <w:noProof w:val="0"/>
        </w:rPr>
        <w:fldChar w:fldCharType="begin"/>
      </w:r>
      <w:r w:rsidR="001B4B78" w:rsidRPr="00397A3E">
        <w:rPr>
          <w:noProof w:val="0"/>
        </w:rPr>
        <w:instrText xml:space="preserve"> REF _Ref70947379 \h </w:instrText>
      </w:r>
      <w:r w:rsidR="001B4B78" w:rsidRPr="00397A3E">
        <w:rPr>
          <w:noProof w:val="0"/>
        </w:rPr>
      </w:r>
      <w:r w:rsidR="001B4B78" w:rsidRPr="00397A3E">
        <w:rPr>
          <w:noProof w:val="0"/>
        </w:rPr>
        <w:fldChar w:fldCharType="separate"/>
      </w:r>
      <w:r w:rsidR="001A0E9F" w:rsidRPr="00397A3E">
        <w:rPr>
          <w:noProof w:val="0"/>
        </w:rPr>
        <w:t xml:space="preserve">Table </w:t>
      </w:r>
      <w:r w:rsidR="001A0E9F">
        <w:t>5</w:t>
      </w:r>
      <w:r w:rsidR="001A0E9F">
        <w:rPr>
          <w:noProof w:val="0"/>
        </w:rPr>
        <w:noBreakHyphen/>
      </w:r>
      <w:r w:rsidR="001A0E9F">
        <w:t>1</w:t>
      </w:r>
      <w:r w:rsidR="001B4B78" w:rsidRPr="00397A3E">
        <w:rPr>
          <w:noProof w:val="0"/>
        </w:rPr>
        <w:fldChar w:fldCharType="end"/>
      </w:r>
      <w:r w:rsidR="001B4B78" w:rsidRPr="00397A3E">
        <w:rPr>
          <w:noProof w:val="0"/>
        </w:rPr>
        <w:t>)</w:t>
      </w:r>
      <w:r w:rsidRPr="00397A3E">
        <w:rPr>
          <w:noProof w:val="0"/>
        </w:rPr>
        <w:t xml:space="preserve">.  </w:t>
      </w:r>
      <w:r w:rsidR="00C13585" w:rsidRPr="00397A3E">
        <w:rPr>
          <w:noProof w:val="0"/>
        </w:rPr>
        <w:t>The research report was prepared by EPA Victoria and consisted of a QMRA based on monitoring of FIB</w:t>
      </w:r>
      <w:r w:rsidR="00A0104C" w:rsidRPr="00397A3E">
        <w:rPr>
          <w:noProof w:val="0"/>
        </w:rPr>
        <w:t xml:space="preserve">, reference pathogens (virus, </w:t>
      </w:r>
      <w:r w:rsidR="00756DF8" w:rsidRPr="00397A3E">
        <w:rPr>
          <w:noProof w:val="0"/>
        </w:rPr>
        <w:t>bacteria,</w:t>
      </w:r>
      <w:r w:rsidR="00A0104C" w:rsidRPr="00397A3E">
        <w:rPr>
          <w:noProof w:val="0"/>
        </w:rPr>
        <w:t xml:space="preserve"> and protozoa) and qPCR biomarkers for human gut bacteria (human Bacteroides) focused on recreational waters in Port Phillip Bay.  </w:t>
      </w:r>
      <w:r w:rsidR="008C41B5" w:rsidRPr="00397A3E">
        <w:rPr>
          <w:noProof w:val="0"/>
        </w:rPr>
        <w:t xml:space="preserve"> </w:t>
      </w:r>
    </w:p>
    <w:p w14:paraId="5BD0E9BA" w14:textId="55AEDB51" w:rsidR="008C41B5" w:rsidRPr="00397A3E" w:rsidRDefault="00171C91" w:rsidP="00833AA5">
      <w:pPr>
        <w:rPr>
          <w:noProof w:val="0"/>
        </w:rPr>
      </w:pPr>
      <w:r w:rsidRPr="00397A3E">
        <w:rPr>
          <w:noProof w:val="0"/>
        </w:rPr>
        <w:t xml:space="preserve">The two guideline documents were the 2008 NHMRC Guidelines and the NSW DPIE 2020 Protocol for Assessment and Management of Microbial Risks in Recreational Waters.  Chapter 5 </w:t>
      </w:r>
      <w:r w:rsidR="00BB683C" w:rsidRPr="00397A3E">
        <w:rPr>
          <w:noProof w:val="0"/>
        </w:rPr>
        <w:t xml:space="preserve">(Microbial Quality of Recreational Water) </w:t>
      </w:r>
      <w:r w:rsidRPr="00397A3E">
        <w:rPr>
          <w:noProof w:val="0"/>
        </w:rPr>
        <w:t>of the NHM</w:t>
      </w:r>
      <w:r w:rsidR="0075369B">
        <w:rPr>
          <w:noProof w:val="0"/>
        </w:rPr>
        <w:t>R</w:t>
      </w:r>
      <w:r w:rsidRPr="00397A3E">
        <w:rPr>
          <w:noProof w:val="0"/>
        </w:rPr>
        <w:t xml:space="preserve">C 2008 </w:t>
      </w:r>
      <w:r w:rsidR="004D3543">
        <w:rPr>
          <w:noProof w:val="0"/>
        </w:rPr>
        <w:t>G</w:t>
      </w:r>
      <w:r w:rsidRPr="00397A3E">
        <w:rPr>
          <w:noProof w:val="0"/>
        </w:rPr>
        <w:t>uidelines deals with topics of relevance to the primary research question</w:t>
      </w:r>
      <w:r w:rsidR="005C090A">
        <w:rPr>
          <w:noProof w:val="0"/>
        </w:rPr>
        <w:t>. A</w:t>
      </w:r>
      <w:r w:rsidRPr="00397A3E">
        <w:rPr>
          <w:noProof w:val="0"/>
        </w:rPr>
        <w:t xml:space="preserve">lthough the purpose of this review </w:t>
      </w:r>
      <w:r w:rsidR="00756DF8" w:rsidRPr="00397A3E">
        <w:rPr>
          <w:noProof w:val="0"/>
        </w:rPr>
        <w:t>is</w:t>
      </w:r>
      <w:r w:rsidRPr="00397A3E">
        <w:rPr>
          <w:noProof w:val="0"/>
        </w:rPr>
        <w:t xml:space="preserve"> to support an update </w:t>
      </w:r>
      <w:r w:rsidR="005C090A">
        <w:rPr>
          <w:noProof w:val="0"/>
        </w:rPr>
        <w:t>to the Guidelines</w:t>
      </w:r>
      <w:r w:rsidRPr="00397A3E">
        <w:rPr>
          <w:noProof w:val="0"/>
        </w:rPr>
        <w:t xml:space="preserve">, the material contained in the </w:t>
      </w:r>
      <w:r w:rsidR="00967D29">
        <w:rPr>
          <w:noProof w:val="0"/>
        </w:rPr>
        <w:t>C</w:t>
      </w:r>
      <w:r w:rsidRPr="00397A3E">
        <w:rPr>
          <w:noProof w:val="0"/>
        </w:rPr>
        <w:t>hapter</w:t>
      </w:r>
      <w:r w:rsidR="00967D29">
        <w:rPr>
          <w:noProof w:val="0"/>
        </w:rPr>
        <w:t xml:space="preserve"> 5</w:t>
      </w:r>
      <w:r w:rsidRPr="00397A3E">
        <w:rPr>
          <w:noProof w:val="0"/>
        </w:rPr>
        <w:t xml:space="preserve"> could be considered to provide a baseline for reference</w:t>
      </w:r>
      <w:r w:rsidR="00967D29">
        <w:rPr>
          <w:noProof w:val="0"/>
        </w:rPr>
        <w:t xml:space="preserve"> with other guidance documents appraised in this review and to </w:t>
      </w:r>
      <w:r w:rsidR="005C090A" w:rsidRPr="005C090A">
        <w:rPr>
          <w:noProof w:val="0"/>
        </w:rPr>
        <w:t>identify areas for improvement in the updated Guidelines.</w:t>
      </w:r>
      <w:r w:rsidRPr="00397A3E">
        <w:rPr>
          <w:noProof w:val="0"/>
        </w:rPr>
        <w:t xml:space="preserve"> On that basis it was included for further review</w:t>
      </w:r>
      <w:r w:rsidR="00967D29">
        <w:rPr>
          <w:noProof w:val="0"/>
        </w:rPr>
        <w:t>, noting that the 2008 NHMRC Guidelines will be rescinded when the updated Guidelines are published</w:t>
      </w:r>
      <w:r w:rsidRPr="00397A3E">
        <w:rPr>
          <w:noProof w:val="0"/>
        </w:rPr>
        <w:t>.</w:t>
      </w:r>
    </w:p>
    <w:p w14:paraId="4EFC817D" w14:textId="302098DB" w:rsidR="00115D57" w:rsidRPr="00397A3E" w:rsidRDefault="00171C91" w:rsidP="00115D57">
      <w:pPr>
        <w:rPr>
          <w:noProof w:val="0"/>
        </w:rPr>
      </w:pPr>
      <w:r w:rsidRPr="00397A3E">
        <w:rPr>
          <w:noProof w:val="0"/>
        </w:rPr>
        <w:t xml:space="preserve">The 2020 NSW DPIE guideline provides detailed guidance for implementing Chapter 5 of the </w:t>
      </w:r>
      <w:r w:rsidR="00BB683C" w:rsidRPr="00397A3E">
        <w:rPr>
          <w:noProof w:val="0"/>
        </w:rPr>
        <w:t xml:space="preserve">2008 </w:t>
      </w:r>
      <w:r w:rsidRPr="00397A3E">
        <w:rPr>
          <w:noProof w:val="0"/>
        </w:rPr>
        <w:t xml:space="preserve">NHMRC Guidelines.  </w:t>
      </w:r>
      <w:r w:rsidR="00BB683C" w:rsidRPr="00397A3E">
        <w:rPr>
          <w:noProof w:val="0"/>
        </w:rPr>
        <w:t xml:space="preserve">Specifically, the guideline </w:t>
      </w:r>
      <w:r w:rsidRPr="00397A3E">
        <w:rPr>
          <w:noProof w:val="0"/>
        </w:rPr>
        <w:t xml:space="preserve">provides a clear and detailed practical methodology for monitoring, </w:t>
      </w:r>
      <w:r w:rsidR="00756DF8" w:rsidRPr="00397A3E">
        <w:rPr>
          <w:noProof w:val="0"/>
        </w:rPr>
        <w:t>assessing,</w:t>
      </w:r>
      <w:r w:rsidRPr="00397A3E">
        <w:rPr>
          <w:noProof w:val="0"/>
        </w:rPr>
        <w:t xml:space="preserve"> and predicting risks from diffuse and point source microbial contamination in recreational waters.  Since it augments the information in the 2008 NHMRC </w:t>
      </w:r>
      <w:r w:rsidR="004D3543">
        <w:rPr>
          <w:noProof w:val="0"/>
        </w:rPr>
        <w:t>G</w:t>
      </w:r>
      <w:r w:rsidRPr="00397A3E">
        <w:rPr>
          <w:noProof w:val="0"/>
        </w:rPr>
        <w:t xml:space="preserve">uidelines with some practical detail, it can be considered to be useful for informing the response to the primary research question, although it does not provide new </w:t>
      </w:r>
      <w:r w:rsidR="00BB683C" w:rsidRPr="00397A3E">
        <w:rPr>
          <w:noProof w:val="0"/>
        </w:rPr>
        <w:t>scientific</w:t>
      </w:r>
      <w:r w:rsidRPr="00397A3E">
        <w:rPr>
          <w:noProof w:val="0"/>
        </w:rPr>
        <w:t xml:space="preserve"> </w:t>
      </w:r>
      <w:r w:rsidR="00BB683C" w:rsidRPr="00397A3E">
        <w:rPr>
          <w:noProof w:val="0"/>
        </w:rPr>
        <w:t>information</w:t>
      </w:r>
      <w:r w:rsidRPr="00397A3E">
        <w:rPr>
          <w:noProof w:val="0"/>
        </w:rPr>
        <w:t xml:space="preserve">. </w:t>
      </w:r>
    </w:p>
    <w:p w14:paraId="2E9A919F" w14:textId="13606F6B" w:rsidR="008C41B5" w:rsidRPr="00397A3E" w:rsidRDefault="00171C91" w:rsidP="00833AA5">
      <w:pPr>
        <w:rPr>
          <w:noProof w:val="0"/>
        </w:rPr>
      </w:pPr>
      <w:r w:rsidRPr="00397A3E">
        <w:rPr>
          <w:noProof w:val="0"/>
        </w:rPr>
        <w:t xml:space="preserve">The three reviews </w:t>
      </w:r>
      <w:r w:rsidR="00756DF8" w:rsidRPr="00397A3E">
        <w:rPr>
          <w:noProof w:val="0"/>
        </w:rPr>
        <w:t xml:space="preserve">on recreational water quality were undertaken by the UK Department for Environment, Farming and Rural Affairs (DEFRA), the US EPA and WHO.  The DEFRA document examined the relationship between water quality and gastrointestinal illness. The US EPA </w:t>
      </w:r>
      <w:r w:rsidR="004806AC" w:rsidRPr="00397A3E">
        <w:rPr>
          <w:noProof w:val="0"/>
        </w:rPr>
        <w:t>document consisted of a detailed review of US 2012 Recreational Water Quality Criteria, whilst the WHO study derived recommendations based on scientific, analytical, and epidemiological developments relevant to the parameters for bathing water quality in the European Union 2006 Bathing Water Directive.</w:t>
      </w:r>
    </w:p>
    <w:p w14:paraId="7C8329D6" w14:textId="0F5E2801" w:rsidR="00B56AD2" w:rsidRPr="00397A3E" w:rsidRDefault="00171C91" w:rsidP="00B56AD2">
      <w:pPr>
        <w:pStyle w:val="Caption"/>
        <w:rPr>
          <w:noProof w:val="0"/>
        </w:rPr>
      </w:pPr>
      <w:bookmarkStart w:id="345" w:name="_Ref70947379"/>
      <w:bookmarkStart w:id="346" w:name="_Toc106964866"/>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5</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1</w:t>
      </w:r>
      <w:r w:rsidR="00F178D7">
        <w:rPr>
          <w:noProof w:val="0"/>
        </w:rPr>
        <w:fldChar w:fldCharType="end"/>
      </w:r>
      <w:bookmarkEnd w:id="345"/>
      <w:r w:rsidRPr="00397A3E">
        <w:rPr>
          <w:noProof w:val="0"/>
        </w:rPr>
        <w:t xml:space="preserve">. List of </w:t>
      </w:r>
      <w:r w:rsidR="005548B0">
        <w:rPr>
          <w:noProof w:val="0"/>
        </w:rPr>
        <w:t>grey literature</w:t>
      </w:r>
      <w:r w:rsidRPr="00397A3E">
        <w:rPr>
          <w:noProof w:val="0"/>
        </w:rPr>
        <w:t xml:space="preserve"> </w:t>
      </w:r>
      <w:r w:rsidR="005F4662" w:rsidRPr="00397A3E">
        <w:rPr>
          <w:noProof w:val="0"/>
        </w:rPr>
        <w:t xml:space="preserve">included </w:t>
      </w:r>
      <w:r w:rsidRPr="00397A3E">
        <w:rPr>
          <w:noProof w:val="0"/>
        </w:rPr>
        <w:t>after screening</w:t>
      </w:r>
      <w:r w:rsidR="00967381" w:rsidRPr="00397A3E">
        <w:rPr>
          <w:noProof w:val="0"/>
        </w:rPr>
        <w:t xml:space="preserve"> and quality assessment</w:t>
      </w:r>
      <w:bookmarkEnd w:id="346"/>
    </w:p>
    <w:tbl>
      <w:tblPr>
        <w:tblStyle w:val="EcosleftTableStyle"/>
        <w:tblW w:w="5379" w:type="pct"/>
        <w:tblInd w:w="-431" w:type="dxa"/>
        <w:tblLayout w:type="fixed"/>
        <w:tblCellMar>
          <w:left w:w="57" w:type="dxa"/>
          <w:right w:w="57" w:type="dxa"/>
        </w:tblCellMar>
        <w:tblLook w:val="04A0" w:firstRow="1" w:lastRow="0" w:firstColumn="1" w:lastColumn="0" w:noHBand="0" w:noVBand="1"/>
      </w:tblPr>
      <w:tblGrid>
        <w:gridCol w:w="1561"/>
        <w:gridCol w:w="5385"/>
        <w:gridCol w:w="1276"/>
      </w:tblGrid>
      <w:tr w:rsidR="00785848" w14:paraId="69519567" w14:textId="77777777" w:rsidTr="007858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9" w:type="pct"/>
            <w:hideMark/>
          </w:tcPr>
          <w:p w14:paraId="3FA5CB38" w14:textId="77777777" w:rsidR="008D723D" w:rsidRPr="00397A3E" w:rsidRDefault="00171C91" w:rsidP="0075369B">
            <w:pPr>
              <w:rPr>
                <w:rFonts w:asciiTheme="minorHAnsi" w:hAnsiTheme="minorHAnsi"/>
                <w:noProof w:val="0"/>
              </w:rPr>
            </w:pPr>
            <w:bookmarkStart w:id="347" w:name="_Hlk92815927"/>
            <w:r w:rsidRPr="00397A3E">
              <w:rPr>
                <w:rFonts w:asciiTheme="minorHAnsi" w:hAnsiTheme="minorHAnsi"/>
                <w:noProof w:val="0"/>
              </w:rPr>
              <w:t>ID</w:t>
            </w:r>
          </w:p>
        </w:tc>
        <w:tc>
          <w:tcPr>
            <w:tcW w:w="3275" w:type="pct"/>
            <w:hideMark/>
          </w:tcPr>
          <w:p w14:paraId="5672002E" w14:textId="77777777" w:rsidR="008D723D" w:rsidRPr="00397A3E" w:rsidRDefault="00171C91" w:rsidP="0075369B">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noProof w:val="0"/>
                <w:szCs w:val="16"/>
              </w:rPr>
            </w:pPr>
            <w:r w:rsidRPr="00397A3E">
              <w:rPr>
                <w:rFonts w:ascii="Calibri" w:hAnsi="Calibri"/>
                <w:noProof w:val="0"/>
                <w:szCs w:val="16"/>
              </w:rPr>
              <w:t>Title</w:t>
            </w:r>
          </w:p>
        </w:tc>
        <w:tc>
          <w:tcPr>
            <w:tcW w:w="776" w:type="pct"/>
            <w:hideMark/>
          </w:tcPr>
          <w:p w14:paraId="6E7DC092" w14:textId="77777777" w:rsidR="008D723D" w:rsidRPr="00397A3E" w:rsidRDefault="00171C91" w:rsidP="0075369B">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noProof w:val="0"/>
                <w:szCs w:val="16"/>
              </w:rPr>
            </w:pPr>
            <w:r w:rsidRPr="00397A3E">
              <w:rPr>
                <w:rFonts w:ascii="Calibri" w:hAnsi="Calibri"/>
                <w:noProof w:val="0"/>
                <w:szCs w:val="16"/>
              </w:rPr>
              <w:t>Type of Study</w:t>
            </w:r>
          </w:p>
        </w:tc>
      </w:tr>
      <w:tr w:rsidR="00785848" w14:paraId="76A04837" w14:textId="77777777" w:rsidTr="00785848">
        <w:tc>
          <w:tcPr>
            <w:cnfStyle w:val="001000000000" w:firstRow="0" w:lastRow="0" w:firstColumn="1" w:lastColumn="0" w:oddVBand="0" w:evenVBand="0" w:oddHBand="0" w:evenHBand="0" w:firstRowFirstColumn="0" w:firstRowLastColumn="0" w:lastRowFirstColumn="0" w:lastRowLastColumn="0"/>
            <w:tcW w:w="949" w:type="pct"/>
          </w:tcPr>
          <w:p w14:paraId="79DD6DB3" w14:textId="77777777" w:rsidR="008D723D" w:rsidRPr="00397A3E" w:rsidRDefault="00171C91" w:rsidP="0075369B">
            <w:pPr>
              <w:spacing w:before="40" w:after="40" w:line="240" w:lineRule="auto"/>
              <w:rPr>
                <w:rFonts w:ascii="Calibri" w:hAnsi="Calibri"/>
                <w:bCs/>
                <w:noProof w:val="0"/>
                <w:color w:val="000000"/>
                <w:szCs w:val="16"/>
              </w:rPr>
            </w:pPr>
            <w:r w:rsidRPr="00397A3E">
              <w:rPr>
                <w:rFonts w:ascii="Calibri" w:hAnsi="Calibri" w:cs="Calibri"/>
                <w:noProof w:val="0"/>
                <w:color w:val="000000"/>
                <w:szCs w:val="16"/>
              </w:rPr>
              <w:t xml:space="preserve">G3: </w:t>
            </w:r>
            <w:r w:rsidRPr="00397A3E">
              <w:rPr>
                <w:rFonts w:ascii="Calibri" w:hAnsi="Calibri" w:cs="Calibri"/>
                <w:noProof w:val="0"/>
                <w:color w:val="000000"/>
                <w:szCs w:val="16"/>
              </w:rPr>
              <w:fldChar w:fldCharType="begin"/>
            </w:r>
            <w:r w:rsidRPr="00397A3E">
              <w:rPr>
                <w:rFonts w:ascii="Calibri" w:hAnsi="Calibri" w:cs="Calibri"/>
                <w:noProof w:val="0"/>
                <w:color w:val="000000"/>
                <w:szCs w:val="16"/>
              </w:rPr>
              <w:instrText xml:space="preserve"> ADDIN ZOTERO_ITEM CSL_CITATION {"citationID":"766iLynl","properties":{"custom":"EPA Victoria (2021)","formattedCitation":"EPA Victoria (2021)","plainCitation":"EPA Victoria (2021)","noteIndex":0},"citationItems":[{"id":17578,"uris":["http://zotero.org/users/148142/items/HPITMMGC"],"uri":["http://zotero.org/users/148142/items/HPITMMGC"],"itemData":{"id":17578,"type":"report","publisher":"Environment Protection Authority, Victoria","title":"Quantitative Microbial Risk Assessment (QMRA) for assessing risks to recreational users in Port Phillip Bay. EPA Publication 2007, June 2021","author":[{"literal":"EPA Victoria"}],"issued":{"date-parts":[["2021"]]}}}],"schema":"https://github.com/citation-style-language/schema/raw/master/csl-citation.json"} </w:instrText>
            </w:r>
            <w:r w:rsidRPr="00397A3E">
              <w:rPr>
                <w:rFonts w:ascii="Calibri" w:hAnsi="Calibri" w:cs="Calibri"/>
                <w:noProof w:val="0"/>
                <w:color w:val="000000"/>
                <w:szCs w:val="16"/>
              </w:rPr>
              <w:fldChar w:fldCharType="separate"/>
            </w:r>
            <w:r w:rsidRPr="00397A3E">
              <w:rPr>
                <w:rFonts w:ascii="Calibri" w:hAnsi="Calibri" w:cs="Calibri"/>
                <w:noProof w:val="0"/>
              </w:rPr>
              <w:t>EPA Victoria (2021)</w:t>
            </w:r>
            <w:r w:rsidRPr="00397A3E">
              <w:rPr>
                <w:rFonts w:ascii="Calibri" w:hAnsi="Calibri" w:cs="Calibri"/>
                <w:noProof w:val="0"/>
                <w:color w:val="000000"/>
                <w:szCs w:val="16"/>
              </w:rPr>
              <w:fldChar w:fldCharType="end"/>
            </w:r>
          </w:p>
        </w:tc>
        <w:tc>
          <w:tcPr>
            <w:tcW w:w="3275" w:type="pct"/>
            <w:vAlign w:val="bottom"/>
          </w:tcPr>
          <w:p w14:paraId="3EC671B3" w14:textId="77777777" w:rsidR="008D723D" w:rsidRPr="00397A3E" w:rsidRDefault="00171C91" w:rsidP="0075369B">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noProof w:val="0"/>
                <w:color w:val="000000"/>
                <w:szCs w:val="16"/>
              </w:rPr>
            </w:pPr>
            <w:r w:rsidRPr="00397A3E">
              <w:rPr>
                <w:rFonts w:ascii="Calibri" w:hAnsi="Calibri" w:cs="Calibri"/>
                <w:noProof w:val="0"/>
                <w:color w:val="000000"/>
                <w:szCs w:val="16"/>
              </w:rPr>
              <w:t>EPA Victoria, 2021. Quantitative Microbial Risk Assessment (QMRA) for assessing risks to recreational users in Port Phillip Bay. EPA Publication 2007, June 2021. Environment Protection Authority, Victoria.</w:t>
            </w:r>
          </w:p>
        </w:tc>
        <w:tc>
          <w:tcPr>
            <w:tcW w:w="776" w:type="pct"/>
          </w:tcPr>
          <w:p w14:paraId="5E04BBAA" w14:textId="77777777" w:rsidR="008D723D" w:rsidRPr="00397A3E" w:rsidRDefault="00171C91" w:rsidP="0075369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noProof w:val="0"/>
                <w:szCs w:val="16"/>
              </w:rPr>
            </w:pPr>
            <w:r w:rsidRPr="00397A3E">
              <w:rPr>
                <w:rFonts w:ascii="Calibri" w:hAnsi="Calibri"/>
                <w:bCs/>
                <w:noProof w:val="0"/>
                <w:szCs w:val="16"/>
              </w:rPr>
              <w:t>Report</w:t>
            </w:r>
          </w:p>
        </w:tc>
      </w:tr>
      <w:tr w:rsidR="00785848" w14:paraId="4AFE9F0B" w14:textId="77777777" w:rsidTr="00785848">
        <w:tc>
          <w:tcPr>
            <w:cnfStyle w:val="001000000000" w:firstRow="0" w:lastRow="0" w:firstColumn="1" w:lastColumn="0" w:oddVBand="0" w:evenVBand="0" w:oddHBand="0" w:evenHBand="0" w:firstRowFirstColumn="0" w:firstRowLastColumn="0" w:lastRowFirstColumn="0" w:lastRowLastColumn="0"/>
            <w:tcW w:w="949" w:type="pct"/>
          </w:tcPr>
          <w:p w14:paraId="7DFF4F8D" w14:textId="77777777" w:rsidR="008D723D" w:rsidRPr="00397A3E" w:rsidRDefault="00171C91" w:rsidP="0075369B">
            <w:pPr>
              <w:spacing w:before="40" w:after="40" w:line="240" w:lineRule="auto"/>
              <w:rPr>
                <w:rFonts w:ascii="Calibri" w:hAnsi="Calibri"/>
                <w:bCs/>
                <w:noProof w:val="0"/>
                <w:color w:val="000000"/>
                <w:szCs w:val="16"/>
              </w:rPr>
            </w:pPr>
            <w:bookmarkStart w:id="348" w:name="_Hlk92806037"/>
            <w:r w:rsidRPr="00397A3E">
              <w:rPr>
                <w:rFonts w:ascii="Calibri" w:hAnsi="Calibri" w:cs="Calibri"/>
                <w:noProof w:val="0"/>
                <w:color w:val="000000"/>
                <w:szCs w:val="16"/>
              </w:rPr>
              <w:t xml:space="preserve">G4: </w:t>
            </w:r>
            <w:r w:rsidRPr="00397A3E">
              <w:rPr>
                <w:rFonts w:ascii="Calibri" w:hAnsi="Calibri"/>
                <w:bCs/>
                <w:noProof w:val="0"/>
                <w:color w:val="000000"/>
                <w:szCs w:val="16"/>
              </w:rPr>
              <w:fldChar w:fldCharType="begin"/>
            </w:r>
            <w:r w:rsidRPr="00397A3E">
              <w:rPr>
                <w:rFonts w:ascii="Calibri" w:hAnsi="Calibri"/>
                <w:bCs/>
                <w:noProof w:val="0"/>
                <w:color w:val="000000"/>
                <w:szCs w:val="16"/>
              </w:rPr>
              <w:instrText xml:space="preserve"> ADDIN ZOTERO_ITEM CSL_CITATION {"citationID":"VjI0h5CI","properties":{"custom":"King et al. (2014)","formattedCitation":"King et al. (2014)","plainCitation":"King et al. (2014)","noteIndex":0},"citationItems":[{"id":15773,"uris":["http://zotero.org/users/148142/items/LATIBYWS"],"uri":["http://zotero.org/users/148142/items/LATIBYWS"],"itemData":{"id":15773,"type":"report","event-place":"United Kingdom","publisher":"Department of Environment, Food and Rural Affairs (DEFRA)","publisher-place":"United Kingdom","title":"The health risks of bathing in recreational waters. A rapid evidence assessment of water quality and gastrointestinal illness. Final report WT1530. A report of research carried out by RAND Europe, on behalf of the UK Department for Environment, Farming and Rural Affairs (DEFRA)","URL":"https://www.rand.org/content/dam/rand/pubs/research_reports/RR600/RR698/RAND_RR698.pdf","author":[{"family":"King","given":"Sarah"},{"family":"Exley","given":"Josephine"},{"family":"Winpenny","given":"Eleanor"},{"family":"Alves","given":"Lottie"},{"family":"Henham","given":"Marie-Louise"},{"family":"Larkin","given":"Jody"}],"issued":{"date-parts":[["2014"]]}}}],"schema":"https://github.com/citation-style-language/schema/raw/master/csl-citation.json"} </w:instrText>
            </w:r>
            <w:r w:rsidRPr="00397A3E">
              <w:rPr>
                <w:rFonts w:ascii="Calibri" w:hAnsi="Calibri"/>
                <w:bCs/>
                <w:noProof w:val="0"/>
                <w:color w:val="000000"/>
                <w:szCs w:val="16"/>
              </w:rPr>
              <w:fldChar w:fldCharType="separate"/>
            </w:r>
            <w:r w:rsidRPr="00397A3E">
              <w:rPr>
                <w:rFonts w:ascii="Calibri" w:hAnsi="Calibri" w:cs="Calibri"/>
                <w:noProof w:val="0"/>
              </w:rPr>
              <w:t>King et al. (2014)</w:t>
            </w:r>
            <w:r w:rsidRPr="00397A3E">
              <w:rPr>
                <w:rFonts w:ascii="Calibri" w:hAnsi="Calibri"/>
                <w:bCs/>
                <w:noProof w:val="0"/>
                <w:color w:val="000000"/>
                <w:szCs w:val="16"/>
              </w:rPr>
              <w:fldChar w:fldCharType="end"/>
            </w:r>
          </w:p>
        </w:tc>
        <w:tc>
          <w:tcPr>
            <w:tcW w:w="3275" w:type="pct"/>
            <w:vAlign w:val="bottom"/>
          </w:tcPr>
          <w:p w14:paraId="469BD1E1" w14:textId="77777777" w:rsidR="008D723D" w:rsidRPr="00397A3E" w:rsidRDefault="00171C91" w:rsidP="0075369B">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noProof w:val="0"/>
                <w:color w:val="000000"/>
                <w:szCs w:val="16"/>
              </w:rPr>
            </w:pPr>
            <w:r w:rsidRPr="00397A3E">
              <w:rPr>
                <w:rFonts w:ascii="Calibri" w:hAnsi="Calibri" w:cs="Calibri"/>
                <w:noProof w:val="0"/>
                <w:color w:val="000000"/>
                <w:szCs w:val="16"/>
              </w:rPr>
              <w:t>King, S., Exley, J., Winpenny, E., Alves, L., Henham, M.-L., Larkin, J., 2014. The health risks of bathing in recreational waters. A rapid evidence assessment of water quality and gastrointestinal illness. Final report WT1530. A report of research carried out by RAND Europe, on behalf of the UK Department for Environment, Farming and Rural Affairs (DEFRA). United Kingdom.</w:t>
            </w:r>
          </w:p>
        </w:tc>
        <w:tc>
          <w:tcPr>
            <w:tcW w:w="776" w:type="pct"/>
          </w:tcPr>
          <w:p w14:paraId="62CF6FBD" w14:textId="77777777" w:rsidR="008D723D" w:rsidRPr="00397A3E" w:rsidRDefault="00171C91" w:rsidP="0075369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noProof w:val="0"/>
                <w:szCs w:val="16"/>
              </w:rPr>
            </w:pPr>
            <w:r w:rsidRPr="00397A3E">
              <w:rPr>
                <w:rFonts w:ascii="Calibri" w:hAnsi="Calibri"/>
                <w:bCs/>
                <w:noProof w:val="0"/>
                <w:szCs w:val="16"/>
              </w:rPr>
              <w:t>Review</w:t>
            </w:r>
          </w:p>
        </w:tc>
      </w:tr>
      <w:tr w:rsidR="00785848" w14:paraId="55E9148B" w14:textId="77777777" w:rsidTr="00785848">
        <w:tc>
          <w:tcPr>
            <w:cnfStyle w:val="001000000000" w:firstRow="0" w:lastRow="0" w:firstColumn="1" w:lastColumn="0" w:oddVBand="0" w:evenVBand="0" w:oddHBand="0" w:evenHBand="0" w:firstRowFirstColumn="0" w:firstRowLastColumn="0" w:lastRowFirstColumn="0" w:lastRowLastColumn="0"/>
            <w:tcW w:w="949" w:type="pct"/>
          </w:tcPr>
          <w:p w14:paraId="25284CBA" w14:textId="77777777" w:rsidR="008D723D" w:rsidRPr="00397A3E" w:rsidRDefault="00171C91" w:rsidP="0075369B">
            <w:pPr>
              <w:spacing w:before="40" w:after="40" w:line="240" w:lineRule="auto"/>
              <w:rPr>
                <w:rFonts w:ascii="Calibri" w:hAnsi="Calibri"/>
                <w:bCs/>
                <w:noProof w:val="0"/>
                <w:color w:val="000000"/>
                <w:szCs w:val="16"/>
              </w:rPr>
            </w:pPr>
            <w:bookmarkStart w:id="349" w:name="_Hlk92809872"/>
            <w:bookmarkEnd w:id="348"/>
            <w:r w:rsidRPr="00397A3E">
              <w:rPr>
                <w:rFonts w:ascii="Calibri" w:hAnsi="Calibri" w:cs="Calibri"/>
                <w:noProof w:val="0"/>
                <w:color w:val="000000"/>
                <w:szCs w:val="16"/>
              </w:rPr>
              <w:t xml:space="preserve">G8: </w:t>
            </w:r>
            <w:r w:rsidRPr="00397A3E">
              <w:rPr>
                <w:rFonts w:ascii="Calibri" w:hAnsi="Calibri"/>
                <w:bCs/>
                <w:noProof w:val="0"/>
                <w:color w:val="000000"/>
                <w:szCs w:val="16"/>
              </w:rPr>
              <w:fldChar w:fldCharType="begin"/>
            </w:r>
            <w:r w:rsidRPr="00397A3E">
              <w:rPr>
                <w:rFonts w:ascii="Calibri" w:hAnsi="Calibri"/>
                <w:bCs/>
                <w:noProof w:val="0"/>
                <w:color w:val="000000"/>
                <w:szCs w:val="16"/>
              </w:rPr>
              <w:instrText xml:space="preserve"> ADDIN ZOTERO_ITEM CSL_CITATION {"citationID":"rDu64nI3","properties":{"custom":"NHMRC (2008)","formattedCitation":"NHMRC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397A3E">
              <w:rPr>
                <w:rFonts w:ascii="Calibri" w:hAnsi="Calibri"/>
                <w:bCs/>
                <w:noProof w:val="0"/>
                <w:color w:val="000000"/>
                <w:szCs w:val="16"/>
              </w:rPr>
              <w:fldChar w:fldCharType="separate"/>
            </w:r>
            <w:r w:rsidRPr="00397A3E">
              <w:rPr>
                <w:rFonts w:ascii="Calibri" w:hAnsi="Calibri" w:cs="Calibri"/>
                <w:noProof w:val="0"/>
              </w:rPr>
              <w:t>NHMRC (2008)</w:t>
            </w:r>
            <w:r w:rsidRPr="00397A3E">
              <w:rPr>
                <w:rFonts w:ascii="Calibri" w:hAnsi="Calibri"/>
                <w:bCs/>
                <w:noProof w:val="0"/>
                <w:color w:val="000000"/>
                <w:szCs w:val="16"/>
              </w:rPr>
              <w:fldChar w:fldCharType="end"/>
            </w:r>
          </w:p>
        </w:tc>
        <w:tc>
          <w:tcPr>
            <w:tcW w:w="3275" w:type="pct"/>
            <w:vAlign w:val="bottom"/>
          </w:tcPr>
          <w:p w14:paraId="16144C59" w14:textId="77777777" w:rsidR="008D723D" w:rsidRPr="00397A3E" w:rsidRDefault="00171C91" w:rsidP="0075369B">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noProof w:val="0"/>
                <w:color w:val="000000"/>
                <w:szCs w:val="16"/>
              </w:rPr>
            </w:pPr>
            <w:r w:rsidRPr="00397A3E">
              <w:rPr>
                <w:rFonts w:ascii="Calibri" w:hAnsi="Calibri" w:cs="Calibri"/>
                <w:noProof w:val="0"/>
                <w:color w:val="000000"/>
                <w:szCs w:val="16"/>
              </w:rPr>
              <w:t>NHMRC, 2008. Guidelines for managing risks in recreational water. National Health and Medical Research Council (Australia).</w:t>
            </w:r>
          </w:p>
        </w:tc>
        <w:tc>
          <w:tcPr>
            <w:tcW w:w="776" w:type="pct"/>
          </w:tcPr>
          <w:p w14:paraId="23C19E78" w14:textId="77777777" w:rsidR="008D723D" w:rsidRPr="00397A3E" w:rsidRDefault="00171C91" w:rsidP="0075369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noProof w:val="0"/>
                <w:szCs w:val="16"/>
              </w:rPr>
            </w:pPr>
            <w:r w:rsidRPr="00397A3E">
              <w:rPr>
                <w:rFonts w:ascii="Calibri" w:hAnsi="Calibri"/>
                <w:bCs/>
                <w:noProof w:val="0"/>
                <w:szCs w:val="16"/>
              </w:rPr>
              <w:t>Guidelines</w:t>
            </w:r>
          </w:p>
        </w:tc>
      </w:tr>
      <w:bookmarkEnd w:id="349"/>
      <w:tr w:rsidR="00785848" w14:paraId="37F2DCE3" w14:textId="77777777" w:rsidTr="00785848">
        <w:tc>
          <w:tcPr>
            <w:cnfStyle w:val="001000000000" w:firstRow="0" w:lastRow="0" w:firstColumn="1" w:lastColumn="0" w:oddVBand="0" w:evenVBand="0" w:oddHBand="0" w:evenHBand="0" w:firstRowFirstColumn="0" w:firstRowLastColumn="0" w:lastRowFirstColumn="0" w:lastRowLastColumn="0"/>
            <w:tcW w:w="949" w:type="pct"/>
          </w:tcPr>
          <w:p w14:paraId="69C6061D" w14:textId="77777777" w:rsidR="008D723D" w:rsidRPr="00397A3E" w:rsidRDefault="00171C91" w:rsidP="0075369B">
            <w:pPr>
              <w:spacing w:before="40" w:after="40" w:line="240" w:lineRule="auto"/>
              <w:rPr>
                <w:rFonts w:ascii="Calibri" w:hAnsi="Calibri"/>
                <w:bCs/>
                <w:noProof w:val="0"/>
                <w:color w:val="000000"/>
                <w:szCs w:val="16"/>
              </w:rPr>
            </w:pPr>
            <w:r w:rsidRPr="00397A3E">
              <w:rPr>
                <w:rFonts w:ascii="Calibri" w:hAnsi="Calibri" w:cs="Calibri"/>
                <w:noProof w:val="0"/>
                <w:color w:val="000000"/>
                <w:szCs w:val="16"/>
              </w:rPr>
              <w:t xml:space="preserve">G11: </w:t>
            </w:r>
            <w:r w:rsidRPr="00397A3E">
              <w:rPr>
                <w:rFonts w:ascii="Calibri" w:hAnsi="Calibri"/>
                <w:bCs/>
                <w:noProof w:val="0"/>
                <w:color w:val="000000"/>
                <w:szCs w:val="16"/>
              </w:rPr>
              <w:fldChar w:fldCharType="begin"/>
            </w:r>
            <w:r w:rsidRPr="00397A3E">
              <w:rPr>
                <w:rFonts w:ascii="Calibri" w:hAnsi="Calibri"/>
                <w:bCs/>
                <w:noProof w:val="0"/>
                <w:color w:val="000000"/>
                <w:szCs w:val="16"/>
              </w:rPr>
              <w:instrText xml:space="preserve"> ADDIN ZOTERO_ITEM CSL_CITATION {"citationID":"wyHwJ1Pa","properties":{"custom":"NSW DPIE (2020)","formattedCitation":"NSW DPIE (2020)","plainCitation":"NSW DPIE (2020)","noteIndex":0},"citationItems":[{"id":16395,"uris":["http://zotero.org/users/148142/items/22QWBZGS"],"uri":["http://zotero.org/users/148142/items/22QWBZGS"],"itemData":{"id":16395,"type":"report","page":"88","title":"Protocol for Assessment and Management of Microbial Risks in Recreational Waters. NSW Department of Planning, Industry &amp; Environment","URL":"https://www.environment.nsw.gov.au/research-and-publications/publications-search/protocol-for-assessment-and-management-of-microbial-risks-in-recreational-waters.","author":[{"literal":"NSW DPIE"}],"issued":{"date-parts":[["2020"]]}}}],"schema":"https://github.com/citation-style-language/schema/raw/master/csl-citation.json"} </w:instrText>
            </w:r>
            <w:r w:rsidRPr="00397A3E">
              <w:rPr>
                <w:rFonts w:ascii="Calibri" w:hAnsi="Calibri"/>
                <w:bCs/>
                <w:noProof w:val="0"/>
                <w:color w:val="000000"/>
                <w:szCs w:val="16"/>
              </w:rPr>
              <w:fldChar w:fldCharType="separate"/>
            </w:r>
            <w:r w:rsidRPr="00397A3E">
              <w:rPr>
                <w:rFonts w:ascii="Calibri" w:hAnsi="Calibri" w:cs="Calibri"/>
                <w:noProof w:val="0"/>
              </w:rPr>
              <w:t>NSW DPIE (2020)</w:t>
            </w:r>
            <w:r w:rsidRPr="00397A3E">
              <w:rPr>
                <w:rFonts w:ascii="Calibri" w:hAnsi="Calibri"/>
                <w:bCs/>
                <w:noProof w:val="0"/>
                <w:color w:val="000000"/>
                <w:szCs w:val="16"/>
              </w:rPr>
              <w:fldChar w:fldCharType="end"/>
            </w:r>
          </w:p>
        </w:tc>
        <w:tc>
          <w:tcPr>
            <w:tcW w:w="3275" w:type="pct"/>
            <w:vAlign w:val="bottom"/>
          </w:tcPr>
          <w:p w14:paraId="6CE57CC5" w14:textId="77777777" w:rsidR="008D723D" w:rsidRPr="00397A3E" w:rsidRDefault="00171C91" w:rsidP="0075369B">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noProof w:val="0"/>
                <w:color w:val="000000"/>
                <w:szCs w:val="16"/>
              </w:rPr>
            </w:pPr>
            <w:r w:rsidRPr="00397A3E">
              <w:rPr>
                <w:rFonts w:ascii="Calibri" w:hAnsi="Calibri" w:cs="Calibri"/>
                <w:noProof w:val="0"/>
                <w:color w:val="000000"/>
                <w:szCs w:val="16"/>
              </w:rPr>
              <w:t xml:space="preserve">NSW DPIE, 2020. Protocol for Assessment and Management of Microbial Risks in Recreational Waters. NSW Department of Planning, Industry &amp; Environment, [online] </w:t>
            </w:r>
          </w:p>
        </w:tc>
        <w:tc>
          <w:tcPr>
            <w:tcW w:w="776" w:type="pct"/>
          </w:tcPr>
          <w:p w14:paraId="3AF08388" w14:textId="77777777" w:rsidR="008D723D" w:rsidRPr="00397A3E" w:rsidRDefault="00171C91" w:rsidP="0075369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noProof w:val="0"/>
                <w:szCs w:val="16"/>
              </w:rPr>
            </w:pPr>
            <w:r w:rsidRPr="00397A3E">
              <w:rPr>
                <w:rFonts w:ascii="Calibri" w:hAnsi="Calibri"/>
                <w:bCs/>
                <w:noProof w:val="0"/>
                <w:szCs w:val="16"/>
              </w:rPr>
              <w:t>Guidelines</w:t>
            </w:r>
          </w:p>
        </w:tc>
      </w:tr>
      <w:tr w:rsidR="00785848" w14:paraId="7CC3A365" w14:textId="77777777" w:rsidTr="00785848">
        <w:tc>
          <w:tcPr>
            <w:cnfStyle w:val="001000000000" w:firstRow="0" w:lastRow="0" w:firstColumn="1" w:lastColumn="0" w:oddVBand="0" w:evenVBand="0" w:oddHBand="0" w:evenHBand="0" w:firstRowFirstColumn="0" w:firstRowLastColumn="0" w:lastRowFirstColumn="0" w:lastRowLastColumn="0"/>
            <w:tcW w:w="949" w:type="pct"/>
          </w:tcPr>
          <w:p w14:paraId="7B10BA31" w14:textId="77777777" w:rsidR="008D723D" w:rsidRPr="00397A3E" w:rsidRDefault="00171C91" w:rsidP="0075369B">
            <w:pPr>
              <w:spacing w:before="40" w:after="40" w:line="240" w:lineRule="auto"/>
              <w:rPr>
                <w:rFonts w:ascii="Calibri" w:hAnsi="Calibri"/>
                <w:bCs/>
                <w:noProof w:val="0"/>
                <w:color w:val="000000"/>
                <w:szCs w:val="16"/>
              </w:rPr>
            </w:pPr>
            <w:r w:rsidRPr="00397A3E">
              <w:rPr>
                <w:rFonts w:ascii="Calibri" w:hAnsi="Calibri" w:cs="Calibri"/>
                <w:noProof w:val="0"/>
                <w:color w:val="000000"/>
                <w:szCs w:val="16"/>
              </w:rPr>
              <w:t xml:space="preserve">G13: </w:t>
            </w:r>
            <w:r w:rsidRPr="00397A3E">
              <w:rPr>
                <w:rFonts w:ascii="Calibri" w:hAnsi="Calibri"/>
                <w:bCs/>
                <w:noProof w:val="0"/>
                <w:color w:val="000000"/>
                <w:szCs w:val="16"/>
              </w:rPr>
              <w:fldChar w:fldCharType="begin"/>
            </w:r>
            <w:r w:rsidRPr="00397A3E">
              <w:rPr>
                <w:rFonts w:ascii="Calibri" w:hAnsi="Calibri"/>
                <w:bCs/>
                <w:noProof w:val="0"/>
                <w:color w:val="000000"/>
                <w:szCs w:val="16"/>
              </w:rPr>
              <w:instrText xml:space="preserve"> ADDIN ZOTERO_ITEM CSL_CITATION {"citationID":"XSfWLN5H","properties":{"custom":"US EPA (2017)","formattedCitation":"US EPA (2017)","plainCitation":"US EPA (2017)","noteIndex":0},"citationItems":[{"id":15763,"uris":["http://zotero.org/users/148142/items/BR87QUJ3"],"uri":["http://zotero.org/users/148142/items/BR87QUJ3"],"itemData":{"id":15763,"type":"report","event-place":"Washington, DC, United States","number":"Office of Water 823-R-18-001","publisher":"US Environmental Protection Agency, Office of Water, Office of Science and Technology","publisher-place":"Washington, DC, United States","title":"2017 Five-Year Review of the 2012 Recreational Water Quality Criteria","URL":"https://www.epa.gov/sites/production/files/2018-05/documents/2017-5year-review-rwqc.pdf","author":[{"literal":"US EPA"}],"issued":{"date-parts":[["2017"]]}}}],"schema":"https://github.com/citation-style-language/schema/raw/master/csl-citation.json"} </w:instrText>
            </w:r>
            <w:r w:rsidRPr="00397A3E">
              <w:rPr>
                <w:rFonts w:ascii="Calibri" w:hAnsi="Calibri"/>
                <w:bCs/>
                <w:noProof w:val="0"/>
                <w:color w:val="000000"/>
                <w:szCs w:val="16"/>
              </w:rPr>
              <w:fldChar w:fldCharType="separate"/>
            </w:r>
            <w:r w:rsidRPr="00397A3E">
              <w:rPr>
                <w:rFonts w:ascii="Calibri" w:hAnsi="Calibri" w:cs="Calibri"/>
                <w:noProof w:val="0"/>
              </w:rPr>
              <w:t>US EPA (2017)</w:t>
            </w:r>
            <w:r w:rsidRPr="00397A3E">
              <w:rPr>
                <w:rFonts w:ascii="Calibri" w:hAnsi="Calibri"/>
                <w:bCs/>
                <w:noProof w:val="0"/>
                <w:color w:val="000000"/>
                <w:szCs w:val="16"/>
              </w:rPr>
              <w:fldChar w:fldCharType="end"/>
            </w:r>
          </w:p>
        </w:tc>
        <w:tc>
          <w:tcPr>
            <w:tcW w:w="3275" w:type="pct"/>
            <w:vAlign w:val="bottom"/>
          </w:tcPr>
          <w:p w14:paraId="4BC3DFD0" w14:textId="77777777" w:rsidR="008D723D" w:rsidRPr="00397A3E" w:rsidRDefault="00171C91" w:rsidP="0075369B">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noProof w:val="0"/>
                <w:color w:val="000000"/>
                <w:szCs w:val="16"/>
              </w:rPr>
            </w:pPr>
            <w:r w:rsidRPr="00397A3E">
              <w:rPr>
                <w:rFonts w:ascii="Calibri" w:hAnsi="Calibri" w:cs="Calibri"/>
                <w:noProof w:val="0"/>
                <w:color w:val="000000"/>
                <w:szCs w:val="16"/>
              </w:rPr>
              <w:t>US EPA, 2017. 2017 Five-Year Review of the 2012 Recreational Water Quality Criteria (No. Office of Water 823-R-18-001). US Environmental Protection Agency, Office of Water, Office of Science and Technology, Washington, DC, United States.</w:t>
            </w:r>
          </w:p>
        </w:tc>
        <w:tc>
          <w:tcPr>
            <w:tcW w:w="776" w:type="pct"/>
          </w:tcPr>
          <w:p w14:paraId="346E0BB3" w14:textId="77777777" w:rsidR="008D723D" w:rsidRPr="00397A3E" w:rsidRDefault="00171C91" w:rsidP="0075369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noProof w:val="0"/>
                <w:szCs w:val="16"/>
              </w:rPr>
            </w:pPr>
            <w:r w:rsidRPr="00397A3E">
              <w:rPr>
                <w:rFonts w:ascii="Calibri" w:hAnsi="Calibri"/>
                <w:bCs/>
                <w:noProof w:val="0"/>
                <w:szCs w:val="16"/>
              </w:rPr>
              <w:t>Review</w:t>
            </w:r>
          </w:p>
        </w:tc>
      </w:tr>
      <w:tr w:rsidR="00785848" w14:paraId="72442A01" w14:textId="77777777" w:rsidTr="00785848">
        <w:tc>
          <w:tcPr>
            <w:cnfStyle w:val="001000000000" w:firstRow="0" w:lastRow="0" w:firstColumn="1" w:lastColumn="0" w:oddVBand="0" w:evenVBand="0" w:oddHBand="0" w:evenHBand="0" w:firstRowFirstColumn="0" w:firstRowLastColumn="0" w:lastRowFirstColumn="0" w:lastRowLastColumn="0"/>
            <w:tcW w:w="949" w:type="pct"/>
          </w:tcPr>
          <w:p w14:paraId="786063EE" w14:textId="09C32E8C" w:rsidR="008D723D" w:rsidRPr="00397A3E" w:rsidRDefault="00171C91" w:rsidP="0075369B">
            <w:pPr>
              <w:spacing w:before="40" w:after="40" w:line="240" w:lineRule="auto"/>
              <w:rPr>
                <w:rFonts w:ascii="Calibri" w:hAnsi="Calibri"/>
                <w:bCs/>
                <w:noProof w:val="0"/>
                <w:color w:val="000000"/>
                <w:szCs w:val="16"/>
              </w:rPr>
            </w:pPr>
            <w:r w:rsidRPr="00397A3E">
              <w:rPr>
                <w:rFonts w:ascii="Calibri" w:hAnsi="Calibri" w:cs="Calibri"/>
                <w:noProof w:val="0"/>
                <w:color w:val="000000"/>
                <w:szCs w:val="16"/>
              </w:rPr>
              <w:t xml:space="preserve">G16: </w:t>
            </w:r>
            <w:r w:rsidRPr="00397A3E">
              <w:rPr>
                <w:rFonts w:ascii="Calibri" w:hAnsi="Calibri"/>
                <w:bCs/>
                <w:noProof w:val="0"/>
                <w:color w:val="000000"/>
                <w:szCs w:val="16"/>
              </w:rPr>
              <w:fldChar w:fldCharType="begin"/>
            </w:r>
            <w:r w:rsidRPr="00397A3E">
              <w:rPr>
                <w:rFonts w:ascii="Calibri" w:hAnsi="Calibri"/>
                <w:bCs/>
                <w:noProof w:val="0"/>
                <w:color w:val="000000"/>
                <w:szCs w:val="16"/>
              </w:rPr>
              <w:instrText xml:space="preserve"> ADDIN ZOTERO_ITEM CSL_CITATION {"citationID":"EDcWjwrQ","properties":{"custom":"WHO (2018b)","formattedCitation":"WHO (2018b)","plainCitation":"WHO (2018b)","noteIndex":0},"citationItems":[{"id":16342,"uris":["http://zotero.org/users/148142/items/FAQ5QAH6"],"uri":["http://zotero.org/users/148142/items/FAQ5QAH6"],"itemData":{"id":16342,"type":"report","publisher":"World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schema":"https://github.com/citation-style-language/schema/raw/master/csl-citation.json"} </w:instrText>
            </w:r>
            <w:r w:rsidRPr="00397A3E">
              <w:rPr>
                <w:rFonts w:ascii="Calibri" w:hAnsi="Calibri"/>
                <w:bCs/>
                <w:noProof w:val="0"/>
                <w:color w:val="000000"/>
                <w:szCs w:val="16"/>
              </w:rPr>
              <w:fldChar w:fldCharType="separate"/>
            </w:r>
            <w:r w:rsidRPr="00397A3E">
              <w:rPr>
                <w:rFonts w:ascii="Calibri" w:hAnsi="Calibri" w:cs="Calibri"/>
                <w:noProof w:val="0"/>
              </w:rPr>
              <w:t>WHO (2018)</w:t>
            </w:r>
            <w:r w:rsidRPr="00397A3E">
              <w:rPr>
                <w:rFonts w:ascii="Calibri" w:hAnsi="Calibri"/>
                <w:bCs/>
                <w:noProof w:val="0"/>
                <w:color w:val="000000"/>
                <w:szCs w:val="16"/>
              </w:rPr>
              <w:fldChar w:fldCharType="end"/>
            </w:r>
          </w:p>
        </w:tc>
        <w:tc>
          <w:tcPr>
            <w:tcW w:w="3275" w:type="pct"/>
            <w:vAlign w:val="bottom"/>
          </w:tcPr>
          <w:p w14:paraId="24E6A69C" w14:textId="77777777" w:rsidR="008D723D" w:rsidRPr="00397A3E" w:rsidRDefault="00171C91" w:rsidP="0075369B">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noProof w:val="0"/>
                <w:color w:val="000000"/>
                <w:szCs w:val="16"/>
              </w:rPr>
            </w:pPr>
            <w:r w:rsidRPr="00397A3E">
              <w:rPr>
                <w:rFonts w:ascii="Calibri" w:hAnsi="Calibri" w:cs="Calibri"/>
                <w:noProof w:val="0"/>
                <w:color w:val="000000"/>
                <w:szCs w:val="16"/>
              </w:rPr>
              <w:t>WHO, 2018. WHO recommendations on scientific, analytical and epidemiological developments relevant to the parameters for bathing water quality in the Bathing Water Directive (2006/7/EC): Recommendations. World Health Organization.</w:t>
            </w:r>
          </w:p>
        </w:tc>
        <w:tc>
          <w:tcPr>
            <w:tcW w:w="776" w:type="pct"/>
          </w:tcPr>
          <w:p w14:paraId="3F927FF8" w14:textId="77777777" w:rsidR="008D723D" w:rsidRPr="00397A3E" w:rsidRDefault="00171C91" w:rsidP="0075369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noProof w:val="0"/>
                <w:szCs w:val="16"/>
              </w:rPr>
            </w:pPr>
            <w:r w:rsidRPr="00397A3E">
              <w:rPr>
                <w:rFonts w:ascii="Calibri" w:hAnsi="Calibri"/>
                <w:bCs/>
                <w:noProof w:val="0"/>
                <w:szCs w:val="16"/>
              </w:rPr>
              <w:t>Review</w:t>
            </w:r>
          </w:p>
        </w:tc>
      </w:tr>
      <w:bookmarkEnd w:id="347"/>
    </w:tbl>
    <w:p w14:paraId="03302C63" w14:textId="6ABD82D8" w:rsidR="007B21F2" w:rsidRPr="00397A3E" w:rsidRDefault="007B21F2" w:rsidP="007B21F2">
      <w:pPr>
        <w:rPr>
          <w:noProof w:val="0"/>
        </w:rPr>
      </w:pPr>
    </w:p>
    <w:p w14:paraId="48EE7B66" w14:textId="627F8706" w:rsidR="00036D07" w:rsidRPr="00397A3E" w:rsidRDefault="00171C91" w:rsidP="00EC47DD">
      <w:pPr>
        <w:pStyle w:val="Heading2"/>
        <w:rPr>
          <w:noProof w:val="0"/>
        </w:rPr>
      </w:pPr>
      <w:bookmarkStart w:id="350" w:name="_Toc106964835"/>
      <w:r w:rsidRPr="00397A3E">
        <w:rPr>
          <w:noProof w:val="0"/>
        </w:rPr>
        <w:t>Primary studies</w:t>
      </w:r>
      <w:bookmarkEnd w:id="350"/>
    </w:p>
    <w:p w14:paraId="64B789DF" w14:textId="330FB014" w:rsidR="0096716A" w:rsidRPr="00397A3E" w:rsidRDefault="00171C91" w:rsidP="00E5124B">
      <w:pPr>
        <w:rPr>
          <w:noProof w:val="0"/>
        </w:rPr>
      </w:pPr>
      <w:r w:rsidRPr="00397A3E">
        <w:rPr>
          <w:noProof w:val="0"/>
        </w:rPr>
        <w:t xml:space="preserve">The </w:t>
      </w:r>
      <w:r w:rsidR="00B93B2E">
        <w:rPr>
          <w:noProof w:val="0"/>
        </w:rPr>
        <w:t>13</w:t>
      </w:r>
      <w:r w:rsidR="00B93B2E" w:rsidRPr="00397A3E">
        <w:rPr>
          <w:noProof w:val="0"/>
        </w:rPr>
        <w:t xml:space="preserve"> </w:t>
      </w:r>
      <w:r w:rsidRPr="00397A3E">
        <w:rPr>
          <w:noProof w:val="0"/>
        </w:rPr>
        <w:t>primary studies</w:t>
      </w:r>
      <w:r w:rsidR="00795592" w:rsidRPr="00397A3E">
        <w:rPr>
          <w:noProof w:val="0"/>
        </w:rPr>
        <w:t xml:space="preserve"> </w:t>
      </w:r>
      <w:r w:rsidR="00BC6C18" w:rsidRPr="00397A3E">
        <w:rPr>
          <w:noProof w:val="0"/>
        </w:rPr>
        <w:t xml:space="preserve">included </w:t>
      </w:r>
      <w:r w:rsidR="005820DF" w:rsidRPr="00397A3E">
        <w:rPr>
          <w:noProof w:val="0"/>
        </w:rPr>
        <w:t xml:space="preserve">consisted of 11 qualitative research studies, </w:t>
      </w:r>
      <w:r w:rsidR="00FE4F9F">
        <w:rPr>
          <w:noProof w:val="0"/>
        </w:rPr>
        <w:t>one</w:t>
      </w:r>
      <w:r w:rsidR="00FE4F9F" w:rsidRPr="00397A3E">
        <w:rPr>
          <w:noProof w:val="0"/>
        </w:rPr>
        <w:t xml:space="preserve"> </w:t>
      </w:r>
      <w:r w:rsidR="005820DF" w:rsidRPr="00397A3E">
        <w:rPr>
          <w:noProof w:val="0"/>
        </w:rPr>
        <w:t xml:space="preserve">cohort and </w:t>
      </w:r>
      <w:r w:rsidR="00FE4F9F">
        <w:rPr>
          <w:noProof w:val="0"/>
        </w:rPr>
        <w:t>one</w:t>
      </w:r>
      <w:r w:rsidR="00FE4F9F" w:rsidRPr="00397A3E">
        <w:rPr>
          <w:noProof w:val="0"/>
        </w:rPr>
        <w:t xml:space="preserve"> </w:t>
      </w:r>
      <w:r w:rsidR="005820DF" w:rsidRPr="00397A3E">
        <w:rPr>
          <w:noProof w:val="0"/>
        </w:rPr>
        <w:t>review</w:t>
      </w:r>
      <w:r w:rsidR="002A031B" w:rsidRPr="00397A3E">
        <w:rPr>
          <w:noProof w:val="0"/>
        </w:rPr>
        <w:t xml:space="preserve"> (</w:t>
      </w:r>
      <w:r w:rsidR="002A031B" w:rsidRPr="00397A3E">
        <w:rPr>
          <w:noProof w:val="0"/>
        </w:rPr>
        <w:fldChar w:fldCharType="begin"/>
      </w:r>
      <w:r w:rsidR="002A031B" w:rsidRPr="00397A3E">
        <w:rPr>
          <w:noProof w:val="0"/>
        </w:rPr>
        <w:instrText xml:space="preserve"> REF _Ref92719998 \h </w:instrText>
      </w:r>
      <w:r w:rsidR="002A031B" w:rsidRPr="00397A3E">
        <w:rPr>
          <w:noProof w:val="0"/>
        </w:rPr>
      </w:r>
      <w:r w:rsidR="002A031B" w:rsidRPr="00397A3E">
        <w:rPr>
          <w:noProof w:val="0"/>
        </w:rPr>
        <w:fldChar w:fldCharType="separate"/>
      </w:r>
      <w:r w:rsidR="001A0E9F" w:rsidRPr="00397A3E">
        <w:rPr>
          <w:noProof w:val="0"/>
        </w:rPr>
        <w:t xml:space="preserve">Table </w:t>
      </w:r>
      <w:r w:rsidR="001A0E9F">
        <w:t>5</w:t>
      </w:r>
      <w:r w:rsidR="001A0E9F">
        <w:rPr>
          <w:noProof w:val="0"/>
        </w:rPr>
        <w:noBreakHyphen/>
      </w:r>
      <w:r w:rsidR="001A0E9F">
        <w:t>2</w:t>
      </w:r>
      <w:r w:rsidR="002A031B" w:rsidRPr="00397A3E">
        <w:rPr>
          <w:noProof w:val="0"/>
        </w:rPr>
        <w:fldChar w:fldCharType="end"/>
      </w:r>
      <w:r w:rsidR="002A031B" w:rsidRPr="00397A3E">
        <w:rPr>
          <w:noProof w:val="0"/>
        </w:rPr>
        <w:t xml:space="preserve">).  </w:t>
      </w:r>
      <w:r w:rsidR="000A3997" w:rsidRPr="00397A3E">
        <w:rPr>
          <w:noProof w:val="0"/>
        </w:rPr>
        <w:t>S</w:t>
      </w:r>
      <w:r w:rsidR="00795592" w:rsidRPr="00397A3E">
        <w:rPr>
          <w:noProof w:val="0"/>
        </w:rPr>
        <w:t xml:space="preserve">tudies </w:t>
      </w:r>
      <w:r w:rsidR="000A3997" w:rsidRPr="00397A3E">
        <w:rPr>
          <w:noProof w:val="0"/>
        </w:rPr>
        <w:t xml:space="preserve">classified as qualitative </w:t>
      </w:r>
      <w:r w:rsidR="00795592" w:rsidRPr="00397A3E">
        <w:rPr>
          <w:noProof w:val="0"/>
        </w:rPr>
        <w:t>using the CASP classification criteria for quality and risk</w:t>
      </w:r>
      <w:r w:rsidR="0011078F" w:rsidRPr="00397A3E">
        <w:rPr>
          <w:noProof w:val="0"/>
        </w:rPr>
        <w:t xml:space="preserve"> </w:t>
      </w:r>
      <w:r w:rsidR="00795592" w:rsidRPr="00397A3E">
        <w:rPr>
          <w:noProof w:val="0"/>
        </w:rPr>
        <w:t>of</w:t>
      </w:r>
      <w:r w:rsidR="0011078F" w:rsidRPr="00397A3E">
        <w:rPr>
          <w:noProof w:val="0"/>
        </w:rPr>
        <w:t xml:space="preserve"> </w:t>
      </w:r>
      <w:r w:rsidR="00795592" w:rsidRPr="00397A3E">
        <w:rPr>
          <w:noProof w:val="0"/>
        </w:rPr>
        <w:t xml:space="preserve">bias include observational studies that measure or predict concentrations of </w:t>
      </w:r>
      <w:r w:rsidR="000A3997" w:rsidRPr="00397A3E">
        <w:rPr>
          <w:noProof w:val="0"/>
        </w:rPr>
        <w:t>pathogens or microbial indicators</w:t>
      </w:r>
      <w:r w:rsidR="00795592" w:rsidRPr="00397A3E">
        <w:rPr>
          <w:noProof w:val="0"/>
        </w:rPr>
        <w:t xml:space="preserve"> in recreational water environments and on the basis of those concentrations infer the extent of exposure against health guidelines.  In other contexts, such studies are commonly considered quantitative risk assessments.  </w:t>
      </w:r>
      <w:r w:rsidR="00795592" w:rsidRPr="00FA0192">
        <w:rPr>
          <w:noProof w:val="0"/>
          <w:u w:val="single"/>
        </w:rPr>
        <w:t xml:space="preserve">For the CASP approach used here, </w:t>
      </w:r>
      <w:r w:rsidR="00CA37D3" w:rsidRPr="00FA0192">
        <w:rPr>
          <w:noProof w:val="0"/>
          <w:u w:val="single"/>
        </w:rPr>
        <w:t xml:space="preserve">a classification as qualitative </w:t>
      </w:r>
      <w:r w:rsidR="00DF1537" w:rsidRPr="00FA0192">
        <w:rPr>
          <w:noProof w:val="0"/>
          <w:u w:val="single"/>
        </w:rPr>
        <w:t>was considered</w:t>
      </w:r>
      <w:r w:rsidR="00CA37D3" w:rsidRPr="00FA0192">
        <w:rPr>
          <w:noProof w:val="0"/>
          <w:u w:val="single"/>
        </w:rPr>
        <w:t xml:space="preserve"> appropriate, since no health impact</w:t>
      </w:r>
      <w:r w:rsidR="00DF1537" w:rsidRPr="00FA0192">
        <w:rPr>
          <w:noProof w:val="0"/>
          <w:u w:val="single"/>
        </w:rPr>
        <w:t>s were</w:t>
      </w:r>
      <w:r w:rsidR="00CA37D3" w:rsidRPr="00FA0192">
        <w:rPr>
          <w:noProof w:val="0"/>
          <w:u w:val="single"/>
        </w:rPr>
        <w:t xml:space="preserve"> observed and measured.</w:t>
      </w:r>
      <w:r w:rsidR="00CA37D3" w:rsidRPr="00397A3E">
        <w:rPr>
          <w:noProof w:val="0"/>
        </w:rPr>
        <w:t xml:space="preserve">  </w:t>
      </w:r>
      <w:r w:rsidRPr="00397A3E">
        <w:rPr>
          <w:noProof w:val="0"/>
        </w:rPr>
        <w:t>Many of the qualitative studies incorporated QMRA methodologies to predict concentrations of pathogens or microbial indicators under a range of scenarios in order to identify the conditions that give rise to high risk of gastrointestinal illness amongst recreational water users.</w:t>
      </w:r>
    </w:p>
    <w:p w14:paraId="37A25C81" w14:textId="478C9979" w:rsidR="001B4B78" w:rsidRPr="00397A3E" w:rsidRDefault="00171C91" w:rsidP="005E703A">
      <w:pPr>
        <w:rPr>
          <w:noProof w:val="0"/>
        </w:rPr>
      </w:pPr>
      <w:r w:rsidRPr="00397A3E">
        <w:rPr>
          <w:noProof w:val="0"/>
        </w:rPr>
        <w:t xml:space="preserve">The cohort study by </w:t>
      </w:r>
      <w:r w:rsidRPr="00397A3E">
        <w:rPr>
          <w:noProof w:val="0"/>
        </w:rPr>
        <w:fldChar w:fldCharType="begin"/>
      </w:r>
      <w:r w:rsidRPr="00397A3E">
        <w:rPr>
          <w:noProof w:val="0"/>
        </w:rPr>
        <w:instrText xml:space="preserve"> ADDIN ZOTERO_ITEM CSL_CITATION {"citationID":"X67mnbih","properties":{"custom":"Arnold, Schiff, et al., (2017)","formattedCitation":"Arnold, Schiff, et al., (2017)","plainCitation":"Arnold, Schiff, et al., (2017)","noteIndex":0},"citationItems":[{"id":17433,"uris":["http://zotero.org/users/148142/items/CUJ53VZF"],"uri":["http://zotero.org/users/148142/items/CUJ53VZF"],"itemData":{"id":17433,"type":"article-journal","abstract":"Rainstorms increase levels of fecal indicator bacteria in urban coastal waters, but it is unknown whether exposure to seawater after rainstorms increases rates of acute illness. Our objective was to provide the first estimates of rates of acute illness after seawater exposure during both dry- and wet-weather periods and to determine the relationship between levels of indicator bacteria and illness among surfers, a population with a high potential for exposure after rain. We enrolled 654 surfers in San Diego, California, and followed them longitudinally during the 2013–2014 and 2014–2015 winters (33,377 days of observation, 10,081 surf sessions). We measured daily surf activities and illness symptoms (gastrointestinal illness, sinus infections, ear infections, infected wounds). Compared with no exposure, exposure to seawater during dry weather increased incidence rates of all outcomes (e.g., for earache or infection, adjusted incidence rate ratio (IRR) = 1.86, 95% confidence interval (CI): 1.27, 2.71; for infected wounds, IRR = 3.04, 95% CI: 1.54, 5.98); exposure during wet weather further increased rates (e.g., for earache or infection, IRR = 3.28, 95% CI: 1.95, 5.51; for infected wounds, IRR = 4.96, 95% CI: 2.18, 11.29). Fecal indicator bacteria measured in seawater (Enterococcus species, fecal coliforms, total coliforms) were strongly associated with incident illness only during wet weather. Urban coastal seawater exposure increases the incidence rates of many acute illnesses among surfers, with higher incidence rates after rainstorms.","container-title":"American Journal of Epidemiology","DOI":"10.1093/aje/kwx019","ISSN":"0002-9262","issue":"7","journalAbbreviation":"American Journal of Epidemiology","page":"866-875","source":"Silverchair","title":"Acute Illness Among Surfers After Exposure to Seawater in Dry- and Wet-Weather Conditions","URL":"https://doi.org/10.1093/aje/kwx019","volume":"186","author":[{"family":"Arnold","given":"Benjamin F."},{"family":"Schiff","given":"Kenneth C."},{"family":"Ercumen","given":"Ayse"},{"family":"Benjamin-Chung","given":"Jade"},{"family":"Steele","given":"Joshua A."},{"family":"Griffith","given":"John F."},{"family":"Steinberg","given":"Steven J."},{"family":"Smith","given":"Paul"},{"family":"McGee","given":"Charles D."},{"family":"Wilson","given":"Richard"},{"family":"Nelsen","given":"Chad"},{"family":"Weisberg","given":"Stephen B."},{"family":"Colford","given":"John M.","suffix":"Jr."}],"accessed":{"date-parts":[["2021",3,10]]},"issued":{"date-parts":[["2017",10,1]]}}}],"schema":"https://github.com/citation-style-language/schema/raw/master/csl-citation.json"} </w:instrText>
      </w:r>
      <w:r w:rsidRPr="00397A3E">
        <w:rPr>
          <w:noProof w:val="0"/>
        </w:rPr>
        <w:fldChar w:fldCharType="separate"/>
      </w:r>
      <w:r w:rsidRPr="00397A3E">
        <w:rPr>
          <w:noProof w:val="0"/>
        </w:rPr>
        <w:t>Arnold, Schiff, et al., (2017)</w:t>
      </w:r>
      <w:r w:rsidRPr="00397A3E">
        <w:rPr>
          <w:noProof w:val="0"/>
        </w:rPr>
        <w:fldChar w:fldCharType="end"/>
      </w:r>
      <w:r w:rsidRPr="00397A3E">
        <w:rPr>
          <w:noProof w:val="0"/>
        </w:rPr>
        <w:t xml:space="preserve"> </w:t>
      </w:r>
      <w:r w:rsidR="005E703A" w:rsidRPr="00397A3E">
        <w:rPr>
          <w:noProof w:val="0"/>
        </w:rPr>
        <w:t xml:space="preserve">was a large study that </w:t>
      </w:r>
      <w:r w:rsidRPr="00397A3E">
        <w:rPr>
          <w:noProof w:val="0"/>
        </w:rPr>
        <w:t>addressed acute illness among surfers after exposure to seawater in dry- and wet-weather conditions</w:t>
      </w:r>
      <w:r w:rsidR="005E703A" w:rsidRPr="00397A3E">
        <w:rPr>
          <w:noProof w:val="0"/>
        </w:rPr>
        <w:t xml:space="preserve"> and followed the health of 654 surfers in San Diego, California over two seasons and involved over 10,000 surf sessions</w:t>
      </w:r>
      <w:r w:rsidRPr="00397A3E">
        <w:rPr>
          <w:noProof w:val="0"/>
        </w:rPr>
        <w:t>.</w:t>
      </w:r>
    </w:p>
    <w:p w14:paraId="41C72D00" w14:textId="2A85BB12" w:rsidR="00980419" w:rsidRPr="00397A3E" w:rsidRDefault="00171C91" w:rsidP="005E703A">
      <w:pPr>
        <w:rPr>
          <w:noProof w:val="0"/>
        </w:rPr>
      </w:pPr>
      <w:r w:rsidRPr="00397A3E">
        <w:rPr>
          <w:noProof w:val="0"/>
        </w:rPr>
        <w:t xml:space="preserve">The review study by </w:t>
      </w:r>
      <w:r w:rsidRPr="00397A3E">
        <w:rPr>
          <w:noProof w:val="0"/>
        </w:rPr>
        <w:fldChar w:fldCharType="begin"/>
      </w:r>
      <w:r w:rsidRPr="00397A3E">
        <w:rPr>
          <w:noProof w:val="0"/>
        </w:rPr>
        <w:instrText xml:space="preserve"> ADDIN ZOTERO_ITEM CSL_CITATION {"citationID":"IinLdbQk","properties":{"custom":"Russo, Eftim, et al., (2020)","formattedCitation":"Russo, Eftim, et al., (2020)","plainCitation":"Russo, Eftim, et al., (2020)","noteIndex":0},"citationItems":[{"id":12671,"uris":["http://zotero.org/users/148142/items/W56RG33S"],"uri":["http://zotero.org/users/148142/items/W56RG33S"],"itemData":{"id":12671,"type":"article-journal","archive":"Scopus","container-title":"Water Research","DOI":"10.1016/j.watres.2020.115729","title":"Evaluating health risks associated with exposure to ambient surface waters during recreational activities: A systematic review and meta-analysis","URL":"https://www.scopus.com/inward/record.uri?eid=2-s2.0-85082875333&amp;doi=10.1016%2fj.watres.2020.115729&amp;partnerID=40&amp;md5=b8d28f8b8576aa1d50ad124e4649f95f","volume":"176","author":[{"family":"Russo","given":"G. S."},{"family":"Eftim","given":"S. E."},{"family":"Goldstone","given":"A. E."},{"family":"Dufour","given":"A. P."},{"family":"Nappier","given":"S. P."},{"family":"Wade","given":"T. J."}],"issued":{"date-parts":[["2020"]]}}}],"schema":"https://github.com/citation-style-language/schema/raw/master/csl-citation.json"} </w:instrText>
      </w:r>
      <w:r w:rsidRPr="00397A3E">
        <w:rPr>
          <w:noProof w:val="0"/>
        </w:rPr>
        <w:fldChar w:fldCharType="separate"/>
      </w:r>
      <w:r w:rsidRPr="00397A3E">
        <w:rPr>
          <w:noProof w:val="0"/>
        </w:rPr>
        <w:t>Russo, Eftim, et al., (2020)</w:t>
      </w:r>
      <w:r w:rsidRPr="00397A3E">
        <w:rPr>
          <w:noProof w:val="0"/>
        </w:rPr>
        <w:fldChar w:fldCharType="end"/>
      </w:r>
      <w:r w:rsidRPr="00397A3E">
        <w:rPr>
          <w:noProof w:val="0"/>
        </w:rPr>
        <w:t xml:space="preserve"> evaluated health risks associated with exposure to ambient surface waters during recreational activities.  The study was a high-quality literature review and notable for its consisten</w:t>
      </w:r>
      <w:r w:rsidR="001B3DDF">
        <w:rPr>
          <w:noProof w:val="0"/>
        </w:rPr>
        <w:t>cy</w:t>
      </w:r>
      <w:r w:rsidRPr="00397A3E">
        <w:rPr>
          <w:noProof w:val="0"/>
        </w:rPr>
        <w:t xml:space="preserve"> with best practice for systematic reviews.</w:t>
      </w:r>
    </w:p>
    <w:p w14:paraId="4669271E" w14:textId="0786FA74" w:rsidR="00036D07" w:rsidRPr="00397A3E" w:rsidRDefault="00171C91" w:rsidP="00145139">
      <w:pPr>
        <w:pStyle w:val="Caption"/>
        <w:rPr>
          <w:noProof w:val="0"/>
        </w:rPr>
      </w:pPr>
      <w:bookmarkStart w:id="351" w:name="_Ref92719998"/>
      <w:bookmarkStart w:id="352" w:name="_Toc106964867"/>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5</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2</w:t>
      </w:r>
      <w:r w:rsidR="00F178D7">
        <w:rPr>
          <w:noProof w:val="0"/>
        </w:rPr>
        <w:fldChar w:fldCharType="end"/>
      </w:r>
      <w:bookmarkEnd w:id="351"/>
      <w:r w:rsidRPr="00397A3E">
        <w:rPr>
          <w:noProof w:val="0"/>
        </w:rPr>
        <w:t xml:space="preserve">. List of primary studies </w:t>
      </w:r>
      <w:r w:rsidR="00BC6C18" w:rsidRPr="00397A3E">
        <w:rPr>
          <w:noProof w:val="0"/>
        </w:rPr>
        <w:t xml:space="preserve">included </w:t>
      </w:r>
      <w:r w:rsidRPr="00397A3E">
        <w:rPr>
          <w:noProof w:val="0"/>
        </w:rPr>
        <w:t xml:space="preserve">after </w:t>
      </w:r>
      <w:r w:rsidR="00353986" w:rsidRPr="00397A3E">
        <w:rPr>
          <w:noProof w:val="0"/>
        </w:rPr>
        <w:t>consideration of risk o</w:t>
      </w:r>
      <w:r w:rsidR="00BC6C18" w:rsidRPr="00397A3E">
        <w:rPr>
          <w:noProof w:val="0"/>
        </w:rPr>
        <w:t>f</w:t>
      </w:r>
      <w:r w:rsidR="00353986" w:rsidRPr="00397A3E">
        <w:rPr>
          <w:noProof w:val="0"/>
        </w:rPr>
        <w:t xml:space="preserve"> bias</w:t>
      </w:r>
      <w:bookmarkEnd w:id="352"/>
    </w:p>
    <w:tbl>
      <w:tblPr>
        <w:tblStyle w:val="EcosleftTableStyle"/>
        <w:tblW w:w="8223" w:type="dxa"/>
        <w:tblInd w:w="-431" w:type="dxa"/>
        <w:tblLayout w:type="fixed"/>
        <w:tblCellMar>
          <w:left w:w="57" w:type="dxa"/>
          <w:right w:w="57" w:type="dxa"/>
        </w:tblCellMar>
        <w:tblLook w:val="04A0" w:firstRow="1" w:lastRow="0" w:firstColumn="1" w:lastColumn="0" w:noHBand="0" w:noVBand="1"/>
      </w:tblPr>
      <w:tblGrid>
        <w:gridCol w:w="1419"/>
        <w:gridCol w:w="5791"/>
        <w:gridCol w:w="1013"/>
      </w:tblGrid>
      <w:tr w:rsidR="00785848" w14:paraId="2C75C00B" w14:textId="77777777" w:rsidTr="007858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9" w:type="dxa"/>
            <w:tcMar>
              <w:left w:w="57" w:type="dxa"/>
              <w:right w:w="57" w:type="dxa"/>
            </w:tcMar>
          </w:tcPr>
          <w:p w14:paraId="6568BDEA" w14:textId="77777777" w:rsidR="008D723D" w:rsidRPr="00397A3E" w:rsidRDefault="00171C91" w:rsidP="0075369B">
            <w:pPr>
              <w:rPr>
                <w:rFonts w:asciiTheme="minorHAnsi" w:hAnsiTheme="minorHAnsi"/>
                <w:noProof w:val="0"/>
              </w:rPr>
            </w:pPr>
            <w:bookmarkStart w:id="353" w:name="_Hlk72313221"/>
            <w:r w:rsidRPr="00397A3E">
              <w:rPr>
                <w:rFonts w:asciiTheme="minorHAnsi" w:hAnsiTheme="minorHAnsi"/>
                <w:noProof w:val="0"/>
              </w:rPr>
              <w:t>Study ID</w:t>
            </w:r>
          </w:p>
        </w:tc>
        <w:tc>
          <w:tcPr>
            <w:tcW w:w="5791" w:type="dxa"/>
            <w:tcMar>
              <w:left w:w="57" w:type="dxa"/>
              <w:right w:w="57" w:type="dxa"/>
            </w:tcMar>
          </w:tcPr>
          <w:p w14:paraId="7E4AAED1" w14:textId="77777777" w:rsidR="008D723D" w:rsidRPr="00397A3E" w:rsidRDefault="00171C91" w:rsidP="0075369B">
            <w:pPr>
              <w:cnfStyle w:val="100000000000" w:firstRow="1" w:lastRow="0" w:firstColumn="0" w:lastColumn="0" w:oddVBand="0" w:evenVBand="0" w:oddHBand="0" w:evenHBand="0" w:firstRowFirstColumn="0" w:firstRowLastColumn="0" w:lastRowFirstColumn="0" w:lastRowLastColumn="0"/>
              <w:rPr>
                <w:rFonts w:asciiTheme="minorHAnsi" w:hAnsiTheme="minorHAnsi"/>
                <w:noProof w:val="0"/>
              </w:rPr>
            </w:pPr>
            <w:r w:rsidRPr="00397A3E">
              <w:rPr>
                <w:rFonts w:asciiTheme="minorHAnsi" w:hAnsiTheme="minorHAnsi"/>
                <w:noProof w:val="0"/>
              </w:rPr>
              <w:t>Citation</w:t>
            </w:r>
          </w:p>
        </w:tc>
        <w:tc>
          <w:tcPr>
            <w:tcW w:w="1013" w:type="dxa"/>
            <w:tcMar>
              <w:left w:w="57" w:type="dxa"/>
              <w:right w:w="57" w:type="dxa"/>
            </w:tcMar>
          </w:tcPr>
          <w:p w14:paraId="12218EF3" w14:textId="77777777" w:rsidR="008D723D" w:rsidRPr="00397A3E" w:rsidRDefault="00171C91" w:rsidP="0075369B">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val="0"/>
                <w:szCs w:val="16"/>
              </w:rPr>
            </w:pPr>
            <w:r w:rsidRPr="00397A3E">
              <w:rPr>
                <w:rFonts w:asciiTheme="minorHAnsi" w:hAnsiTheme="minorHAnsi" w:cstheme="minorHAnsi"/>
                <w:noProof w:val="0"/>
                <w:szCs w:val="16"/>
              </w:rPr>
              <w:t xml:space="preserve">CASP classification </w:t>
            </w:r>
          </w:p>
        </w:tc>
      </w:tr>
      <w:tr w:rsidR="00785848" w14:paraId="7768AEC7" w14:textId="77777777" w:rsidTr="00785848">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single" w:sz="8" w:space="0" w:color="B5DDDC"/>
              <w:right w:val="single" w:sz="8" w:space="0" w:color="B5DDDC"/>
            </w:tcBorders>
            <w:shd w:val="clear" w:color="000000" w:fill="D6EAEB"/>
            <w:tcMar>
              <w:left w:w="57" w:type="dxa"/>
              <w:right w:w="57" w:type="dxa"/>
            </w:tcMar>
          </w:tcPr>
          <w:p w14:paraId="3C552F94" w14:textId="77777777" w:rsidR="008D723D" w:rsidRPr="00397A3E" w:rsidRDefault="00171C91" w:rsidP="0075369B">
            <w:pPr>
              <w:spacing w:before="40" w:after="40" w:line="240" w:lineRule="auto"/>
              <w:rPr>
                <w:rFonts w:asciiTheme="minorHAnsi" w:hAnsiTheme="minorHAnsi"/>
                <w:noProof w:val="0"/>
              </w:rPr>
            </w:pPr>
            <w:bookmarkStart w:id="354" w:name="_Hlk89168727"/>
            <w:r w:rsidRPr="00397A3E">
              <w:rPr>
                <w:rFonts w:asciiTheme="minorHAnsi" w:hAnsiTheme="minorHAnsi" w:cstheme="minorHAnsi"/>
                <w:noProof w:val="0"/>
                <w:szCs w:val="16"/>
              </w:rPr>
              <w:t xml:space="preserve">J2: </w:t>
            </w:r>
            <w:r w:rsidRPr="00397A3E">
              <w:rPr>
                <w:rFonts w:asciiTheme="minorHAnsi" w:hAnsiTheme="minorHAnsi" w:cstheme="minorHAnsi"/>
                <w:noProof w:val="0"/>
                <w:szCs w:val="16"/>
              </w:rPr>
              <w:fldChar w:fldCharType="begin"/>
            </w:r>
            <w:r w:rsidRPr="00397A3E">
              <w:rPr>
                <w:rFonts w:asciiTheme="minorHAnsi" w:hAnsiTheme="minorHAnsi" w:cstheme="minorHAnsi"/>
                <w:noProof w:val="0"/>
                <w:szCs w:val="16"/>
              </w:rPr>
              <w:instrText xml:space="preserve"> ADDIN ZOTERO_ITEM CSL_CITATION {"citationID":"ArfhTxp8","properties":{"custom":"Ahmed, Hamilton, et al., (2018)","formattedCitation":"Ahmed, Hamilton, et al., (2018)","plainCitation":"Ahmed, Hamilton, et al., (2018)","noteIndex":0},"citationItems":[{"id":12533,"uris":["http://zotero.org/users/148142/items/CL5GP773"],"uri":["http://zotero.org/users/148142/items/CL5GP773"],"itemData":{"id":12533,"type":"article-journal","archive":"Scopus","container-title":"Environment International","DOI":"10.1016/j.envint.2018.05.012","page":"243-249","title":"Quantitative microbial risk assessment of microbial source tracking markers in recreational water contaminated with fresh untreated and secondary treated sewage","URL":"https://www.scopus.com/inward/record.uri?eid=2-s2.0-85047077932&amp;doi=10.1016%2fj.envint.2018.05.012&amp;partnerID=40&amp;md5=c97413bc0249240d20d0a19774172eeb","volume":"117","author":[{"family":"Ahmed","given":"W."},{"family":"Hamilton","given":"K. A."},{"family":"Lobos","given":"A."},{"family":"Hughes","given":"B."},{"family":"Staley","given":"C."},{"family":"Sadowsky","given":"M. J."},{"family":"Harwood","given":"V. J."}],"issued":{"date-parts":[["2018"]]}}}],"schema":"https://github.com/citation-style-language/schema/raw/master/csl-citation.json"} </w:instrText>
            </w:r>
            <w:r w:rsidRPr="00397A3E">
              <w:rPr>
                <w:rFonts w:asciiTheme="minorHAnsi" w:hAnsiTheme="minorHAnsi" w:cstheme="minorHAnsi"/>
                <w:noProof w:val="0"/>
                <w:szCs w:val="16"/>
              </w:rPr>
              <w:fldChar w:fldCharType="separate"/>
            </w:r>
            <w:r w:rsidRPr="00397A3E">
              <w:rPr>
                <w:rFonts w:ascii="Calibri" w:hAnsi="Calibri" w:cs="Calibri"/>
                <w:noProof w:val="0"/>
              </w:rPr>
              <w:t>Ahmed, Hamilton, et al., (2018)</w:t>
            </w:r>
            <w:r w:rsidRPr="00397A3E">
              <w:rPr>
                <w:rFonts w:asciiTheme="minorHAnsi" w:hAnsiTheme="minorHAnsi" w:cstheme="minorHAnsi"/>
                <w:noProof w:val="0"/>
                <w:szCs w:val="16"/>
              </w:rPr>
              <w:fldChar w:fldCharType="end"/>
            </w:r>
          </w:p>
        </w:tc>
        <w:tc>
          <w:tcPr>
            <w:tcW w:w="5791" w:type="dxa"/>
            <w:tcMar>
              <w:left w:w="57" w:type="dxa"/>
              <w:right w:w="57" w:type="dxa"/>
            </w:tcMar>
            <w:vAlign w:val="top"/>
          </w:tcPr>
          <w:p w14:paraId="2B0F027B" w14:textId="77777777" w:rsidR="008D723D" w:rsidRPr="00397A3E" w:rsidRDefault="00171C91" w:rsidP="0075369B">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noProof w:val="0"/>
              </w:rPr>
            </w:pPr>
            <w:r w:rsidRPr="00397A3E">
              <w:rPr>
                <w:rFonts w:ascii="Calibri" w:hAnsi="Calibri" w:cs="Calibri"/>
                <w:noProof w:val="0"/>
              </w:rPr>
              <w:t>Ahmed, W., Hamilton, K. A., Lobos, A., Hughes, B., Staley, C., Sadowsky, M. J., and Harwood, V. J. (2018) Quantitative microbial risk assessment of microbial source tracking markers in recreational water contaminated with fresh untreated and secondary treated sewage. Environment International, 117, 243–249. [online] https://www.scopus.com/inward/record.uri?eid=2-s2.0-85047077932&amp;doi=10.1016%2fj.envint.2018.05.012&amp;partnerID=40&amp;md5=c97413bc0249240d20d0a19774172eeb.</w:t>
            </w:r>
          </w:p>
        </w:tc>
        <w:tc>
          <w:tcPr>
            <w:tcW w:w="1013" w:type="dxa"/>
            <w:tcMar>
              <w:left w:w="57" w:type="dxa"/>
              <w:right w:w="57" w:type="dxa"/>
            </w:tcMar>
          </w:tcPr>
          <w:p w14:paraId="79DEE79F" w14:textId="77777777" w:rsidR="008D723D" w:rsidRPr="00397A3E" w:rsidRDefault="00171C91" w:rsidP="0075369B">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noProof w:val="0"/>
              </w:rPr>
            </w:pPr>
            <w:r w:rsidRPr="00397A3E">
              <w:rPr>
                <w:rFonts w:asciiTheme="minorHAnsi" w:hAnsiTheme="minorHAnsi" w:cstheme="minorHAnsi"/>
                <w:noProof w:val="0"/>
                <w:szCs w:val="16"/>
              </w:rPr>
              <w:t>Qualitative research</w:t>
            </w:r>
          </w:p>
        </w:tc>
      </w:tr>
      <w:tr w:rsidR="00785848" w14:paraId="1DEA99BE" w14:textId="77777777" w:rsidTr="00785848">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single" w:sz="8" w:space="0" w:color="B5DDDC"/>
              <w:right w:val="single" w:sz="8" w:space="0" w:color="B5DDDC"/>
            </w:tcBorders>
            <w:shd w:val="clear" w:color="000000" w:fill="D6EAEB"/>
            <w:tcMar>
              <w:left w:w="57" w:type="dxa"/>
              <w:right w:w="57" w:type="dxa"/>
            </w:tcMar>
          </w:tcPr>
          <w:p w14:paraId="0605F76A" w14:textId="77777777" w:rsidR="008D723D" w:rsidRPr="00397A3E" w:rsidRDefault="00171C91" w:rsidP="0075369B">
            <w:pPr>
              <w:spacing w:before="40" w:after="40" w:line="240" w:lineRule="auto"/>
              <w:rPr>
                <w:rFonts w:asciiTheme="minorHAnsi" w:hAnsiTheme="minorHAnsi"/>
                <w:noProof w:val="0"/>
              </w:rPr>
            </w:pPr>
            <w:r w:rsidRPr="00397A3E">
              <w:rPr>
                <w:rFonts w:asciiTheme="minorHAnsi" w:hAnsiTheme="minorHAnsi" w:cstheme="minorHAnsi"/>
                <w:noProof w:val="0"/>
                <w:szCs w:val="16"/>
              </w:rPr>
              <w:t xml:space="preserve">J3: </w:t>
            </w:r>
            <w:r w:rsidRPr="00397A3E">
              <w:rPr>
                <w:rFonts w:asciiTheme="minorHAnsi" w:hAnsiTheme="minorHAnsi" w:cstheme="minorHAnsi"/>
                <w:noProof w:val="0"/>
                <w:szCs w:val="16"/>
              </w:rPr>
              <w:fldChar w:fldCharType="begin"/>
            </w:r>
            <w:r w:rsidRPr="00397A3E">
              <w:rPr>
                <w:rFonts w:asciiTheme="minorHAnsi" w:hAnsiTheme="minorHAnsi" w:cstheme="minorHAnsi"/>
                <w:noProof w:val="0"/>
                <w:szCs w:val="16"/>
              </w:rPr>
              <w:instrText xml:space="preserve"> ADDIN ZOTERO_ITEM CSL_CITATION {"citationID":"vivJFdeL","properties":{"custom":"Ahmed, Payyappat, et al., (2019)","formattedCitation":"Ahmed, Payyappat, et al., (2019)","plainCitation":"Ahmed, Payyappat, et al., (2019)","noteIndex":0},"citationItems":[{"id":12758,"uris":["http://zotero.org/users/148142/items/RBDGJBR8"],"uri":["http://zotero.org/users/148142/items/RBDGJBR8"],"itemData":{"id":12758,"type":"article-journal","abstract":"This study investigated the magnitude of wet weather overflow (WWO)-driven sewage pollution in an urban lake (Lake Parramatta) located in Sydney, New South Wales, Australia. Water samples were collected during a dry weather period and after two storm events, and tested for a range of novel and established sewage- [Bacteroides HF183, crAssphage CPQ_056 and pepper mild mottle virus (PMMoV)] and animal feces-associated (Bacteroides BacCan-UCD, cowM2 and Helicobacter spp. associated GFD) microbial source tracking marker genes along with the enumeration of culturable fecal indicator bacteria (FIB), namely Escherichia coli (E. coli) and Enterococcus spp. The magnitude of general and source-specific fecal pollution was low in water samples collected during dry weather compared to storm events. The levels of HF183, crAssphage and PMMoV in water samples collected during storm events were as high as 6.39, 6.33 and 5.27 log10 GC/L of water, respectively. Moderate to strong positive correlations were observed among the quantitative occurrence of sewage-associated marker genes. The concentrations of HF183 and PMMoV in most storm water samples exceeded the risk benchmark threshold values established in the literature for primary contact recreators. None of the samples tested was positive for the cowM2 (cow) marker gene, while BacCan-UCD (dog) and GFD (avian) animal-associated markers were sporadically detected in water samples collected from both dry weather and storm events. Based on the results, the ongoing advice that swimming should be avoided for several days after storm events appears appropriate. Further research to determine the decay rates of sewage-associated marker genes in relation to each other and enteric viruses would help refine current advice. Microbial source tracking approaches employed in this study provided insights into sources of contamination over currently used FIB.","container-title":"Scientific Reports","DOI":"10.1038/s41598-019-48682-4","ISSN":"2045-2322","issue":"1","journalAbbreviation":"Sci Rep","language":"eng","page":"12503","source":"PubMed","title":"Enhanced insights from human and animal host-associated molecular marker genes in a freshwater lake receiving wet weather overflows","URL":"http://www.ncbi.nlm.nih.gov/pubmed/31467317","volume":"9","author":[{"family":"Ahmed","given":"Warish"},{"family":"Payyappat","given":"Sudhi"},{"family":"Cassidy","given":"Michele"},{"family":"Besley","given":"Colin"}],"issued":{"date-parts":[["2019"]]}}}],"schema":"https://github.com/citation-style-language/schema/raw/master/csl-citation.json"} </w:instrText>
            </w:r>
            <w:r w:rsidRPr="00397A3E">
              <w:rPr>
                <w:rFonts w:asciiTheme="minorHAnsi" w:hAnsiTheme="minorHAnsi" w:cstheme="minorHAnsi"/>
                <w:noProof w:val="0"/>
                <w:szCs w:val="16"/>
              </w:rPr>
              <w:fldChar w:fldCharType="separate"/>
            </w:r>
            <w:r w:rsidRPr="00397A3E">
              <w:rPr>
                <w:rFonts w:ascii="Calibri" w:hAnsi="Calibri" w:cs="Calibri"/>
                <w:noProof w:val="0"/>
              </w:rPr>
              <w:t>Ahmed, Payyappat, et al., (2019)</w:t>
            </w:r>
            <w:r w:rsidRPr="00397A3E">
              <w:rPr>
                <w:rFonts w:asciiTheme="minorHAnsi" w:hAnsiTheme="minorHAnsi" w:cstheme="minorHAnsi"/>
                <w:noProof w:val="0"/>
                <w:szCs w:val="16"/>
              </w:rPr>
              <w:fldChar w:fldCharType="end"/>
            </w:r>
          </w:p>
        </w:tc>
        <w:tc>
          <w:tcPr>
            <w:tcW w:w="5791" w:type="dxa"/>
            <w:tcMar>
              <w:left w:w="57" w:type="dxa"/>
              <w:right w:w="57" w:type="dxa"/>
            </w:tcMar>
            <w:vAlign w:val="top"/>
          </w:tcPr>
          <w:p w14:paraId="2DF15F5F" w14:textId="77777777" w:rsidR="008D723D" w:rsidRPr="00397A3E" w:rsidRDefault="00171C91" w:rsidP="0075369B">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noProof w:val="0"/>
              </w:rPr>
            </w:pPr>
            <w:r w:rsidRPr="00397A3E">
              <w:rPr>
                <w:rFonts w:ascii="Calibri" w:hAnsi="Calibri" w:cs="Calibri"/>
                <w:noProof w:val="0"/>
              </w:rPr>
              <w:t>Ahmed, W., Payyappat, S., Cassidy, M., and Besley, C. (2019) Enhanced insights from human and animal host-associated molecular marker genes in a freshwater lake receiving wet weather overflows. Scientific Reports, 9(1), 12503. [online] http://www.ncbi.nlm.nih.gov/pubmed/31467317.</w:t>
            </w:r>
          </w:p>
        </w:tc>
        <w:tc>
          <w:tcPr>
            <w:tcW w:w="1013" w:type="dxa"/>
            <w:tcMar>
              <w:left w:w="57" w:type="dxa"/>
              <w:right w:w="57" w:type="dxa"/>
            </w:tcMar>
          </w:tcPr>
          <w:p w14:paraId="1FE48C64" w14:textId="77777777" w:rsidR="008D723D" w:rsidRPr="00397A3E" w:rsidRDefault="00171C91" w:rsidP="0075369B">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noProof w:val="0"/>
              </w:rPr>
            </w:pPr>
            <w:r w:rsidRPr="00397A3E">
              <w:rPr>
                <w:rFonts w:asciiTheme="minorHAnsi" w:hAnsiTheme="minorHAnsi" w:cstheme="minorHAnsi"/>
                <w:noProof w:val="0"/>
                <w:szCs w:val="16"/>
              </w:rPr>
              <w:t>Qualitative research</w:t>
            </w:r>
          </w:p>
        </w:tc>
      </w:tr>
      <w:tr w:rsidR="00785848" w14:paraId="6CACCEA8" w14:textId="77777777" w:rsidTr="00785848">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nil"/>
              <w:right w:val="single" w:sz="8" w:space="0" w:color="B5DDDC"/>
            </w:tcBorders>
            <w:shd w:val="clear" w:color="000000" w:fill="D6EAEB"/>
            <w:tcMar>
              <w:left w:w="57" w:type="dxa"/>
              <w:right w:w="57" w:type="dxa"/>
            </w:tcMar>
          </w:tcPr>
          <w:p w14:paraId="4C18D774" w14:textId="77777777" w:rsidR="008D723D" w:rsidRPr="00397A3E" w:rsidRDefault="00171C91" w:rsidP="0075369B">
            <w:pPr>
              <w:spacing w:before="40" w:after="40" w:line="240" w:lineRule="auto"/>
              <w:rPr>
                <w:rFonts w:asciiTheme="minorHAnsi" w:hAnsiTheme="minorHAnsi"/>
                <w:noProof w:val="0"/>
              </w:rPr>
            </w:pPr>
            <w:r w:rsidRPr="00397A3E">
              <w:rPr>
                <w:rFonts w:asciiTheme="minorHAnsi" w:hAnsiTheme="minorHAnsi" w:cstheme="minorHAnsi"/>
                <w:noProof w:val="0"/>
                <w:szCs w:val="16"/>
              </w:rPr>
              <w:t xml:space="preserve">J4: </w:t>
            </w:r>
            <w:r w:rsidRPr="00397A3E">
              <w:rPr>
                <w:rFonts w:asciiTheme="minorHAnsi" w:hAnsiTheme="minorHAnsi" w:cstheme="minorHAnsi"/>
                <w:noProof w:val="0"/>
                <w:szCs w:val="16"/>
              </w:rPr>
              <w:fldChar w:fldCharType="begin"/>
            </w:r>
            <w:r w:rsidRPr="00397A3E">
              <w:rPr>
                <w:rFonts w:asciiTheme="minorHAnsi" w:hAnsiTheme="minorHAnsi" w:cstheme="minorHAnsi"/>
                <w:noProof w:val="0"/>
                <w:szCs w:val="16"/>
              </w:rPr>
              <w:instrText xml:space="preserve"> ADDIN ZOTERO_ITEM CSL_CITATION {"citationID":"7t68rg6z","properties":{"custom":"Ahmed, Payyappat, et al., (2020)","formattedCitation":"Ahmed, Payyappat, et al., (2020)","plainCitation":"Ahmed, Payyappat, et al., (2020)","noteIndex":0},"citationItems":[{"id":12760,"uris":["http://zotero.org/users/148142/items/P5CCED5G"],"uri":["http://zotero.org/users/148142/items/P5CCED5G"],"itemData":{"id":12760,"type":"article-journal","abstract":"This study investigates the impact of wet weather overflows (WWOs) at three estuarine locations in Sydney, NSW, Australia. WWOs can occur when infiltration of stormwater leads to an excess volume of flow within the sewerage system, resulting in the release of diluted sewage into the environment. Sewage contamination poses a risk to human health due to the presence of pathogens. The magnitude of sewage contamination was monitored using established and novel sewage-associated marker genes, Bacteroides HF183, pepper mild mottle virus (PMMoV), crAssphage CPQ_056, Lachnospiraceae (Lachno3) marker genes along with culturable fecal indicator bacteria (FIB) Escherichia coli (E. coli) and enterococci. Water samples were collected at two water depths (0.5 m below the water surface and 1 m above the bottom surface) during one dry weather and two storm events. Analysis of sewage-associated marker genes showed greater (i.e., 3-5 orders of magnitude) concentrations in water samples collected during the storm events compared to dry weather event. Water samples were also analysed for four animal feces-associated marker genes targeting avian (GFD), dog (BacCan-UCD), cow (cowM2) and horse (HoF597) species to determine the extent of animal fecal contamination. Among the four marker genes, cowM2 and HoF597 could not be detected, while GFD marker gene was consistently present and BacCan-UCD was occasionally detected. Overall results suggested that after rainfall, untreated sewage from WWOs was present at sampling locations. In addition, microbial source tracking (MST) monitoring was able to distinguish the presence of a leaking sewer impacting on the recreational area during dry weather condition. This study demonstrated the capability of the MST monitoring approach to understand sources (sewage or animal) of fecal contamination. This capability will greatly enhance management decisions assisting in the prioritisation of remediation efforts of the sewerage system to improve estuarine bathing water quality and diminish human health risk.","container-title":"The Science of the Total Environment","DOI":"10.1016/j.scitotenv.2019.135390","ISSN":"1879-1026","journalAbbreviation":"Sci. Total Environ.","language":"eng","page":"135390","source":"PubMed","title":"Sewage-associated marker genes illustrate the impact of wet weather overflows and dry weather leakage in urban estuarine waters of Sydney, Australia","URL":"http://www.ncbi.nlm.nih.gov/pubmed/31838427","volume":"705","author":[{"family":"Ahmed","given":"Warish"},{"family":"Payyappat","given":"Sudhi"},{"family":"Cassidy","given":"Michele"},{"family":"Harrison","given":"Nathan"},{"family":"Besley","given":"Colin"}],"issued":{"date-parts":[["2020",2,25]]}}}],"schema":"https://github.com/citation-style-language/schema/raw/master/csl-citation.json"} </w:instrText>
            </w:r>
            <w:r w:rsidRPr="00397A3E">
              <w:rPr>
                <w:rFonts w:asciiTheme="minorHAnsi" w:hAnsiTheme="minorHAnsi" w:cstheme="minorHAnsi"/>
                <w:noProof w:val="0"/>
                <w:szCs w:val="16"/>
              </w:rPr>
              <w:fldChar w:fldCharType="separate"/>
            </w:r>
            <w:r w:rsidRPr="00397A3E">
              <w:rPr>
                <w:rFonts w:ascii="Calibri" w:hAnsi="Calibri" w:cs="Calibri"/>
                <w:noProof w:val="0"/>
              </w:rPr>
              <w:t>Ahmed, Payyappat, et al., (2020)</w:t>
            </w:r>
            <w:r w:rsidRPr="00397A3E">
              <w:rPr>
                <w:rFonts w:asciiTheme="minorHAnsi" w:hAnsiTheme="minorHAnsi" w:cstheme="minorHAnsi"/>
                <w:noProof w:val="0"/>
                <w:szCs w:val="16"/>
              </w:rPr>
              <w:fldChar w:fldCharType="end"/>
            </w:r>
          </w:p>
        </w:tc>
        <w:tc>
          <w:tcPr>
            <w:tcW w:w="5791" w:type="dxa"/>
            <w:tcMar>
              <w:left w:w="57" w:type="dxa"/>
              <w:right w:w="57" w:type="dxa"/>
            </w:tcMar>
            <w:vAlign w:val="top"/>
          </w:tcPr>
          <w:p w14:paraId="700E5747" w14:textId="77777777" w:rsidR="008D723D" w:rsidRPr="00397A3E" w:rsidRDefault="00171C91" w:rsidP="0075369B">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noProof w:val="0"/>
              </w:rPr>
            </w:pPr>
            <w:r w:rsidRPr="00397A3E">
              <w:rPr>
                <w:rFonts w:ascii="Calibri" w:hAnsi="Calibri" w:cs="Calibri"/>
                <w:noProof w:val="0"/>
              </w:rPr>
              <w:t>Ahmed, W., Payyappat, S., Cassidy, M., Harrison, N., and Besley, C. (2020) Sewage-associated marker genes illustrate the impact of wet weather overflows and dry weather leakage in urban estuarine waters of Sydney, Australia. The Science of the Total Environment, 705, 135390. [online] http://www.ncbi.nlm.nih.gov/pubmed/31838427.</w:t>
            </w:r>
          </w:p>
        </w:tc>
        <w:tc>
          <w:tcPr>
            <w:tcW w:w="1013" w:type="dxa"/>
            <w:tcMar>
              <w:left w:w="57" w:type="dxa"/>
              <w:right w:w="57" w:type="dxa"/>
            </w:tcMar>
          </w:tcPr>
          <w:p w14:paraId="71372C56" w14:textId="77777777" w:rsidR="008D723D" w:rsidRPr="00397A3E" w:rsidRDefault="00171C91" w:rsidP="0075369B">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noProof w:val="0"/>
              </w:rPr>
            </w:pPr>
            <w:r w:rsidRPr="00397A3E">
              <w:rPr>
                <w:rFonts w:asciiTheme="minorHAnsi" w:hAnsiTheme="minorHAnsi" w:cstheme="minorHAnsi"/>
                <w:noProof w:val="0"/>
                <w:szCs w:val="16"/>
              </w:rPr>
              <w:t>Qualitative research</w:t>
            </w:r>
          </w:p>
        </w:tc>
      </w:tr>
      <w:tr w:rsidR="00785848" w14:paraId="6373E034" w14:textId="77777777" w:rsidTr="00785848">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nil"/>
              <w:right w:val="single" w:sz="8" w:space="0" w:color="B5DDDC"/>
            </w:tcBorders>
            <w:shd w:val="clear" w:color="000000" w:fill="D6EAEB"/>
            <w:tcMar>
              <w:left w:w="57" w:type="dxa"/>
              <w:right w:w="57" w:type="dxa"/>
            </w:tcMar>
          </w:tcPr>
          <w:p w14:paraId="3C810721" w14:textId="77777777" w:rsidR="008D723D" w:rsidRPr="00397A3E" w:rsidRDefault="00171C91" w:rsidP="0075369B">
            <w:pPr>
              <w:spacing w:before="40" w:after="40" w:line="240" w:lineRule="auto"/>
              <w:rPr>
                <w:rFonts w:asciiTheme="minorHAnsi" w:hAnsiTheme="minorHAnsi"/>
                <w:noProof w:val="0"/>
              </w:rPr>
            </w:pPr>
            <w:r w:rsidRPr="00397A3E">
              <w:rPr>
                <w:rFonts w:asciiTheme="minorHAnsi" w:hAnsiTheme="minorHAnsi" w:cstheme="minorHAnsi"/>
                <w:noProof w:val="0"/>
                <w:szCs w:val="16"/>
              </w:rPr>
              <w:t xml:space="preserve">J5: </w:t>
            </w:r>
            <w:r w:rsidRPr="00397A3E">
              <w:rPr>
                <w:rFonts w:asciiTheme="minorHAnsi" w:hAnsiTheme="minorHAnsi" w:cstheme="minorHAnsi"/>
                <w:noProof w:val="0"/>
                <w:szCs w:val="16"/>
              </w:rPr>
              <w:fldChar w:fldCharType="begin"/>
            </w:r>
            <w:r w:rsidRPr="00397A3E">
              <w:rPr>
                <w:rFonts w:asciiTheme="minorHAnsi" w:hAnsiTheme="minorHAnsi" w:cstheme="minorHAnsi"/>
                <w:noProof w:val="0"/>
                <w:szCs w:val="16"/>
              </w:rPr>
              <w:instrText xml:space="preserve"> ADDIN ZOTERO_ITEM CSL_CITATION {"citationID":"vMjk1LjM","properties":{"custom":"Ahmed, Zhang, et al., (2019)","formattedCitation":"Ahmed, Zhang, et al., (2019)","plainCitation":"Ahmed, Zhang, et al., (2019)","noteIndex":0},"citationItems":[{"id":12766,"uris":["http://zotero.org/users/148142/items/LGHQMG2K"],"uri":["http://zotero.org/users/148142/items/LGHQMG2K"],"itemData":{"id":12766,"type":"article-journal","abstract":"There is a growing move towards using the quantitative polymerase chain (qPCR)-based sewage-associated marker genes to assess surface water quality. However, a lack of understanding about the persistence of many sewage-associated markers creates uncertainty for those tasked with investigating microbial water quality. In this study, we investigated the decay of two qPCR FIB [E. coli (EC), and Enterococcus spp. (ENT) 23S rRNA genes] and four sewage-associated microbial source tracking (MST) marker genes [human Bacteroides HF183 16S rRNA, adenovirus (HAdV), and polyomavirus (HPyV), and crAssphage, a recently described bacteriophage in feces], in outdoor mesocosms containing fresh and marine waters and their corresponding sediments. Decay rates of EC 23S rRNA, ENT 23S rRNA, and HF183 16S rRNA were significantly (p &lt; 0.05) faster than the HAdV, HPyV and crAssphage markers in water samples from all mesocosms. In general, decay rates of bacterial targets were similar in the water columns of the studied mesocosms. Similarly, decay rates of viral targets were also alike in mesocosm water columns in relation to each other. The decay rates of FIB and sewage-associated markers were significantly faster in water samples compared to sediments in all three mesocosms. In the event of resuspension, FIB and marker genes from sediments can potentially recontaminate overlying waters. Thus, care should be taken when interpreting the occurrence of FIB and sewage-associated MST markers in water, which may have originated from sediments. The differential decay of these targets may also influence health outcomes and need to be considered in risk assessment models.","container-title":"Water Research","DOI":"10.1016/j.watres.2018.10.088","ISSN":"1879-2448","journalAbbreviation":"Water Res.","language":"eng","page":"511-521","source":"PubMed","title":"Comparative decay of sewage-associated marker genes in beach water and sediment in a subtropical region","URL":"http://www.ncbi.nlm.nih.gov/pubmed/30500686","volume":"149","author":[{"family":"Ahmed","given":"Warish"},{"family":"Zhang","given":"Qian"},{"family":"Kozak","given":"Sonya"},{"family":"Beale","given":"David"},{"family":"Gyawali","given":"Pradip"},{"family":"Sadowsky","given":"Michael J."},{"family":"Simpson","given":"Stuart"}],"issued":{"date-parts":[["2019"]]}}}],"schema":"https://github.com/citation-style-language/schema/raw/master/csl-citation.json"} </w:instrText>
            </w:r>
            <w:r w:rsidRPr="00397A3E">
              <w:rPr>
                <w:rFonts w:asciiTheme="minorHAnsi" w:hAnsiTheme="minorHAnsi" w:cstheme="minorHAnsi"/>
                <w:noProof w:val="0"/>
                <w:szCs w:val="16"/>
              </w:rPr>
              <w:fldChar w:fldCharType="separate"/>
            </w:r>
            <w:r w:rsidRPr="00397A3E">
              <w:rPr>
                <w:rFonts w:ascii="Calibri" w:hAnsi="Calibri" w:cs="Calibri"/>
                <w:noProof w:val="0"/>
              </w:rPr>
              <w:t>Ahmed, Zhang, et al., (2019)</w:t>
            </w:r>
            <w:r w:rsidRPr="00397A3E">
              <w:rPr>
                <w:rFonts w:asciiTheme="minorHAnsi" w:hAnsiTheme="minorHAnsi" w:cstheme="minorHAnsi"/>
                <w:noProof w:val="0"/>
                <w:szCs w:val="16"/>
              </w:rPr>
              <w:fldChar w:fldCharType="end"/>
            </w:r>
          </w:p>
        </w:tc>
        <w:tc>
          <w:tcPr>
            <w:tcW w:w="5791" w:type="dxa"/>
            <w:tcMar>
              <w:left w:w="57" w:type="dxa"/>
              <w:right w:w="57" w:type="dxa"/>
            </w:tcMar>
            <w:vAlign w:val="top"/>
          </w:tcPr>
          <w:p w14:paraId="3CFB5FD2" w14:textId="77777777" w:rsidR="008D723D" w:rsidRPr="00397A3E" w:rsidRDefault="00171C91" w:rsidP="0075369B">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noProof w:val="0"/>
              </w:rPr>
            </w:pPr>
            <w:r w:rsidRPr="00397A3E">
              <w:rPr>
                <w:rFonts w:ascii="Calibri" w:hAnsi="Calibri" w:cs="Calibri"/>
                <w:noProof w:val="0"/>
              </w:rPr>
              <w:t>Ahmed, W., Zhang, Q., Kozak, S., Beale, D., Gyawali, P., Sadowsky, M. J., and Simpson, S. (2019) Comparative decay of sewage-associated marker genes in beach water and sediment in a subtropical region. Water Research, 149, 511–521. [online] http://www.ncbi.nlm.nih.gov/pubmed/30500686.</w:t>
            </w:r>
          </w:p>
        </w:tc>
        <w:tc>
          <w:tcPr>
            <w:tcW w:w="1013" w:type="dxa"/>
            <w:tcMar>
              <w:left w:w="57" w:type="dxa"/>
              <w:right w:w="57" w:type="dxa"/>
            </w:tcMar>
          </w:tcPr>
          <w:p w14:paraId="1297C52C" w14:textId="77777777" w:rsidR="008D723D" w:rsidRPr="00397A3E" w:rsidRDefault="00171C91" w:rsidP="0075369B">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noProof w:val="0"/>
              </w:rPr>
            </w:pPr>
            <w:r w:rsidRPr="00397A3E">
              <w:rPr>
                <w:rFonts w:asciiTheme="minorHAnsi" w:hAnsiTheme="minorHAnsi" w:cstheme="minorHAnsi"/>
                <w:noProof w:val="0"/>
                <w:szCs w:val="16"/>
              </w:rPr>
              <w:t>Qualitative research</w:t>
            </w:r>
          </w:p>
        </w:tc>
      </w:tr>
      <w:tr w:rsidR="00785848" w14:paraId="14CBB55B" w14:textId="77777777" w:rsidTr="00785848">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nil"/>
              <w:right w:val="single" w:sz="8" w:space="0" w:color="B5DDDC"/>
            </w:tcBorders>
            <w:shd w:val="clear" w:color="000000" w:fill="D6EAEB"/>
            <w:tcMar>
              <w:left w:w="57" w:type="dxa"/>
              <w:right w:w="57" w:type="dxa"/>
            </w:tcMar>
          </w:tcPr>
          <w:p w14:paraId="6F6D2612" w14:textId="0049749C" w:rsidR="008D723D" w:rsidRPr="00397A3E" w:rsidRDefault="00171C91" w:rsidP="0075369B">
            <w:pPr>
              <w:spacing w:before="40" w:after="40" w:line="240" w:lineRule="auto"/>
              <w:rPr>
                <w:rFonts w:asciiTheme="minorHAnsi" w:hAnsiTheme="minorHAnsi"/>
                <w:noProof w:val="0"/>
              </w:rPr>
            </w:pPr>
            <w:r w:rsidRPr="00397A3E">
              <w:rPr>
                <w:rFonts w:asciiTheme="minorHAnsi" w:hAnsiTheme="minorHAnsi" w:cstheme="minorHAnsi"/>
                <w:noProof w:val="0"/>
                <w:szCs w:val="16"/>
              </w:rPr>
              <w:t xml:space="preserve">J6: </w:t>
            </w:r>
            <w:r w:rsidRPr="00397A3E">
              <w:rPr>
                <w:rFonts w:asciiTheme="minorHAnsi" w:hAnsiTheme="minorHAnsi" w:cstheme="minorHAnsi"/>
                <w:noProof w:val="0"/>
                <w:szCs w:val="16"/>
              </w:rPr>
              <w:fldChar w:fldCharType="begin"/>
            </w:r>
            <w:r w:rsidR="00F84CE9" w:rsidRPr="00397A3E">
              <w:rPr>
                <w:rFonts w:asciiTheme="minorHAnsi" w:hAnsiTheme="minorHAnsi" w:cstheme="minorHAnsi"/>
                <w:noProof w:val="0"/>
                <w:szCs w:val="16"/>
              </w:rPr>
              <w:instrText xml:space="preserve"> ADDIN ZOTERO_ITEM CSL_CITATION {"citationID":"sQ7O7zTc","properties":{"custom":"Arnold, Schiff, et al., (2017)","formattedCitation":"Arnold, Schiff, et al., (2017)","plainCitation":"Arnold, Schiff, et al., (2017)","noteIndex":0},"citationItems":[{"id":17433,"uris":["http://zotero.org/users/148142/items/CUJ53VZF"],"uri":["http://zotero.org/users/148142/items/CUJ53VZF"],"itemData":{"id":17433,"type":"article-journal","abstract":"Rainstorms increase levels of fecal indicator bacteria in urban coastal waters, but it is unknown whether exposure to seawater after rainstorms increases rates of acute illness. Our objective was to provide the first estimates of rates of acute illness after seawater exposure during both dry- and wet-weather periods and to determine the relationship between levels of indicator bacteria and illness among surfers, a population with a high potential for exposure after rain. We enrolled 654 surfers in San Diego, California, and followed them longitudinally during the 2013–2014 and 2014–2015 winters (33,377 days of observation, 10,081 surf sessions). We measured daily surf activities and illness symptoms (gastrointestinal illness, sinus infections, ear infections, infected wounds). Compared with no exposure, exposure to seawater during dry weather increased incidence rates of all outcomes (e.g., for earache or infection, adjusted incidence rate ratio (IRR) = 1.86, 95% confidence interval (CI): 1.27, 2.71; for infected wounds, IRR = 3.04, 95% CI: 1.54, 5.98); exposure during wet weather further increased rates (e.g., for earache or infection, IRR = 3.28, 95% CI: 1.95, 5.51; for infected wounds, IRR = 4.96, 95% CI: 2.18, 11.29). Fecal indicator bacteria measured in seawater (Enterococcus species, fecal coliforms, total coliforms) were strongly associated with incident illness only during wet weather. Urban coastal seawater exposure increases the incidence rates of many acute illnesses among surfers, with higher incidence rates after rainstorms.","container-title":"American Journal of Epidemiology","DOI":"10.1093/aje/kwx019","ISSN":"0002-9262","issue":"7","journalAbbreviation":"American Journal of Epidemiology","page":"866-875","source":"Silverchair","title":"Acute Illness Among Surfers After Exposure to Seawater in Dry- and Wet-Weather Conditions","URL":"https://doi.org/10.1093/aje/kwx019","volume":"186","author":[{"family":"Arnold","given":"Benjamin F."},{"family":"Schiff","given":"Kenneth C."},{"family":"Ercumen","given":"Ayse"},{"family":"Benjamin-Chung","given":"Jade"},{"family":"Steele","given":"Joshua A."},{"family":"Griffith","given":"John F."},{"family":"Steinberg","given":"Steven J."},{"family":"Smith","given":"Paul"},{"family":"McGee","given":"Charles D."},{"family":"Wilson","given":"Richard"},{"family":"Nelsen","given":"Chad"},{"family":"Weisberg","given":"Stephen B."},{"family":"Colford","given":"John M.","suffix":"Jr."}],"accessed":{"date-parts":[["2021",3,10]]},"issued":{"date-parts":[["2017",10,1]]}}}],"schema":"https://github.com/citation-style-language/schema/raw/master/csl-citation.json"} </w:instrText>
            </w:r>
            <w:r w:rsidRPr="00397A3E">
              <w:rPr>
                <w:rFonts w:asciiTheme="minorHAnsi" w:hAnsiTheme="minorHAnsi" w:cstheme="minorHAnsi"/>
                <w:noProof w:val="0"/>
                <w:szCs w:val="16"/>
              </w:rPr>
              <w:fldChar w:fldCharType="separate"/>
            </w:r>
            <w:r w:rsidRPr="00397A3E">
              <w:rPr>
                <w:rFonts w:ascii="Calibri" w:hAnsi="Calibri" w:cs="Calibri"/>
                <w:noProof w:val="0"/>
              </w:rPr>
              <w:t>Arnold, Schiff, et al., (2017)</w:t>
            </w:r>
            <w:r w:rsidRPr="00397A3E">
              <w:rPr>
                <w:rFonts w:asciiTheme="minorHAnsi" w:hAnsiTheme="minorHAnsi" w:cstheme="minorHAnsi"/>
                <w:noProof w:val="0"/>
                <w:szCs w:val="16"/>
              </w:rPr>
              <w:fldChar w:fldCharType="end"/>
            </w:r>
          </w:p>
        </w:tc>
        <w:tc>
          <w:tcPr>
            <w:tcW w:w="5791" w:type="dxa"/>
            <w:tcMar>
              <w:left w:w="57" w:type="dxa"/>
              <w:right w:w="57" w:type="dxa"/>
            </w:tcMar>
            <w:vAlign w:val="top"/>
          </w:tcPr>
          <w:p w14:paraId="495A720E" w14:textId="77777777" w:rsidR="008D723D" w:rsidRPr="00397A3E" w:rsidRDefault="00171C91" w:rsidP="0075369B">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noProof w:val="0"/>
              </w:rPr>
            </w:pPr>
            <w:r w:rsidRPr="00397A3E">
              <w:rPr>
                <w:rFonts w:ascii="Calibri" w:hAnsi="Calibri" w:cs="Calibri"/>
                <w:noProof w:val="0"/>
              </w:rPr>
              <w:t>Arnold, B. F., Schiff, K. C., Ercumen, A., Benjamin-Chung, J., Steele, J. A., Griffith, J. F., Steinberg, S. J., Smith, P., McGee, C. D., Wilson, R., Nelsen, C., Weisberg, S. B., and Colford, J. M., Jr. (2017) Acute Illness Among Surfers After Exposure to Seawater in Dry- and Wet-Weather Conditions. American Journal of Epidemiology, 186(7), 866–875. [online] https://doi.org/10.1093/aje/kwx019 (Accessed March 10, 2021).</w:t>
            </w:r>
          </w:p>
        </w:tc>
        <w:tc>
          <w:tcPr>
            <w:tcW w:w="1013" w:type="dxa"/>
            <w:tcMar>
              <w:left w:w="57" w:type="dxa"/>
              <w:right w:w="57" w:type="dxa"/>
            </w:tcMar>
          </w:tcPr>
          <w:p w14:paraId="2DD6641F" w14:textId="77777777" w:rsidR="008D723D" w:rsidRPr="00397A3E" w:rsidRDefault="00171C91" w:rsidP="0075369B">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noProof w:val="0"/>
              </w:rPr>
            </w:pPr>
            <w:r w:rsidRPr="00397A3E">
              <w:rPr>
                <w:rFonts w:asciiTheme="minorHAnsi" w:hAnsiTheme="minorHAnsi" w:cstheme="minorHAnsi"/>
                <w:noProof w:val="0"/>
                <w:szCs w:val="16"/>
              </w:rPr>
              <w:t>Cohort study</w:t>
            </w:r>
          </w:p>
        </w:tc>
      </w:tr>
      <w:tr w:rsidR="00785848" w14:paraId="357D1F6F" w14:textId="77777777" w:rsidTr="00785848">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nil"/>
              <w:right w:val="single" w:sz="8" w:space="0" w:color="B5DDDC"/>
            </w:tcBorders>
            <w:shd w:val="clear" w:color="000000" w:fill="D6EAEB"/>
            <w:tcMar>
              <w:left w:w="57" w:type="dxa"/>
              <w:right w:w="57" w:type="dxa"/>
            </w:tcMar>
          </w:tcPr>
          <w:p w14:paraId="65F93175" w14:textId="77777777" w:rsidR="008D723D" w:rsidRPr="00397A3E" w:rsidRDefault="00171C91" w:rsidP="0075369B">
            <w:pPr>
              <w:spacing w:before="40" w:after="40" w:line="240" w:lineRule="auto"/>
              <w:rPr>
                <w:rFonts w:asciiTheme="minorHAnsi" w:hAnsiTheme="minorHAnsi"/>
                <w:noProof w:val="0"/>
              </w:rPr>
            </w:pPr>
            <w:r w:rsidRPr="00397A3E">
              <w:rPr>
                <w:rFonts w:asciiTheme="minorHAnsi" w:hAnsiTheme="minorHAnsi" w:cstheme="minorHAnsi"/>
                <w:noProof w:val="0"/>
                <w:szCs w:val="16"/>
              </w:rPr>
              <w:t xml:space="preserve">J15: </w:t>
            </w:r>
            <w:r w:rsidRPr="00397A3E">
              <w:rPr>
                <w:rFonts w:asciiTheme="minorHAnsi" w:hAnsiTheme="minorHAnsi" w:cstheme="minorHAnsi"/>
                <w:noProof w:val="0"/>
                <w:szCs w:val="16"/>
              </w:rPr>
              <w:fldChar w:fldCharType="begin"/>
            </w:r>
            <w:r w:rsidRPr="00397A3E">
              <w:rPr>
                <w:rFonts w:asciiTheme="minorHAnsi" w:hAnsiTheme="minorHAnsi" w:cstheme="minorHAnsi"/>
                <w:noProof w:val="0"/>
                <w:szCs w:val="16"/>
              </w:rPr>
              <w:instrText xml:space="preserve"> ADDIN ZOTERO_ITEM CSL_CITATION {"citationID":"ELb82rOj","properties":{"custom":"Gitter, Mena, et al., (2020)","formattedCitation":"Gitter, Mena, et al., (2020)","plainCitation":"Gitter, Mena, et al., (2020)","noteIndex":0},"citationItems":[{"id":12650,"uris":["http://zotero.org/users/148142/items/4QS8UY2D"],"uri":["http://zotero.org/users/148142/items/4QS8UY2D"],"itemData":{"id":12650,"type":"article-journal","archive":"Scopus","container-title":"Water (Switzerland)","DOI":"10.3390/w12020327","issue":"2","title":"Human health risks associated with recreational waters: Preliminary approach of integrating quantitative microbial risk assessment with microbial source tracking","URL":"https://www.scopus.com/inward/record.uri?eid=2-s2.0-85081546265&amp;doi=10.3390%2fw12020327&amp;partnerID=40&amp;md5=f48942230d1dbe0b5426d168ad1f982d","volume":"12","author":[{"family":"Gitter","given":"A."},{"family":"Mena","given":"K. D."},{"family":"Wagner","given":"K. L."},{"family":"Boellstorff","given":"D. E."},{"family":"Borel","given":"K. E."},{"family":"Gregory","given":"L. F."},{"family":"Gentry","given":"T. J."},{"family":"Karthikeyan","given":"R."}],"issued":{"date-parts":[["2020"]]}}}],"schema":"https://github.com/citation-style-language/schema/raw/master/csl-citation.json"} </w:instrText>
            </w:r>
            <w:r w:rsidRPr="00397A3E">
              <w:rPr>
                <w:rFonts w:asciiTheme="minorHAnsi" w:hAnsiTheme="minorHAnsi" w:cstheme="minorHAnsi"/>
                <w:noProof w:val="0"/>
                <w:szCs w:val="16"/>
              </w:rPr>
              <w:fldChar w:fldCharType="separate"/>
            </w:r>
            <w:r w:rsidRPr="00397A3E">
              <w:rPr>
                <w:rFonts w:ascii="Calibri" w:hAnsi="Calibri" w:cs="Calibri"/>
                <w:noProof w:val="0"/>
              </w:rPr>
              <w:t>Gitter, Mena, et al., (2020)</w:t>
            </w:r>
            <w:r w:rsidRPr="00397A3E">
              <w:rPr>
                <w:rFonts w:asciiTheme="minorHAnsi" w:hAnsiTheme="minorHAnsi" w:cstheme="minorHAnsi"/>
                <w:noProof w:val="0"/>
                <w:szCs w:val="16"/>
              </w:rPr>
              <w:fldChar w:fldCharType="end"/>
            </w:r>
          </w:p>
        </w:tc>
        <w:tc>
          <w:tcPr>
            <w:tcW w:w="5791" w:type="dxa"/>
            <w:tcMar>
              <w:left w:w="57" w:type="dxa"/>
              <w:right w:w="57" w:type="dxa"/>
            </w:tcMar>
            <w:vAlign w:val="top"/>
          </w:tcPr>
          <w:p w14:paraId="23EB47B2" w14:textId="77777777" w:rsidR="008D723D" w:rsidRPr="00397A3E" w:rsidRDefault="00171C91" w:rsidP="0075369B">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noProof w:val="0"/>
              </w:rPr>
            </w:pPr>
            <w:r w:rsidRPr="00397A3E">
              <w:rPr>
                <w:rFonts w:ascii="Calibri" w:hAnsi="Calibri" w:cs="Calibri"/>
                <w:noProof w:val="0"/>
              </w:rPr>
              <w:t>Gitter, A., Mena, K. D., Wagner, K. L., Boellstorff, D. E., Borel, K. E., Gregory, L. F., Gentry, T. J., and Karthikeyan, R. (2020) Human health risks associated with recreational waters: Preliminary approach of integrating quantitative microbial risk assessment with microbial source tracking. Water (Switzerland), 12(2). [online] https://www.scopus.com/inward/record.uri?eid=2-s2.0-85081546265&amp;doi=10.3390%2fw12020327&amp;partnerID=40&amp;md5=f48942230d1dbe0b5426d168ad1f982d.</w:t>
            </w:r>
          </w:p>
        </w:tc>
        <w:tc>
          <w:tcPr>
            <w:tcW w:w="1013" w:type="dxa"/>
            <w:tcMar>
              <w:left w:w="57" w:type="dxa"/>
              <w:right w:w="57" w:type="dxa"/>
            </w:tcMar>
          </w:tcPr>
          <w:p w14:paraId="142A4A9D" w14:textId="77777777" w:rsidR="008D723D" w:rsidRPr="00397A3E" w:rsidRDefault="00171C91" w:rsidP="0075369B">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noProof w:val="0"/>
              </w:rPr>
            </w:pPr>
            <w:r w:rsidRPr="00397A3E">
              <w:rPr>
                <w:rFonts w:asciiTheme="minorHAnsi" w:hAnsiTheme="minorHAnsi" w:cstheme="minorHAnsi"/>
                <w:noProof w:val="0"/>
                <w:szCs w:val="16"/>
              </w:rPr>
              <w:t>Qualitative research</w:t>
            </w:r>
          </w:p>
        </w:tc>
      </w:tr>
      <w:tr w:rsidR="00785848" w14:paraId="3E521A0A" w14:textId="77777777" w:rsidTr="00785848">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nil"/>
              <w:right w:val="single" w:sz="8" w:space="0" w:color="B5DDDC"/>
            </w:tcBorders>
            <w:shd w:val="clear" w:color="000000" w:fill="D6EAEB"/>
            <w:tcMar>
              <w:left w:w="57" w:type="dxa"/>
              <w:right w:w="57" w:type="dxa"/>
            </w:tcMar>
          </w:tcPr>
          <w:p w14:paraId="1C2BBA38" w14:textId="77777777" w:rsidR="008D723D" w:rsidRPr="00397A3E" w:rsidRDefault="00171C91" w:rsidP="0075369B">
            <w:pPr>
              <w:spacing w:before="40" w:after="40" w:line="240" w:lineRule="auto"/>
              <w:rPr>
                <w:rFonts w:asciiTheme="minorHAnsi" w:hAnsiTheme="minorHAnsi"/>
                <w:noProof w:val="0"/>
              </w:rPr>
            </w:pPr>
            <w:r w:rsidRPr="00397A3E">
              <w:rPr>
                <w:rFonts w:asciiTheme="minorHAnsi" w:hAnsiTheme="minorHAnsi" w:cstheme="minorHAnsi"/>
                <w:noProof w:val="0"/>
                <w:szCs w:val="16"/>
              </w:rPr>
              <w:t xml:space="preserve">J18: </w:t>
            </w:r>
            <w:r w:rsidRPr="00397A3E">
              <w:rPr>
                <w:rFonts w:asciiTheme="minorHAnsi" w:hAnsiTheme="minorHAnsi" w:cstheme="minorHAnsi"/>
                <w:noProof w:val="0"/>
                <w:szCs w:val="16"/>
              </w:rPr>
              <w:fldChar w:fldCharType="begin"/>
            </w:r>
            <w:r w:rsidRPr="00397A3E">
              <w:rPr>
                <w:rFonts w:asciiTheme="minorHAnsi" w:hAnsiTheme="minorHAnsi" w:cstheme="minorHAnsi"/>
                <w:noProof w:val="0"/>
                <w:szCs w:val="16"/>
              </w:rPr>
              <w:instrText xml:space="preserve"> ADDIN ZOTERO_ITEM CSL_CITATION {"citationID":"d6OetvO9","properties":{"custom":"Henry, Schang, et al., (2016)","formattedCitation":"Henry, Schang, et al., (2016)","plainCitation":"Henry, Schang, et al., (2016)","noteIndex":0},"citationItems":[{"id":12475,"uris":["http://zotero.org/users/148142/items/WYMGXRTP"],"uri":["http://zotero.org/users/148142/items/WYMGXRTP"],"itemData":{"id":12475,"type":"article-journal","archive":"Scopus","container-title":"Water Research","DOI":"10.1016/j.watres.2016.02.029","page":"242-253","title":"Into the deep: Evaluation of SourceTracker for assessment of faecal contamination of coastal waters","URL":"https://www.scopus.com/inward/record.uri?eid=2-s2.0-84958973030&amp;doi=10.1016%2fj.watres.2016.02.029&amp;partnerID=40&amp;md5=857b1be61a85ed86ed706842b9f6584f","volume":"93","author":[{"family":"Henry","given":"R."},{"family":"Schang","given":"C."},{"family":"Coutts","given":"S."},{"family":"Kolotelo","given":"P."},{"family":"Prosser","given":"T."},{"family":"Crosbie","given":"N."},{"family":"Grant","given":"T."},{"family":"Cottam","given":"D."},{"family":"O'Brien","given":"P."},{"family":"Deletic","given":"A."},{"family":"McCarthy","given":"D."}],"issued":{"date-parts":[["2016"]]}}}],"schema":"https://github.com/citation-style-language/schema/raw/master/csl-citation.json"} </w:instrText>
            </w:r>
            <w:r w:rsidRPr="00397A3E">
              <w:rPr>
                <w:rFonts w:asciiTheme="minorHAnsi" w:hAnsiTheme="minorHAnsi" w:cstheme="minorHAnsi"/>
                <w:noProof w:val="0"/>
                <w:szCs w:val="16"/>
              </w:rPr>
              <w:fldChar w:fldCharType="separate"/>
            </w:r>
            <w:r w:rsidRPr="00397A3E">
              <w:rPr>
                <w:rFonts w:ascii="Calibri" w:hAnsi="Calibri" w:cs="Calibri"/>
                <w:noProof w:val="0"/>
              </w:rPr>
              <w:t>Henry, Schang, et al., (2016)</w:t>
            </w:r>
            <w:r w:rsidRPr="00397A3E">
              <w:rPr>
                <w:rFonts w:asciiTheme="minorHAnsi" w:hAnsiTheme="minorHAnsi" w:cstheme="minorHAnsi"/>
                <w:noProof w:val="0"/>
                <w:szCs w:val="16"/>
              </w:rPr>
              <w:fldChar w:fldCharType="end"/>
            </w:r>
          </w:p>
        </w:tc>
        <w:tc>
          <w:tcPr>
            <w:tcW w:w="5791" w:type="dxa"/>
            <w:tcMar>
              <w:left w:w="57" w:type="dxa"/>
              <w:right w:w="57" w:type="dxa"/>
            </w:tcMar>
            <w:vAlign w:val="top"/>
          </w:tcPr>
          <w:p w14:paraId="5493C877" w14:textId="77777777" w:rsidR="008D723D" w:rsidRPr="00397A3E" w:rsidRDefault="00171C91" w:rsidP="0075369B">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noProof w:val="0"/>
              </w:rPr>
            </w:pPr>
            <w:r w:rsidRPr="00397A3E">
              <w:rPr>
                <w:rFonts w:ascii="Calibri" w:hAnsi="Calibri" w:cs="Calibri"/>
                <w:noProof w:val="0"/>
              </w:rPr>
              <w:t>Henry, R., Schang, C., Coutts, S., Kolotelo, P., Prosser, T., Crosbie, N., Grant, T., Cottam, D., O’Brien, P., Deletic, A., and McCarthy, D. (2016) Into the deep: Evaluation of SourceTracker for assessment of faecal contamination of coastal waters. Water Research, 93, 242–253. [online] https://www.scopus.com/inward/record.uri?eid=2-s2.0-84958973030&amp;doi=10.1016%2fj.watres.2016.02.029&amp;partnerID=40&amp;md5=857b1be61a85ed86ed706842b9f6584f.</w:t>
            </w:r>
          </w:p>
        </w:tc>
        <w:tc>
          <w:tcPr>
            <w:tcW w:w="1013" w:type="dxa"/>
            <w:tcMar>
              <w:left w:w="57" w:type="dxa"/>
              <w:right w:w="57" w:type="dxa"/>
            </w:tcMar>
          </w:tcPr>
          <w:p w14:paraId="447E5A11" w14:textId="77777777" w:rsidR="008D723D" w:rsidRPr="00397A3E" w:rsidRDefault="00171C91" w:rsidP="0075369B">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noProof w:val="0"/>
              </w:rPr>
            </w:pPr>
            <w:r w:rsidRPr="00397A3E">
              <w:rPr>
                <w:rFonts w:asciiTheme="minorHAnsi" w:hAnsiTheme="minorHAnsi" w:cstheme="minorHAnsi"/>
                <w:noProof w:val="0"/>
                <w:szCs w:val="16"/>
              </w:rPr>
              <w:t>Qualitative research</w:t>
            </w:r>
          </w:p>
        </w:tc>
      </w:tr>
      <w:tr w:rsidR="00785848" w14:paraId="1E7A3CEE" w14:textId="77777777" w:rsidTr="00785848">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nil"/>
              <w:right w:val="single" w:sz="8" w:space="0" w:color="B5DDDC"/>
            </w:tcBorders>
            <w:shd w:val="clear" w:color="000000" w:fill="D6EAEB"/>
            <w:tcMar>
              <w:left w:w="57" w:type="dxa"/>
              <w:right w:w="57" w:type="dxa"/>
            </w:tcMar>
          </w:tcPr>
          <w:p w14:paraId="6EBDBFA1" w14:textId="77777777" w:rsidR="008D723D" w:rsidRPr="00397A3E" w:rsidRDefault="00171C91" w:rsidP="0075369B">
            <w:pPr>
              <w:spacing w:before="40" w:after="40" w:line="240" w:lineRule="auto"/>
              <w:rPr>
                <w:rFonts w:asciiTheme="minorHAnsi" w:hAnsiTheme="minorHAnsi"/>
                <w:noProof w:val="0"/>
              </w:rPr>
            </w:pPr>
            <w:r w:rsidRPr="00397A3E">
              <w:rPr>
                <w:rFonts w:asciiTheme="minorHAnsi" w:hAnsiTheme="minorHAnsi" w:cstheme="minorHAnsi"/>
                <w:noProof w:val="0"/>
                <w:szCs w:val="16"/>
              </w:rPr>
              <w:t xml:space="preserve">J20: </w:t>
            </w:r>
            <w:r w:rsidRPr="00397A3E">
              <w:rPr>
                <w:rFonts w:asciiTheme="minorHAnsi" w:hAnsiTheme="minorHAnsi" w:cstheme="minorHAnsi"/>
                <w:noProof w:val="0"/>
                <w:szCs w:val="16"/>
              </w:rPr>
              <w:fldChar w:fldCharType="begin"/>
            </w:r>
            <w:r w:rsidRPr="00397A3E">
              <w:rPr>
                <w:rFonts w:asciiTheme="minorHAnsi" w:hAnsiTheme="minorHAnsi" w:cstheme="minorHAnsi"/>
                <w:noProof w:val="0"/>
                <w:szCs w:val="16"/>
              </w:rPr>
              <w:instrText xml:space="preserve"> ADDIN ZOTERO_ITEM CSL_CITATION {"citationID":"VG5GRhA4","properties":{"custom":"Kelly, Feng, et al., (2018)","formattedCitation":"Kelly, Feng, et al., (2018)","plainCitation":"Kelly, Feng, et al., (2018)","noteIndex":0},"citationItems":[{"id":13166,"uris":["http://zotero.org/users/148142/items/NGHIVZBT"],"uri":["http://zotero.org/users/148142/items/NGHIVZBT"],"itemData":{"id":13166,"type":"article-journal","abstract":"When beach water monitoring programs identify poor water quality, the causes are frequently unknown. We hypothesize that management policies play an important role in the frequency of fecal indicator bacteria (FIB) exceedances (enterococci and fecal coliform) at recreational beaches. To test this hypothesis we implemented an innovative approach utilizing large amounts of monitoring data (n&gt;150,000 measurements per FIB) to determine associations between the frequency of contaminant exceedances and beach management practices. The large FIB database was augmented with results from a survey designed to assess management policies for 316 beaches throughout the state of Florida. The FIB and survey data were analyzed using t-tests, ANOVA, factor analysis, and linear regression. Results show that beach geomorphology (beach type) was highly associated with exceedance of regulatory standards. Low enterococci exceedances were associated with open coast beaches (n=211) that have sparse human densities, no homeless populations, low densities of dogs and birds, bird management policies, low densities of seaweed, beach renourishment, charge access fees, employ lifeguards, without nearby marinas, and those that manage storm water. Factor analysis and a linear regression confirmed beach type as the predominant factor with secondary influences from grooming activities (including seaweed densities and beach renourishment) and beach access (including charging fees, employing lifeguards, and without nearby marinas). Our results were observable primarily because of the very large public FIB database available for analyses; similar approaches can be adopted at other beaches. The findings of this research have important policy implications because the selected beach management practices that were associated with low levels of FIB can be implemented in other parts of the US and around the world to improve recreational beach water quality. (C) 2018 Elsevier Ltd. All rights reserved.","container-title":"Journal of Environmental Management","DOI":"10.1016/j.jenvman.2018.02.012","ISSN":"0301-4797","journalAbbreviation":"J. Environ. Manage.","language":"English","page":"266-277","source":"Web of Science","title":"Effect of beach management policies on recreational water quality","URL":"https://repository.tudelft.nl/islandora/object/uuid%3A4cae77ec-45fd-4029-b8e5-5c3e68015b34/datastream/OBJ/download","volume":"212","author":[{"family":"Kelly","given":"Elizabeth A."},{"family":"Feng","given":"Zhixuan"},{"family":"Gidley","given":"Maribeth L."},{"family":"Sinigalliano","given":"Christopher D."},{"family":"Kumar","given":"Naresh"},{"family":"Donahue","given":"Allison G."},{"family":"Reniers","given":"Adrianus J. H. M."},{"family":"Solo-Gabriele","given":"Helena M."}],"issued":{"date-parts":[["2018",4,15]]}}}],"schema":"https://github.com/citation-style-language/schema/raw/master/csl-citation.json"} </w:instrText>
            </w:r>
            <w:r w:rsidRPr="00397A3E">
              <w:rPr>
                <w:rFonts w:asciiTheme="minorHAnsi" w:hAnsiTheme="minorHAnsi" w:cstheme="minorHAnsi"/>
                <w:noProof w:val="0"/>
                <w:szCs w:val="16"/>
              </w:rPr>
              <w:fldChar w:fldCharType="separate"/>
            </w:r>
            <w:r w:rsidRPr="00397A3E">
              <w:rPr>
                <w:rFonts w:ascii="Calibri" w:hAnsi="Calibri" w:cs="Calibri"/>
                <w:noProof w:val="0"/>
              </w:rPr>
              <w:t>Kelly, Feng, et al., (2018)</w:t>
            </w:r>
            <w:r w:rsidRPr="00397A3E">
              <w:rPr>
                <w:rFonts w:asciiTheme="minorHAnsi" w:hAnsiTheme="minorHAnsi" w:cstheme="minorHAnsi"/>
                <w:noProof w:val="0"/>
                <w:szCs w:val="16"/>
              </w:rPr>
              <w:fldChar w:fldCharType="end"/>
            </w:r>
          </w:p>
        </w:tc>
        <w:tc>
          <w:tcPr>
            <w:tcW w:w="5791" w:type="dxa"/>
            <w:tcMar>
              <w:left w:w="57" w:type="dxa"/>
              <w:right w:w="57" w:type="dxa"/>
            </w:tcMar>
            <w:vAlign w:val="top"/>
          </w:tcPr>
          <w:p w14:paraId="006D8711" w14:textId="77777777" w:rsidR="008D723D" w:rsidRPr="00397A3E" w:rsidRDefault="00171C91" w:rsidP="0075369B">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noProof w:val="0"/>
              </w:rPr>
            </w:pPr>
            <w:r w:rsidRPr="00397A3E">
              <w:rPr>
                <w:rFonts w:ascii="Calibri" w:hAnsi="Calibri" w:cs="Calibri"/>
                <w:noProof w:val="0"/>
              </w:rPr>
              <w:t>Kelly, E. A., Feng, Z., Gidley, M. L., Sinigalliano, C. D., Kumar, N., Donahue, A. G., Reniers, A. J. H. M., and Solo-Gabriele, H. M. (2018) Effect of beach management policies on recreational water quality. Journal of Environmental Management, 212, 266–277. [online] https://repository.tudelft.nl/islandora/object/uuid%3A4cae77ec-45fd-4029-b8e5-5c3e68015b34/datastream/OBJ/download.</w:t>
            </w:r>
          </w:p>
        </w:tc>
        <w:tc>
          <w:tcPr>
            <w:tcW w:w="1013" w:type="dxa"/>
            <w:tcMar>
              <w:left w:w="57" w:type="dxa"/>
              <w:right w:w="57" w:type="dxa"/>
            </w:tcMar>
          </w:tcPr>
          <w:p w14:paraId="04E34928" w14:textId="77777777" w:rsidR="008D723D" w:rsidRPr="00397A3E" w:rsidRDefault="00171C91" w:rsidP="0075369B">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noProof w:val="0"/>
              </w:rPr>
            </w:pPr>
            <w:r w:rsidRPr="00397A3E">
              <w:rPr>
                <w:rFonts w:asciiTheme="minorHAnsi" w:hAnsiTheme="minorHAnsi" w:cstheme="minorHAnsi"/>
                <w:noProof w:val="0"/>
                <w:szCs w:val="16"/>
              </w:rPr>
              <w:t>Qualitative research</w:t>
            </w:r>
          </w:p>
        </w:tc>
      </w:tr>
      <w:tr w:rsidR="00785848" w14:paraId="087E29CF" w14:textId="77777777" w:rsidTr="00785848">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nil"/>
              <w:right w:val="single" w:sz="8" w:space="0" w:color="B5DDDC"/>
            </w:tcBorders>
            <w:shd w:val="clear" w:color="000000" w:fill="D6EAEB"/>
            <w:tcMar>
              <w:left w:w="57" w:type="dxa"/>
              <w:right w:w="57" w:type="dxa"/>
            </w:tcMar>
          </w:tcPr>
          <w:p w14:paraId="52803AAD" w14:textId="77777777" w:rsidR="008D723D" w:rsidRPr="00397A3E" w:rsidRDefault="00171C91" w:rsidP="0075369B">
            <w:pPr>
              <w:spacing w:before="40" w:after="40" w:line="240" w:lineRule="auto"/>
              <w:rPr>
                <w:rFonts w:asciiTheme="minorHAnsi" w:hAnsiTheme="minorHAnsi"/>
                <w:noProof w:val="0"/>
              </w:rPr>
            </w:pPr>
            <w:r w:rsidRPr="00397A3E">
              <w:rPr>
                <w:rFonts w:asciiTheme="minorHAnsi" w:hAnsiTheme="minorHAnsi" w:cstheme="minorHAnsi"/>
                <w:noProof w:val="0"/>
                <w:szCs w:val="16"/>
              </w:rPr>
              <w:t xml:space="preserve">J23: </w:t>
            </w:r>
            <w:r w:rsidRPr="00397A3E">
              <w:rPr>
                <w:rFonts w:asciiTheme="minorHAnsi" w:hAnsiTheme="minorHAnsi" w:cstheme="minorHAnsi"/>
                <w:noProof w:val="0"/>
                <w:szCs w:val="16"/>
              </w:rPr>
              <w:fldChar w:fldCharType="begin"/>
            </w:r>
            <w:r w:rsidRPr="00397A3E">
              <w:rPr>
                <w:rFonts w:asciiTheme="minorHAnsi" w:hAnsiTheme="minorHAnsi" w:cstheme="minorHAnsi"/>
                <w:noProof w:val="0"/>
                <w:szCs w:val="16"/>
              </w:rPr>
              <w:instrText xml:space="preserve"> ADDIN ZOTERO_ITEM CSL_CITATION {"citationID":"8L3R7FT4","properties":{"custom":"Lugg, Cook, et al., (2012)","formattedCitation":"Lugg, Cook, et al., (2012)","plainCitation":"Lugg, Cook, et al., (2012)","noteIndex":0},"citationItems":[{"id":5545,"uris":["http://zotero.org/users/148142/items/V73KP9MB"],"uri":["http://zotero.org/users/148142/items/V73KP9MB"],"itemData":{"id":5545,"type":"chapter","container-title":"The Significance of Faecal Indicators in Water: A Global Perspective.","event-place":"Cambridge","ISBN":"978-1-84973-169-0","page":"62-71","publisher":"RSC Publishing","publisher-place":"Cambridge","source":"CrossRef","title":"Estimating 95th Percentiles from Microbial Sampling: A Novel Approach to Standardising their Application to Recreational Waters","title-short":"Estimating 95th Percentiles from Microbial Sampling","URL":"http://ebook.rsc.org/?DOI=10.1039/9781849735421-00062","editor":[{"family":"Kay","given":"David"},{"family":"Fricker","given":"C"}],"author":[{"family":"Lugg","given":"R.S.W."},{"family":"Cook","given":"A."},{"family":"Devine","given":"B."}],"accessed":{"date-parts":[["2014",12,17]]},"issued":{"date-parts":[["2012"]]}}}],"schema":"https://github.com/citation-style-language/schema/raw/master/csl-citation.json"} </w:instrText>
            </w:r>
            <w:r w:rsidRPr="00397A3E">
              <w:rPr>
                <w:rFonts w:asciiTheme="minorHAnsi" w:hAnsiTheme="minorHAnsi" w:cstheme="minorHAnsi"/>
                <w:noProof w:val="0"/>
                <w:szCs w:val="16"/>
              </w:rPr>
              <w:fldChar w:fldCharType="separate"/>
            </w:r>
            <w:r w:rsidRPr="00397A3E">
              <w:rPr>
                <w:rFonts w:ascii="Calibri" w:hAnsi="Calibri" w:cs="Calibri"/>
                <w:noProof w:val="0"/>
              </w:rPr>
              <w:t>Lugg, Cook, et al., (2012)</w:t>
            </w:r>
            <w:r w:rsidRPr="00397A3E">
              <w:rPr>
                <w:rFonts w:asciiTheme="minorHAnsi" w:hAnsiTheme="minorHAnsi" w:cstheme="minorHAnsi"/>
                <w:noProof w:val="0"/>
                <w:szCs w:val="16"/>
              </w:rPr>
              <w:fldChar w:fldCharType="end"/>
            </w:r>
          </w:p>
        </w:tc>
        <w:tc>
          <w:tcPr>
            <w:tcW w:w="5791" w:type="dxa"/>
            <w:tcMar>
              <w:left w:w="57" w:type="dxa"/>
              <w:right w:w="57" w:type="dxa"/>
            </w:tcMar>
            <w:vAlign w:val="top"/>
          </w:tcPr>
          <w:p w14:paraId="1C57F2F4" w14:textId="77777777" w:rsidR="008D723D" w:rsidRPr="00397A3E" w:rsidRDefault="00171C91" w:rsidP="0075369B">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noProof w:val="0"/>
              </w:rPr>
            </w:pPr>
            <w:r w:rsidRPr="00397A3E">
              <w:rPr>
                <w:rFonts w:ascii="Calibri" w:hAnsi="Calibri" w:cs="Calibri"/>
                <w:noProof w:val="0"/>
              </w:rPr>
              <w:t>Lugg, R. S. W., Cook, A., and Devine, B. (2012) “Estimating 95th Percentiles from Microbial Sampling: A Novel Approach to Standardising their Application to Recreational Waters” in D. Kay and C. Fricker (eds.), The Significance of Faecal Indicators in Water: A Global Perspective. Cambridge, RSC Publishing, 62–71. [online] http://ebook.rsc.org/?DOI=10.1039/9781849735421-00062 (Accessed December 17, 2014).</w:t>
            </w:r>
          </w:p>
        </w:tc>
        <w:tc>
          <w:tcPr>
            <w:tcW w:w="1013" w:type="dxa"/>
            <w:tcMar>
              <w:left w:w="57" w:type="dxa"/>
              <w:right w:w="57" w:type="dxa"/>
            </w:tcMar>
          </w:tcPr>
          <w:p w14:paraId="75102C3E" w14:textId="77777777" w:rsidR="008D723D" w:rsidRPr="00397A3E" w:rsidRDefault="00171C91" w:rsidP="0075369B">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noProof w:val="0"/>
              </w:rPr>
            </w:pPr>
            <w:r w:rsidRPr="00397A3E">
              <w:rPr>
                <w:rFonts w:asciiTheme="minorHAnsi" w:hAnsiTheme="minorHAnsi" w:cstheme="minorHAnsi"/>
                <w:noProof w:val="0"/>
                <w:szCs w:val="16"/>
              </w:rPr>
              <w:t>Qualitative research</w:t>
            </w:r>
          </w:p>
        </w:tc>
      </w:tr>
      <w:tr w:rsidR="00785848" w14:paraId="06E87653" w14:textId="77777777" w:rsidTr="00785848">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nil"/>
              <w:right w:val="single" w:sz="8" w:space="0" w:color="B5DDDC"/>
            </w:tcBorders>
            <w:shd w:val="clear" w:color="000000" w:fill="D6EAEB"/>
            <w:tcMar>
              <w:left w:w="57" w:type="dxa"/>
              <w:right w:w="57" w:type="dxa"/>
            </w:tcMar>
          </w:tcPr>
          <w:p w14:paraId="6B16913C" w14:textId="77777777" w:rsidR="008D723D" w:rsidRPr="00397A3E" w:rsidRDefault="00171C91" w:rsidP="0075369B">
            <w:pPr>
              <w:spacing w:before="40" w:after="40" w:line="240" w:lineRule="auto"/>
              <w:rPr>
                <w:rFonts w:asciiTheme="minorHAnsi" w:hAnsiTheme="minorHAnsi"/>
                <w:noProof w:val="0"/>
              </w:rPr>
            </w:pPr>
            <w:r w:rsidRPr="00397A3E">
              <w:rPr>
                <w:rFonts w:asciiTheme="minorHAnsi" w:hAnsiTheme="minorHAnsi" w:cstheme="minorHAnsi"/>
                <w:noProof w:val="0"/>
                <w:szCs w:val="16"/>
              </w:rPr>
              <w:t>J30:</w:t>
            </w:r>
            <w:r w:rsidRPr="00397A3E">
              <w:rPr>
                <w:rFonts w:asciiTheme="minorHAnsi" w:hAnsiTheme="minorHAnsi" w:cstheme="minorHAnsi"/>
                <w:noProof w:val="0"/>
                <w:szCs w:val="16"/>
              </w:rPr>
              <w:fldChar w:fldCharType="begin"/>
            </w:r>
            <w:r w:rsidRPr="00397A3E">
              <w:rPr>
                <w:rFonts w:asciiTheme="minorHAnsi" w:hAnsiTheme="minorHAnsi" w:cstheme="minorHAnsi"/>
                <w:noProof w:val="0"/>
                <w:szCs w:val="16"/>
              </w:rPr>
              <w:instrText xml:space="preserve"> ADDIN ZOTERO_ITEM CSL_CITATION {"citationID":"Q3j3TprO","properties":{"custom":"Robins, Farkas, et al., (2019)","formattedCitation":"Robins, Farkas, et al., (2019)","plainCitation":"Robins, Farkas, et al., (2019)","noteIndex":0},"citationItems":[{"id":12627,"uris":["http://zotero.org/users/148142/items/TNZSNJDD"],"uri":["http://zotero.org/users/148142/items/TNZSNJDD"],"itemData":{"id":12627,"type":"article-journal","archive":"Scopus","container-title":"Environment International","DOI":"10.1016/j.envint.2019.02.042","page":"430-442","title":"Viral dispersal in the coastal zone: A method to quantify water quality risk","URL":"https://www.scopus.com/inward/record.uri?eid=2-s2.0-85062216772&amp;doi=10.1016%2fj.envint.2019.02.042&amp;partnerID=40&amp;md5=72fcd9a789a4b4dd475a16a0e31978dc","volume":"126","author":[{"family":"Robins","given":"P. E."},{"family":"Farkas","given":"K."},{"family":"Cooper","given":"D."},{"family":"Malham","given":"S. K."},{"family":"Jones","given":"D. L."}],"issued":{"date-parts":[["2019"]]}}}],"schema":"https://github.com/citation-style-language/schema/raw/master/csl-citation.json"} </w:instrText>
            </w:r>
            <w:r w:rsidRPr="00397A3E">
              <w:rPr>
                <w:rFonts w:asciiTheme="minorHAnsi" w:hAnsiTheme="minorHAnsi" w:cstheme="minorHAnsi"/>
                <w:noProof w:val="0"/>
                <w:szCs w:val="16"/>
              </w:rPr>
              <w:fldChar w:fldCharType="separate"/>
            </w:r>
            <w:r w:rsidRPr="00397A3E">
              <w:rPr>
                <w:rFonts w:ascii="Calibri" w:hAnsi="Calibri" w:cs="Calibri"/>
                <w:noProof w:val="0"/>
              </w:rPr>
              <w:t>Robins, Farkas, et al., (2019)</w:t>
            </w:r>
            <w:r w:rsidRPr="00397A3E">
              <w:rPr>
                <w:rFonts w:asciiTheme="minorHAnsi" w:hAnsiTheme="minorHAnsi" w:cstheme="minorHAnsi"/>
                <w:noProof w:val="0"/>
                <w:szCs w:val="16"/>
              </w:rPr>
              <w:fldChar w:fldCharType="end"/>
            </w:r>
          </w:p>
        </w:tc>
        <w:tc>
          <w:tcPr>
            <w:tcW w:w="5791" w:type="dxa"/>
            <w:tcMar>
              <w:left w:w="57" w:type="dxa"/>
              <w:right w:w="57" w:type="dxa"/>
            </w:tcMar>
            <w:vAlign w:val="top"/>
          </w:tcPr>
          <w:p w14:paraId="5BCE9CFC" w14:textId="77777777" w:rsidR="008D723D" w:rsidRPr="00397A3E" w:rsidRDefault="00171C91" w:rsidP="0075369B">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noProof w:val="0"/>
              </w:rPr>
            </w:pPr>
            <w:r w:rsidRPr="00397A3E">
              <w:rPr>
                <w:rFonts w:ascii="Calibri" w:hAnsi="Calibri" w:cs="Calibri"/>
                <w:noProof w:val="0"/>
              </w:rPr>
              <w:t>Robins, P. E., Farkas, K., Cooper, D., Malham, S. K., and Jones, D. L. (2019) Viral dispersal in the coastal zone: A method to quantify water quality risk. Environment International, 126, 430–442. [online] https://www.scopus.com/inward/record.uri?eid=2-s2.0-85062216772&amp;doi=10.1016%2fj.envint.2019.02.042&amp;partnerID=40&amp;md5=72fcd9a789a4b4dd475a16a0e31978dc.</w:t>
            </w:r>
          </w:p>
        </w:tc>
        <w:tc>
          <w:tcPr>
            <w:tcW w:w="1013" w:type="dxa"/>
            <w:tcMar>
              <w:left w:w="57" w:type="dxa"/>
              <w:right w:w="57" w:type="dxa"/>
            </w:tcMar>
          </w:tcPr>
          <w:p w14:paraId="206968DC" w14:textId="77777777" w:rsidR="008D723D" w:rsidRPr="00397A3E" w:rsidRDefault="00171C91" w:rsidP="0075369B">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noProof w:val="0"/>
              </w:rPr>
            </w:pPr>
            <w:r w:rsidRPr="00397A3E">
              <w:rPr>
                <w:rFonts w:asciiTheme="minorHAnsi" w:hAnsiTheme="minorHAnsi" w:cstheme="minorHAnsi"/>
                <w:noProof w:val="0"/>
                <w:szCs w:val="16"/>
              </w:rPr>
              <w:t>Qualitative research</w:t>
            </w:r>
          </w:p>
        </w:tc>
      </w:tr>
      <w:tr w:rsidR="00785848" w14:paraId="7CC95E5C" w14:textId="77777777" w:rsidTr="00785848">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nil"/>
              <w:right w:val="single" w:sz="8" w:space="0" w:color="B5DDDC"/>
            </w:tcBorders>
            <w:shd w:val="clear" w:color="000000" w:fill="D6EAEB"/>
            <w:tcMar>
              <w:left w:w="57" w:type="dxa"/>
              <w:right w:w="57" w:type="dxa"/>
            </w:tcMar>
          </w:tcPr>
          <w:p w14:paraId="1F0FFCAF" w14:textId="12BDC45D" w:rsidR="008D723D" w:rsidRPr="00397A3E" w:rsidRDefault="00171C91" w:rsidP="0075369B">
            <w:pPr>
              <w:spacing w:before="40" w:after="40" w:line="240" w:lineRule="auto"/>
              <w:rPr>
                <w:rFonts w:asciiTheme="minorHAnsi" w:hAnsiTheme="minorHAnsi"/>
                <w:noProof w:val="0"/>
              </w:rPr>
            </w:pPr>
            <w:bookmarkStart w:id="355" w:name="_Hlk92720843"/>
            <w:r w:rsidRPr="00397A3E">
              <w:rPr>
                <w:rFonts w:asciiTheme="minorHAnsi" w:hAnsiTheme="minorHAnsi" w:cstheme="minorHAnsi"/>
                <w:noProof w:val="0"/>
                <w:szCs w:val="16"/>
              </w:rPr>
              <w:t xml:space="preserve">J34: </w:t>
            </w:r>
            <w:r w:rsidRPr="00397A3E">
              <w:rPr>
                <w:rFonts w:asciiTheme="minorHAnsi" w:hAnsiTheme="minorHAnsi" w:cstheme="minorHAnsi"/>
                <w:noProof w:val="0"/>
                <w:szCs w:val="16"/>
              </w:rPr>
              <w:fldChar w:fldCharType="begin"/>
            </w:r>
            <w:r w:rsidR="00F84CE9" w:rsidRPr="00397A3E">
              <w:rPr>
                <w:rFonts w:asciiTheme="minorHAnsi" w:hAnsiTheme="minorHAnsi" w:cstheme="minorHAnsi"/>
                <w:noProof w:val="0"/>
                <w:szCs w:val="16"/>
              </w:rPr>
              <w:instrText xml:space="preserve"> ADDIN ZOTERO_ITEM CSL_CITATION {"citationID":"mOuoBYWD","properties":{"custom":"Russo, Eftim, et al., (2020)","formattedCitation":"Russo, Eftim, et al., (2020)","plainCitation":"Russo, Eftim, et al., (2020)","noteIndex":0},"citationItems":[{"id":12671,"uris":["http://zotero.org/users/148142/items/W56RG33S"],"uri":["http://zotero.org/users/148142/items/W56RG33S"],"itemData":{"id":12671,"type":"article-journal","archive":"Scopus","container-title":"Water Research","DOI":"10.1016/j.watres.2020.115729","title":"Evaluating health risks associated with exposure to ambient surface waters during recreational activities: A systematic review and meta-analysis","URL":"https://www.scopus.com/inward/record.uri?eid=2-s2.0-85082875333&amp;doi=10.1016%2fj.watres.2020.115729&amp;partnerID=40&amp;md5=b8d28f8b8576aa1d50ad124e4649f95f","volume":"176","author":[{"family":"Russo","given":"G. S."},{"family":"Eftim","given":"S. E."},{"family":"Goldstone","given":"A. E."},{"family":"Dufour","given":"A. P."},{"family":"Nappier","given":"S. P."},{"family":"Wade","given":"T. J."}],"issued":{"date-parts":[["2020"]]}}}],"schema":"https://github.com/citation-style-language/schema/raw/master/csl-citation.json"} </w:instrText>
            </w:r>
            <w:r w:rsidRPr="00397A3E">
              <w:rPr>
                <w:rFonts w:asciiTheme="minorHAnsi" w:hAnsiTheme="minorHAnsi" w:cstheme="minorHAnsi"/>
                <w:noProof w:val="0"/>
                <w:szCs w:val="16"/>
              </w:rPr>
              <w:fldChar w:fldCharType="separate"/>
            </w:r>
            <w:r w:rsidRPr="00397A3E">
              <w:rPr>
                <w:rFonts w:ascii="Calibri" w:hAnsi="Calibri" w:cs="Calibri"/>
                <w:noProof w:val="0"/>
              </w:rPr>
              <w:t>Russo, Eftim, et al., (2020)</w:t>
            </w:r>
            <w:r w:rsidRPr="00397A3E">
              <w:rPr>
                <w:rFonts w:asciiTheme="minorHAnsi" w:hAnsiTheme="minorHAnsi" w:cstheme="minorHAnsi"/>
                <w:noProof w:val="0"/>
                <w:szCs w:val="16"/>
              </w:rPr>
              <w:fldChar w:fldCharType="end"/>
            </w:r>
          </w:p>
        </w:tc>
        <w:tc>
          <w:tcPr>
            <w:tcW w:w="5791" w:type="dxa"/>
            <w:tcMar>
              <w:left w:w="57" w:type="dxa"/>
              <w:right w:w="57" w:type="dxa"/>
            </w:tcMar>
            <w:vAlign w:val="top"/>
          </w:tcPr>
          <w:p w14:paraId="435D97B2" w14:textId="77777777" w:rsidR="008D723D" w:rsidRPr="00397A3E" w:rsidRDefault="00171C91" w:rsidP="0075369B">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noProof w:val="0"/>
              </w:rPr>
            </w:pPr>
            <w:r w:rsidRPr="00397A3E">
              <w:rPr>
                <w:rFonts w:ascii="Calibri" w:hAnsi="Calibri" w:cs="Calibri"/>
                <w:noProof w:val="0"/>
              </w:rPr>
              <w:t>Russo, G. S., Eftim, S. E., Goldstone, A. E., Dufour, A. P., Nappier, S. P., and Wade, T. J. (2020) Evaluating health risks associated with exposure to ambient surface waters during recreational activities: A systematic review and meta-analysis. Water Research, 176. [online] https://www.scopus.com/inward/record.uri?eid=2-s2.0-85082875333&amp;doi=10.1016%2fj.watres.2020.115729&amp;partnerID=40&amp;md5=b8d28f8b8576aa1d50ad124e4649f95f.</w:t>
            </w:r>
          </w:p>
        </w:tc>
        <w:tc>
          <w:tcPr>
            <w:tcW w:w="1013" w:type="dxa"/>
            <w:tcMar>
              <w:left w:w="57" w:type="dxa"/>
              <w:right w:w="57" w:type="dxa"/>
            </w:tcMar>
          </w:tcPr>
          <w:p w14:paraId="7891647F" w14:textId="77777777" w:rsidR="008D723D" w:rsidRPr="00397A3E" w:rsidRDefault="00171C91" w:rsidP="0075369B">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noProof w:val="0"/>
              </w:rPr>
            </w:pPr>
            <w:r w:rsidRPr="00397A3E">
              <w:rPr>
                <w:rFonts w:asciiTheme="minorHAnsi" w:hAnsiTheme="minorHAnsi" w:cstheme="minorHAnsi"/>
                <w:noProof w:val="0"/>
                <w:szCs w:val="16"/>
              </w:rPr>
              <w:t>Systematic review</w:t>
            </w:r>
          </w:p>
        </w:tc>
      </w:tr>
      <w:bookmarkEnd w:id="355"/>
      <w:tr w:rsidR="00785848" w14:paraId="0B1573FD" w14:textId="77777777" w:rsidTr="00785848">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nil"/>
              <w:right w:val="single" w:sz="8" w:space="0" w:color="B5DDDC"/>
            </w:tcBorders>
            <w:shd w:val="clear" w:color="000000" w:fill="D6EAEB"/>
            <w:tcMar>
              <w:left w:w="57" w:type="dxa"/>
              <w:right w:w="57" w:type="dxa"/>
            </w:tcMar>
          </w:tcPr>
          <w:p w14:paraId="5435E3EF" w14:textId="77777777" w:rsidR="008D723D" w:rsidRPr="00397A3E" w:rsidRDefault="00171C91" w:rsidP="0075369B">
            <w:pPr>
              <w:spacing w:before="40" w:after="40" w:line="240" w:lineRule="auto"/>
              <w:rPr>
                <w:rFonts w:asciiTheme="minorHAnsi" w:hAnsiTheme="minorHAnsi"/>
                <w:noProof w:val="0"/>
              </w:rPr>
            </w:pPr>
            <w:r w:rsidRPr="00397A3E">
              <w:rPr>
                <w:rFonts w:asciiTheme="minorHAnsi" w:hAnsiTheme="minorHAnsi" w:cstheme="minorHAnsi"/>
                <w:noProof w:val="0"/>
                <w:szCs w:val="16"/>
              </w:rPr>
              <w:t xml:space="preserve">J35: </w:t>
            </w:r>
            <w:r w:rsidRPr="00397A3E">
              <w:rPr>
                <w:rFonts w:asciiTheme="minorHAnsi" w:hAnsiTheme="minorHAnsi" w:cstheme="minorHAnsi"/>
                <w:noProof w:val="0"/>
                <w:szCs w:val="16"/>
              </w:rPr>
              <w:fldChar w:fldCharType="begin"/>
            </w:r>
            <w:r w:rsidRPr="00397A3E">
              <w:rPr>
                <w:rFonts w:asciiTheme="minorHAnsi" w:hAnsiTheme="minorHAnsi" w:cstheme="minorHAnsi"/>
                <w:noProof w:val="0"/>
                <w:szCs w:val="16"/>
              </w:rPr>
              <w:instrText xml:space="preserve"> ADDIN ZOTERO_ITEM CSL_CITATION {"citationID":"HmkKrJOs","properties":{"custom":"Schoen, Boehm, et al., (2020)","formattedCitation":"Schoen, Boehm, et al., (2020)","plainCitation":"Schoen, Boehm, et al., (2020)","noteIndex":0},"citationItems":[{"id":13550,"uris":["http://zotero.org/users/148142/items/YHHTP6FN"],"uri":["http://zotero.org/users/148142/items/YHHTP6FN"],"itemData":{"id":13550,"type":"article-journal","abstract":"Fecal pollution at beaches can pose a health risk to recreators. Quantitative Microbial Risk Assessment (QMRA) is a tool to evaluate the use of candidate fecal indicators to signify health risk from enteric pathogens in sewage-impacted waters. We extend the QMRA approach to model mixtures of sewage at different ages using genetic marker concentrations for human-associated crAssphage, Bacteroides spp., and polyomavirus in sewage samples from 49 wastewater facilities across the contiguous United States. Risk-based threshold (RBT) estimates varied across different mixture and sewage age scenarios. Fresh sewage RBT estimates were not always protective when aged sewage was present and aged sewage RBT estimates often fell below the marker lower limit of quantification. Conservative RBT estimates of 9.3×102 and 9.1×103 (copies/100 mL) for HF183/BacR287 and CPQ_056, respectively, were predicted when fresh sewage was greater (by volume) than aged at the time of measurement. Conversely, genetic markers may not be effective indicators when aged sewage contributes the majority of pathogens, relative to fresh contamination, but minimal marker levels. Results highlight the utility of QMRA that incorporates pollutant age and mixture scenarios, the potential advantages of a crAssphage fecal indicator, and the potential influence of site-specific factors on estimating RBT values.","container-title":"Environmental Science &amp; Technology","DOI":"10.1021/acs.est.0c02189","ISSN":"1520-5851","journalAbbreviation":"Environ. Sci. Technol.","language":"eng","source":"PubMed","title":"Contamination scenario matters when using viral and bacterial human-associated genetic markers as indicators of health risk in untreated sewage-impacted recreational waters","URL":"http://www.ncbi.nlm.nih.gov/pubmed/32969642","author":[{"family":"Schoen","given":"Mary E."},{"family":"Boehm","given":"Alexandria B."},{"family":"Soller","given":"Jeffrey"},{"family":"Shanks","given":"Orin C."}],"issued":{"date-parts":[["2020",9,24]]}}}],"schema":"https://github.com/citation-style-language/schema/raw/master/csl-citation.json"} </w:instrText>
            </w:r>
            <w:r w:rsidRPr="00397A3E">
              <w:rPr>
                <w:rFonts w:asciiTheme="minorHAnsi" w:hAnsiTheme="minorHAnsi" w:cstheme="minorHAnsi"/>
                <w:noProof w:val="0"/>
                <w:szCs w:val="16"/>
              </w:rPr>
              <w:fldChar w:fldCharType="separate"/>
            </w:r>
            <w:r w:rsidRPr="00397A3E">
              <w:rPr>
                <w:rFonts w:ascii="Calibri" w:hAnsi="Calibri" w:cs="Calibri"/>
                <w:noProof w:val="0"/>
              </w:rPr>
              <w:t>Schoen, Boehm, et al., (2020)</w:t>
            </w:r>
            <w:r w:rsidRPr="00397A3E">
              <w:rPr>
                <w:rFonts w:asciiTheme="minorHAnsi" w:hAnsiTheme="minorHAnsi" w:cstheme="minorHAnsi"/>
                <w:noProof w:val="0"/>
                <w:szCs w:val="16"/>
              </w:rPr>
              <w:fldChar w:fldCharType="end"/>
            </w:r>
          </w:p>
        </w:tc>
        <w:tc>
          <w:tcPr>
            <w:tcW w:w="5791" w:type="dxa"/>
            <w:tcMar>
              <w:left w:w="57" w:type="dxa"/>
              <w:right w:w="57" w:type="dxa"/>
            </w:tcMar>
            <w:vAlign w:val="top"/>
          </w:tcPr>
          <w:p w14:paraId="3276330C" w14:textId="77777777" w:rsidR="008D723D" w:rsidRPr="00397A3E" w:rsidRDefault="00171C91" w:rsidP="0075369B">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noProof w:val="0"/>
              </w:rPr>
            </w:pPr>
            <w:r w:rsidRPr="00397A3E">
              <w:rPr>
                <w:rFonts w:ascii="Calibri" w:hAnsi="Calibri" w:cs="Calibri"/>
                <w:noProof w:val="0"/>
              </w:rPr>
              <w:t>Schoen, M. E., Boehm, A. B., Soller, J., and Shanks, O. C. (2020) Contamination scenario matters when using viral and bacterial human-associated genetic markers as indicators of health risk in untreated sewage-impacted recreational waters. Environmental Science &amp; Technology. [online] http://www.ncbi.nlm.nih.gov/pubmed/32969642.</w:t>
            </w:r>
          </w:p>
        </w:tc>
        <w:tc>
          <w:tcPr>
            <w:tcW w:w="1013" w:type="dxa"/>
            <w:tcMar>
              <w:left w:w="57" w:type="dxa"/>
              <w:right w:w="57" w:type="dxa"/>
            </w:tcMar>
          </w:tcPr>
          <w:p w14:paraId="7B912A6C" w14:textId="77777777" w:rsidR="008D723D" w:rsidRPr="00397A3E" w:rsidRDefault="00171C91" w:rsidP="0075369B">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noProof w:val="0"/>
              </w:rPr>
            </w:pPr>
            <w:r w:rsidRPr="00397A3E">
              <w:rPr>
                <w:rFonts w:asciiTheme="minorHAnsi" w:hAnsiTheme="minorHAnsi" w:cstheme="minorHAnsi"/>
                <w:noProof w:val="0"/>
                <w:szCs w:val="16"/>
              </w:rPr>
              <w:t>Qualitative research</w:t>
            </w:r>
          </w:p>
        </w:tc>
      </w:tr>
      <w:tr w:rsidR="00785848" w14:paraId="1822E5E3" w14:textId="77777777" w:rsidTr="00785848">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single" w:sz="8" w:space="0" w:color="B5DDDC"/>
              <w:right w:val="single" w:sz="8" w:space="0" w:color="B5DDDC"/>
            </w:tcBorders>
            <w:shd w:val="clear" w:color="000000" w:fill="D6EAEB"/>
            <w:tcMar>
              <w:left w:w="57" w:type="dxa"/>
              <w:right w:w="57" w:type="dxa"/>
            </w:tcMar>
          </w:tcPr>
          <w:p w14:paraId="510F6309" w14:textId="77777777" w:rsidR="008D723D" w:rsidRPr="00397A3E" w:rsidRDefault="00171C91" w:rsidP="0075369B">
            <w:pPr>
              <w:spacing w:before="40" w:after="40" w:line="240" w:lineRule="auto"/>
              <w:rPr>
                <w:rFonts w:asciiTheme="minorHAnsi" w:hAnsiTheme="minorHAnsi"/>
                <w:noProof w:val="0"/>
              </w:rPr>
            </w:pPr>
            <w:r w:rsidRPr="00397A3E">
              <w:rPr>
                <w:rFonts w:asciiTheme="minorHAnsi" w:hAnsiTheme="minorHAnsi" w:cstheme="minorHAnsi"/>
                <w:noProof w:val="0"/>
                <w:szCs w:val="16"/>
              </w:rPr>
              <w:t xml:space="preserve">J36: </w:t>
            </w:r>
            <w:r w:rsidRPr="00397A3E">
              <w:rPr>
                <w:rFonts w:asciiTheme="minorHAnsi" w:hAnsiTheme="minorHAnsi" w:cstheme="minorHAnsi"/>
                <w:noProof w:val="0"/>
                <w:szCs w:val="16"/>
              </w:rPr>
              <w:fldChar w:fldCharType="begin"/>
            </w:r>
            <w:r w:rsidRPr="00397A3E">
              <w:rPr>
                <w:rFonts w:asciiTheme="minorHAnsi" w:hAnsiTheme="minorHAnsi" w:cstheme="minorHAnsi"/>
                <w:noProof w:val="0"/>
                <w:szCs w:val="16"/>
              </w:rPr>
              <w:instrText xml:space="preserve"> ADDIN ZOTERO_ITEM CSL_CITATION {"citationID":"xFBbGpD7","properties":{"custom":"Shrestha and Dorevitch, (2019)","formattedCitation":"Shrestha and Dorevitch, (2019)","plainCitation":"Shrestha and Dorevitch, (2019)","noteIndex":0},"citationItems":[{"id":12632,"uris":["http://zotero.org/users/148142/items/WDBYUYC6"],"uri":["http://zotero.org/users/148142/items/WDBYUYC6"],"itemData":{"id":12632,"type":"article-journal","archive":"Scopus","container-title":"Water Research","DOI":"10.1016/j.watres.2019.03.034","page":"395-403","title":"Evaluation of rapid qPCR method for quantification of E. coli at non-point source impacted Lake Michigan beaches","URL":"https://www.scopus.com/inward/record.uri?eid=2-s2.0-85063941252&amp;doi=10.1016%2fj.watres.2019.03.034&amp;partnerID=40&amp;md5=8d0a3a8e1bd9c65175f11c60ca03b025","volume":"156","author":[{"family":"Shrestha","given":"A."},{"family":"Dorevitch","given":"S."}],"issued":{"date-parts":[["2019"]]}}}],"schema":"https://github.com/citation-style-language/schema/raw/master/csl-citation.json"} </w:instrText>
            </w:r>
            <w:r w:rsidRPr="00397A3E">
              <w:rPr>
                <w:rFonts w:asciiTheme="minorHAnsi" w:hAnsiTheme="minorHAnsi" w:cstheme="minorHAnsi"/>
                <w:noProof w:val="0"/>
                <w:szCs w:val="16"/>
              </w:rPr>
              <w:fldChar w:fldCharType="separate"/>
            </w:r>
            <w:r w:rsidRPr="00397A3E">
              <w:rPr>
                <w:rFonts w:ascii="Calibri" w:hAnsi="Calibri" w:cs="Calibri"/>
                <w:noProof w:val="0"/>
              </w:rPr>
              <w:t>Shrestha and Dorevitch, (2019)</w:t>
            </w:r>
            <w:r w:rsidRPr="00397A3E">
              <w:rPr>
                <w:rFonts w:asciiTheme="minorHAnsi" w:hAnsiTheme="minorHAnsi" w:cstheme="minorHAnsi"/>
                <w:noProof w:val="0"/>
                <w:szCs w:val="16"/>
              </w:rPr>
              <w:fldChar w:fldCharType="end"/>
            </w:r>
          </w:p>
        </w:tc>
        <w:tc>
          <w:tcPr>
            <w:tcW w:w="5791" w:type="dxa"/>
            <w:tcMar>
              <w:left w:w="57" w:type="dxa"/>
              <w:right w:w="57" w:type="dxa"/>
            </w:tcMar>
            <w:vAlign w:val="top"/>
          </w:tcPr>
          <w:p w14:paraId="56573DF7" w14:textId="77777777" w:rsidR="008D723D" w:rsidRPr="00397A3E" w:rsidRDefault="00171C91" w:rsidP="0075369B">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noProof w:val="0"/>
              </w:rPr>
            </w:pPr>
            <w:r w:rsidRPr="00397A3E">
              <w:rPr>
                <w:rFonts w:ascii="Calibri" w:hAnsi="Calibri" w:cs="Calibri"/>
                <w:noProof w:val="0"/>
              </w:rPr>
              <w:t xml:space="preserve">Shrestha, A. and Dorevitch, S. (2019) Evaluation of rapid qPCR method for quantification of </w:t>
            </w:r>
            <w:r w:rsidRPr="00397A3E">
              <w:rPr>
                <w:rFonts w:ascii="Calibri" w:hAnsi="Calibri" w:cs="Calibri"/>
                <w:i/>
                <w:noProof w:val="0"/>
              </w:rPr>
              <w:t>E. coli</w:t>
            </w:r>
            <w:r w:rsidRPr="00397A3E">
              <w:rPr>
                <w:rFonts w:ascii="Calibri" w:hAnsi="Calibri" w:cs="Calibri"/>
                <w:noProof w:val="0"/>
              </w:rPr>
              <w:t xml:space="preserve"> at non-point source impacted Lake Michigan beaches. Water Research, 156, 395–403. [online] https://www.scopus.com/inward/record.uri?eid=2-s2.0-85063941252&amp;doi=10.1016%2fj.watres.2019.03.034&amp;partnerID=40&amp;md5=8d0a3a8e1bd9c65175f11c60ca03b025.</w:t>
            </w:r>
          </w:p>
        </w:tc>
        <w:tc>
          <w:tcPr>
            <w:tcW w:w="1013" w:type="dxa"/>
            <w:tcMar>
              <w:left w:w="57" w:type="dxa"/>
              <w:right w:w="57" w:type="dxa"/>
            </w:tcMar>
          </w:tcPr>
          <w:p w14:paraId="6BF10392" w14:textId="77777777" w:rsidR="008D723D" w:rsidRPr="00397A3E" w:rsidRDefault="00171C91" w:rsidP="0075369B">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noProof w:val="0"/>
              </w:rPr>
            </w:pPr>
            <w:r w:rsidRPr="00397A3E">
              <w:rPr>
                <w:rFonts w:asciiTheme="minorHAnsi" w:hAnsiTheme="minorHAnsi" w:cstheme="minorHAnsi"/>
                <w:noProof w:val="0"/>
                <w:szCs w:val="16"/>
              </w:rPr>
              <w:t>Qualitative research</w:t>
            </w:r>
          </w:p>
        </w:tc>
      </w:tr>
      <w:bookmarkEnd w:id="353"/>
      <w:bookmarkEnd w:id="354"/>
    </w:tbl>
    <w:p w14:paraId="5333B550" w14:textId="77777777" w:rsidR="00E85760" w:rsidRPr="00397A3E" w:rsidRDefault="00E85760" w:rsidP="00E85760">
      <w:pPr>
        <w:rPr>
          <w:noProof w:val="0"/>
        </w:rPr>
      </w:pPr>
    </w:p>
    <w:p w14:paraId="16C33147" w14:textId="33AD2EA4" w:rsidR="003228AA" w:rsidRPr="00397A3E" w:rsidRDefault="00171C91" w:rsidP="005B36E3">
      <w:pPr>
        <w:pStyle w:val="Heading1"/>
        <w:rPr>
          <w:noProof w:val="0"/>
        </w:rPr>
      </w:pPr>
      <w:bookmarkStart w:id="356" w:name="_Toc106964836"/>
      <w:r w:rsidRPr="00397A3E">
        <w:rPr>
          <w:noProof w:val="0"/>
        </w:rPr>
        <w:t xml:space="preserve">Significance of </w:t>
      </w:r>
      <w:r w:rsidR="002F3948" w:rsidRPr="00397A3E">
        <w:rPr>
          <w:noProof w:val="0"/>
        </w:rPr>
        <w:t xml:space="preserve">microbial </w:t>
      </w:r>
      <w:r w:rsidRPr="00397A3E">
        <w:rPr>
          <w:noProof w:val="0"/>
        </w:rPr>
        <w:t>risks to human health in recreational waters</w:t>
      </w:r>
      <w:bookmarkEnd w:id="356"/>
    </w:p>
    <w:p w14:paraId="2B02BBA1" w14:textId="214DD1E3" w:rsidR="00BD3AF9" w:rsidRPr="00397A3E" w:rsidRDefault="00171C91" w:rsidP="006F7E5B">
      <w:pPr>
        <w:pStyle w:val="Heading2"/>
        <w:rPr>
          <w:noProof w:val="0"/>
        </w:rPr>
      </w:pPr>
      <w:bookmarkStart w:id="357" w:name="_Toc106964837"/>
      <w:r w:rsidRPr="00397A3E">
        <w:rPr>
          <w:noProof w:val="0"/>
        </w:rPr>
        <w:t>Review of</w:t>
      </w:r>
      <w:r w:rsidR="003228AA" w:rsidRPr="00397A3E">
        <w:rPr>
          <w:noProof w:val="0"/>
        </w:rPr>
        <w:t xml:space="preserve"> </w:t>
      </w:r>
      <w:r w:rsidR="00F76269" w:rsidRPr="00397A3E">
        <w:rPr>
          <w:noProof w:val="0"/>
        </w:rPr>
        <w:t xml:space="preserve">existing </w:t>
      </w:r>
      <w:r w:rsidR="00A60C14" w:rsidRPr="00397A3E">
        <w:rPr>
          <w:noProof w:val="0"/>
        </w:rPr>
        <w:t>grey literature</w:t>
      </w:r>
      <w:bookmarkEnd w:id="357"/>
    </w:p>
    <w:p w14:paraId="49806944" w14:textId="3D7D791B" w:rsidR="00134C39" w:rsidRPr="00397A3E" w:rsidRDefault="00171C91" w:rsidP="00134C39">
      <w:pPr>
        <w:pStyle w:val="Heading3"/>
        <w:rPr>
          <w:noProof w:val="0"/>
          <w:color w:val="auto"/>
        </w:rPr>
      </w:pPr>
      <w:bookmarkStart w:id="358" w:name="_Toc106964838"/>
      <w:r w:rsidRPr="00397A3E">
        <w:rPr>
          <w:noProof w:val="0"/>
          <w:color w:val="auto"/>
        </w:rPr>
        <w:t xml:space="preserve">Primary </w:t>
      </w:r>
      <w:r w:rsidR="006156CC" w:rsidRPr="00397A3E">
        <w:rPr>
          <w:noProof w:val="0"/>
          <w:color w:val="auto"/>
        </w:rPr>
        <w:t>r</w:t>
      </w:r>
      <w:r w:rsidRPr="00397A3E">
        <w:rPr>
          <w:noProof w:val="0"/>
          <w:color w:val="auto"/>
        </w:rPr>
        <w:t xml:space="preserve">esearch </w:t>
      </w:r>
      <w:r w:rsidR="006156CC" w:rsidRPr="00397A3E">
        <w:rPr>
          <w:noProof w:val="0"/>
          <w:color w:val="auto"/>
        </w:rPr>
        <w:t>q</w:t>
      </w:r>
      <w:r w:rsidRPr="00397A3E">
        <w:rPr>
          <w:noProof w:val="0"/>
          <w:color w:val="auto"/>
        </w:rPr>
        <w:t>uestion</w:t>
      </w:r>
      <w:bookmarkEnd w:id="358"/>
    </w:p>
    <w:p w14:paraId="1DF7E68D" w14:textId="17F25F80" w:rsidR="00134C39" w:rsidRPr="00397A3E" w:rsidRDefault="00171C91" w:rsidP="002437BF">
      <w:pPr>
        <w:ind w:left="720"/>
        <w:rPr>
          <w:i/>
          <w:noProof w:val="0"/>
        </w:rPr>
      </w:pPr>
      <w:bookmarkStart w:id="359" w:name="_Hlk72240277"/>
      <w:r w:rsidRPr="00397A3E">
        <w:rPr>
          <w:i/>
          <w:noProof w:val="0"/>
        </w:rPr>
        <w:t xml:space="preserve">How can we monitor, </w:t>
      </w:r>
      <w:r w:rsidR="004923A6" w:rsidRPr="00397A3E">
        <w:rPr>
          <w:i/>
          <w:noProof w:val="0"/>
        </w:rPr>
        <w:t>assess,</w:t>
      </w:r>
      <w:r w:rsidRPr="00397A3E">
        <w:rPr>
          <w:i/>
          <w:noProof w:val="0"/>
        </w:rPr>
        <w:t xml:space="preserve"> and predict risks from diffuse and point source microbial contamination in recreational waters?</w:t>
      </w:r>
    </w:p>
    <w:p w14:paraId="3AAFEC5C" w14:textId="172578F7" w:rsidR="005B3893" w:rsidRPr="00397A3E" w:rsidRDefault="00171C91" w:rsidP="005B3893">
      <w:pPr>
        <w:rPr>
          <w:noProof w:val="0"/>
        </w:rPr>
      </w:pPr>
      <w:r w:rsidRPr="00397A3E">
        <w:rPr>
          <w:noProof w:val="0"/>
        </w:rPr>
        <w:t>As noted earlier, the grey literature available for review following quality and risk of bias assessments consisted of one original report, two guideline documents and three systematic reviews</w:t>
      </w:r>
      <w:r w:rsidR="00FD2CBE" w:rsidRPr="00397A3E">
        <w:rPr>
          <w:noProof w:val="0"/>
        </w:rPr>
        <w:t xml:space="preserve"> (</w:t>
      </w:r>
      <w:r w:rsidR="00FD2CBE" w:rsidRPr="00397A3E">
        <w:rPr>
          <w:noProof w:val="0"/>
        </w:rPr>
        <w:fldChar w:fldCharType="begin"/>
      </w:r>
      <w:r w:rsidR="00FD2CBE" w:rsidRPr="00397A3E">
        <w:rPr>
          <w:noProof w:val="0"/>
        </w:rPr>
        <w:instrText xml:space="preserve"> REF _Ref70947379 \h </w:instrText>
      </w:r>
      <w:r w:rsidR="00FD2CBE" w:rsidRPr="00397A3E">
        <w:rPr>
          <w:noProof w:val="0"/>
        </w:rPr>
      </w:r>
      <w:r w:rsidR="00FD2CBE" w:rsidRPr="00397A3E">
        <w:rPr>
          <w:noProof w:val="0"/>
        </w:rPr>
        <w:fldChar w:fldCharType="separate"/>
      </w:r>
      <w:r w:rsidR="001A0E9F" w:rsidRPr="00397A3E">
        <w:rPr>
          <w:noProof w:val="0"/>
        </w:rPr>
        <w:t xml:space="preserve">Table </w:t>
      </w:r>
      <w:r w:rsidR="001A0E9F">
        <w:t>5</w:t>
      </w:r>
      <w:r w:rsidR="001A0E9F">
        <w:rPr>
          <w:noProof w:val="0"/>
        </w:rPr>
        <w:noBreakHyphen/>
      </w:r>
      <w:r w:rsidR="001A0E9F">
        <w:t>1</w:t>
      </w:r>
      <w:r w:rsidR="00FD2CBE" w:rsidRPr="00397A3E">
        <w:rPr>
          <w:noProof w:val="0"/>
        </w:rPr>
        <w:fldChar w:fldCharType="end"/>
      </w:r>
      <w:r w:rsidR="00FD2CBE" w:rsidRPr="00397A3E">
        <w:rPr>
          <w:noProof w:val="0"/>
        </w:rPr>
        <w:t>)</w:t>
      </w:r>
      <w:r w:rsidRPr="00397A3E">
        <w:rPr>
          <w:noProof w:val="0"/>
        </w:rPr>
        <w:t xml:space="preserve">.  </w:t>
      </w:r>
      <w:r w:rsidR="00FD2CBE" w:rsidRPr="00397A3E">
        <w:rPr>
          <w:noProof w:val="0"/>
        </w:rPr>
        <w:t>While the</w:t>
      </w:r>
      <w:r w:rsidRPr="00397A3E">
        <w:rPr>
          <w:noProof w:val="0"/>
        </w:rPr>
        <w:t xml:space="preserve"> </w:t>
      </w:r>
      <w:r w:rsidR="009F77CD" w:rsidRPr="00397A3E">
        <w:rPr>
          <w:noProof w:val="0"/>
        </w:rPr>
        <w:t xml:space="preserve">six documents address different aspects of microbial risks to recreational </w:t>
      </w:r>
      <w:r w:rsidR="00FD2CBE" w:rsidRPr="00397A3E">
        <w:rPr>
          <w:noProof w:val="0"/>
        </w:rPr>
        <w:t>waters, each document is comprehensive and there is significant overlap in issues covered.  Each document also contained material relevant to the primary research question.</w:t>
      </w:r>
    </w:p>
    <w:p w14:paraId="0D261754" w14:textId="4757C1B9" w:rsidR="00B80A8B" w:rsidRPr="00397A3E" w:rsidRDefault="00171C91" w:rsidP="005B3893">
      <w:pPr>
        <w:rPr>
          <w:b/>
          <w:bCs/>
          <w:noProof w:val="0"/>
        </w:rPr>
      </w:pPr>
      <w:bookmarkStart w:id="360" w:name="_Hlk92880427"/>
      <w:r w:rsidRPr="00397A3E">
        <w:rPr>
          <w:b/>
          <w:bCs/>
          <w:noProof w:val="0"/>
        </w:rPr>
        <w:t xml:space="preserve">G3: </w:t>
      </w:r>
      <w:r w:rsidRPr="00397A3E">
        <w:rPr>
          <w:b/>
          <w:bCs/>
          <w:noProof w:val="0"/>
        </w:rPr>
        <w:fldChar w:fldCharType="begin"/>
      </w:r>
      <w:r w:rsidR="00F84CE9" w:rsidRPr="00397A3E">
        <w:rPr>
          <w:b/>
          <w:bCs/>
          <w:noProof w:val="0"/>
        </w:rPr>
        <w:instrText xml:space="preserve"> ADDIN ZOTERO_ITEM CSL_CITATION {"citationID":"kUaYAEH1","properties":{"custom":"EPA Victoria (2021)","formattedCitation":"EPA Victoria (2021)","plainCitation":"EPA Victoria (2021)","noteIndex":0},"citationItems":[{"id":17578,"uris":["http://zotero.org/users/148142/items/HPITMMGC"],"uri":["http://zotero.org/users/148142/items/HPITMMGC"],"itemData":{"id":17578,"type":"report","publisher":"Environment Protection Authority, Victoria","title":"Quantitative Microbial Risk Assessment (QMRA) for assessing risks to recreational users in Port Phillip Bay. EPA Publication 2007, June 2021","author":[{"literal":"EPA Victoria"}],"issued":{"date-parts":[["2021"]]}}}],"schema":"https://github.com/citation-style-language/schema/raw/master/csl-citation.json"} </w:instrText>
      </w:r>
      <w:r w:rsidRPr="00397A3E">
        <w:rPr>
          <w:b/>
          <w:bCs/>
          <w:noProof w:val="0"/>
        </w:rPr>
        <w:fldChar w:fldCharType="separate"/>
      </w:r>
      <w:r w:rsidRPr="00397A3E">
        <w:rPr>
          <w:b/>
          <w:bCs/>
          <w:noProof w:val="0"/>
        </w:rPr>
        <w:t>EPA Victoria (2021)</w:t>
      </w:r>
      <w:r w:rsidRPr="00397A3E">
        <w:rPr>
          <w:b/>
          <w:bCs/>
          <w:noProof w:val="0"/>
        </w:rPr>
        <w:fldChar w:fldCharType="end"/>
      </w:r>
      <w:r w:rsidR="00D36FBB" w:rsidRPr="00397A3E">
        <w:rPr>
          <w:b/>
          <w:bCs/>
          <w:noProof w:val="0"/>
        </w:rPr>
        <w:t>.</w:t>
      </w:r>
      <w:r w:rsidRPr="00397A3E">
        <w:rPr>
          <w:b/>
          <w:bCs/>
          <w:noProof w:val="0"/>
        </w:rPr>
        <w:t xml:space="preserve"> </w:t>
      </w:r>
      <w:r w:rsidRPr="00397A3E">
        <w:rPr>
          <w:b/>
          <w:bCs/>
          <w:i/>
          <w:iCs/>
          <w:noProof w:val="0"/>
        </w:rPr>
        <w:t>Quantitative Microbial Risk Assessment (QMRA) for assessing risks to recreational users in Port Phillip Bay</w:t>
      </w:r>
      <w:r>
        <w:rPr>
          <w:rStyle w:val="FootnoteReference"/>
          <w:b/>
          <w:bCs/>
          <w:i/>
          <w:iCs/>
          <w:noProof w:val="0"/>
        </w:rPr>
        <w:footnoteReference w:id="3"/>
      </w:r>
    </w:p>
    <w:bookmarkEnd w:id="359"/>
    <w:bookmarkEnd w:id="360"/>
    <w:p w14:paraId="774E1EC2" w14:textId="30456A8A" w:rsidR="002A7F98" w:rsidRPr="00397A3E" w:rsidRDefault="00171C91" w:rsidP="00091741">
      <w:pPr>
        <w:rPr>
          <w:noProof w:val="0"/>
        </w:rPr>
      </w:pPr>
      <w:r w:rsidRPr="00397A3E">
        <w:rPr>
          <w:noProof w:val="0"/>
        </w:rPr>
        <w:t xml:space="preserve">The report by </w:t>
      </w:r>
      <w:r w:rsidRPr="00397A3E">
        <w:rPr>
          <w:noProof w:val="0"/>
        </w:rPr>
        <w:fldChar w:fldCharType="begin"/>
      </w:r>
      <w:r w:rsidR="00F84CE9" w:rsidRPr="00397A3E">
        <w:rPr>
          <w:noProof w:val="0"/>
        </w:rPr>
        <w:instrText xml:space="preserve"> ADDIN ZOTERO_ITEM CSL_CITATION {"citationID":"O2ygRyyo","properties":{"custom":"EPA Victoria (2021)","formattedCitation":"EPA Victoria (2021)","plainCitation":"EPA Victoria (2021)","noteIndex":0},"citationItems":[{"id":17578,"uris":["http://zotero.org/users/148142/items/HPITMMGC"],"uri":["http://zotero.org/users/148142/items/HPITMMGC"],"itemData":{"id":17578,"type":"report","publisher":"Environment Protection Authority, Victoria","title":"Quantitative Microbial Risk Assessment (QMRA) for assessing risks to recreational users in Port Phillip Bay. EPA Publication 2007, June 2021","author":[{"literal":"EPA Victoria"}],"issued":{"date-parts":[["2021"]]}}}],"schema":"https://github.com/citation-style-language/schema/raw/master/csl-citation.json"} </w:instrText>
      </w:r>
      <w:r w:rsidRPr="00397A3E">
        <w:rPr>
          <w:noProof w:val="0"/>
        </w:rPr>
        <w:fldChar w:fldCharType="separate"/>
      </w:r>
      <w:r w:rsidRPr="00397A3E">
        <w:rPr>
          <w:noProof w:val="0"/>
        </w:rPr>
        <w:t>EPA Victoria (2021)</w:t>
      </w:r>
      <w:r w:rsidRPr="00397A3E">
        <w:rPr>
          <w:noProof w:val="0"/>
        </w:rPr>
        <w:fldChar w:fldCharType="end"/>
      </w:r>
      <w:r w:rsidRPr="00397A3E">
        <w:rPr>
          <w:noProof w:val="0"/>
        </w:rPr>
        <w:t xml:space="preserve"> </w:t>
      </w:r>
      <w:r w:rsidRPr="00397A3E">
        <w:rPr>
          <w:i/>
          <w:iCs/>
          <w:noProof w:val="0"/>
        </w:rPr>
        <w:t>Quantitative Microbial Risk Assessment (QMRA) for assessing risks to recreational users in Port Phillip Bay</w:t>
      </w:r>
      <w:r w:rsidRPr="00397A3E">
        <w:rPr>
          <w:noProof w:val="0"/>
        </w:rPr>
        <w:t xml:space="preserve"> </w:t>
      </w:r>
      <w:r w:rsidR="0074660E" w:rsidRPr="00397A3E">
        <w:rPr>
          <w:noProof w:val="0"/>
        </w:rPr>
        <w:t>describes original research conducted by Monash University on behalf of EPA Victoria t</w:t>
      </w:r>
      <w:r w:rsidRPr="00397A3E">
        <w:rPr>
          <w:noProof w:val="0"/>
        </w:rPr>
        <w:t>o better understand the health risks associated with water-based recreation in Port Phillip Bay</w:t>
      </w:r>
      <w:r w:rsidR="0074660E" w:rsidRPr="00397A3E">
        <w:rPr>
          <w:noProof w:val="0"/>
        </w:rPr>
        <w:t>, a large 1,930 km</w:t>
      </w:r>
      <w:r w:rsidR="0074660E" w:rsidRPr="00397A3E">
        <w:rPr>
          <w:noProof w:val="0"/>
          <w:vertAlign w:val="superscript"/>
        </w:rPr>
        <w:t>2</w:t>
      </w:r>
      <w:r w:rsidR="0074660E" w:rsidRPr="00397A3E">
        <w:rPr>
          <w:noProof w:val="0"/>
        </w:rPr>
        <w:t xml:space="preserve"> shallow estuarine embayment around which greater metropolitan Melbourne is located.  </w:t>
      </w:r>
      <w:r w:rsidRPr="00397A3E">
        <w:rPr>
          <w:noProof w:val="0"/>
        </w:rPr>
        <w:t>EPA Victoria commissioned QMRAs at three popular beaches in the bay, combined with microbial source tracking at each location over the summer season 2017-2018.  With respect to the primary research question</w:t>
      </w:r>
      <w:r w:rsidR="005729A3" w:rsidRPr="00397A3E">
        <w:rPr>
          <w:noProof w:val="0"/>
        </w:rPr>
        <w:t xml:space="preserve"> relevant study objectives were</w:t>
      </w:r>
      <w:r w:rsidRPr="00397A3E">
        <w:rPr>
          <w:noProof w:val="0"/>
        </w:rPr>
        <w:t>:</w:t>
      </w:r>
    </w:p>
    <w:p w14:paraId="408BD40F" w14:textId="177CCEEE" w:rsidR="002A7F98" w:rsidRPr="00397A3E" w:rsidRDefault="00171C91" w:rsidP="00764500">
      <w:pPr>
        <w:pStyle w:val="ListParagraph"/>
        <w:numPr>
          <w:ilvl w:val="0"/>
          <w:numId w:val="23"/>
        </w:numPr>
        <w:rPr>
          <w:noProof w:val="0"/>
          <w:lang w:val="en-AU"/>
        </w:rPr>
      </w:pPr>
      <w:r w:rsidRPr="00397A3E">
        <w:rPr>
          <w:noProof w:val="0"/>
          <w:lang w:val="en-AU"/>
        </w:rPr>
        <w:t xml:space="preserve">to compare the probability of illness from water-based recreational activities at </w:t>
      </w:r>
      <w:r w:rsidR="005729A3" w:rsidRPr="00397A3E">
        <w:rPr>
          <w:noProof w:val="0"/>
          <w:lang w:val="en-AU"/>
        </w:rPr>
        <w:t xml:space="preserve">the </w:t>
      </w:r>
      <w:r w:rsidRPr="00397A3E">
        <w:rPr>
          <w:noProof w:val="0"/>
          <w:lang w:val="en-AU"/>
        </w:rPr>
        <w:t>three beach locations within the Bay, as calculated using a QMRA approach, to the risk portrayed by</w:t>
      </w:r>
      <w:r w:rsidR="005729A3" w:rsidRPr="00397A3E">
        <w:rPr>
          <w:noProof w:val="0"/>
          <w:lang w:val="en-AU"/>
        </w:rPr>
        <w:t xml:space="preserve"> the Victorian State Environment Protection Policy [</w:t>
      </w:r>
      <w:r w:rsidRPr="00397A3E">
        <w:rPr>
          <w:noProof w:val="0"/>
          <w:lang w:val="en-AU"/>
        </w:rPr>
        <w:t>SEPP (Waters)</w:t>
      </w:r>
      <w:r w:rsidR="005729A3" w:rsidRPr="00397A3E">
        <w:rPr>
          <w:noProof w:val="0"/>
          <w:lang w:val="en-AU"/>
        </w:rPr>
        <w:t>]</w:t>
      </w:r>
      <w:r w:rsidRPr="00397A3E">
        <w:rPr>
          <w:noProof w:val="0"/>
          <w:lang w:val="en-AU"/>
        </w:rPr>
        <w:t xml:space="preserve"> and the </w:t>
      </w:r>
      <w:r w:rsidR="0041641B">
        <w:rPr>
          <w:noProof w:val="0"/>
          <w:lang w:val="en-AU"/>
        </w:rPr>
        <w:t xml:space="preserve">2008 </w:t>
      </w:r>
      <w:r w:rsidRPr="00397A3E">
        <w:rPr>
          <w:noProof w:val="0"/>
          <w:lang w:val="en-AU"/>
        </w:rPr>
        <w:t>NHMRC</w:t>
      </w:r>
      <w:r w:rsidR="005729A3" w:rsidRPr="00397A3E">
        <w:rPr>
          <w:noProof w:val="0"/>
          <w:lang w:val="en-AU"/>
        </w:rPr>
        <w:t xml:space="preserve"> </w:t>
      </w:r>
      <w:r w:rsidRPr="00397A3E">
        <w:rPr>
          <w:noProof w:val="0"/>
          <w:lang w:val="en-AU"/>
        </w:rPr>
        <w:t>Guidelines</w:t>
      </w:r>
      <w:r w:rsidR="005729A3" w:rsidRPr="00397A3E">
        <w:rPr>
          <w:noProof w:val="0"/>
          <w:lang w:val="en-AU"/>
        </w:rPr>
        <w:t>;</w:t>
      </w:r>
    </w:p>
    <w:p w14:paraId="5F334AF3" w14:textId="76DC0C58" w:rsidR="002A7F98" w:rsidRPr="00397A3E" w:rsidRDefault="00171C91" w:rsidP="00764500">
      <w:pPr>
        <w:pStyle w:val="ListParagraph"/>
        <w:numPr>
          <w:ilvl w:val="0"/>
          <w:numId w:val="23"/>
        </w:numPr>
        <w:rPr>
          <w:noProof w:val="0"/>
          <w:lang w:val="en-AU"/>
        </w:rPr>
      </w:pPr>
      <w:r w:rsidRPr="00397A3E">
        <w:rPr>
          <w:noProof w:val="0"/>
          <w:lang w:val="en-AU"/>
        </w:rPr>
        <w:t>to provide an example of how a QMRA could be conducted and provide parameters and key assumptions for future application.</w:t>
      </w:r>
    </w:p>
    <w:p w14:paraId="2B7B9D00" w14:textId="3A205EB4" w:rsidR="002A7F98" w:rsidRPr="00397A3E" w:rsidRDefault="00171C91" w:rsidP="000D24F9">
      <w:pPr>
        <w:rPr>
          <w:noProof w:val="0"/>
        </w:rPr>
      </w:pPr>
      <w:r w:rsidRPr="00397A3E">
        <w:rPr>
          <w:noProof w:val="0"/>
        </w:rPr>
        <w:t xml:space="preserve">The QMRA consisted of baseline scenario and a series of sensitivity scenarios, where the sensitivity of some of the assumptions and uncertainties involved in the baseline QMRA were explored.  The baseline scenario was constructed by </w:t>
      </w:r>
      <w:r w:rsidR="0085616B" w:rsidRPr="00397A3E">
        <w:rPr>
          <w:noProof w:val="0"/>
        </w:rPr>
        <w:t xml:space="preserve">generating exposure volumes for 100 people randomly drawn from ingestion volume </w:t>
      </w:r>
      <w:r w:rsidR="00743C50" w:rsidRPr="00397A3E">
        <w:rPr>
          <w:noProof w:val="0"/>
        </w:rPr>
        <w:t xml:space="preserve">probability </w:t>
      </w:r>
      <w:r w:rsidR="0085616B" w:rsidRPr="00397A3E">
        <w:rPr>
          <w:noProof w:val="0"/>
        </w:rPr>
        <w:t>distribution</w:t>
      </w:r>
      <w:r w:rsidR="00743C50" w:rsidRPr="00397A3E">
        <w:rPr>
          <w:noProof w:val="0"/>
        </w:rPr>
        <w:t xml:space="preserve"> functions derived from the literature and exposing these 100 people to 1000 different days of pathogen concentrations, randomly drawn from the monitoring datasets acquired from the three beaches used in the study.  The resultant doses were </w:t>
      </w:r>
      <w:r w:rsidR="00423AB8" w:rsidRPr="00397A3E">
        <w:rPr>
          <w:noProof w:val="0"/>
        </w:rPr>
        <w:t xml:space="preserve">used in dose-response models to calculate the probability of infection (or probability of illness for </w:t>
      </w:r>
      <w:r w:rsidR="00423AB8" w:rsidRPr="00397A3E">
        <w:rPr>
          <w:i/>
          <w:iCs/>
          <w:noProof w:val="0"/>
        </w:rPr>
        <w:t>Salmonella</w:t>
      </w:r>
      <w:r w:rsidR="00423AB8" w:rsidRPr="00397A3E">
        <w:rPr>
          <w:noProof w:val="0"/>
        </w:rPr>
        <w:t>). The probability of infection was then used to determine the probability of illness using the p(ill</w:t>
      </w:r>
      <w:r w:rsidR="00B80A8B" w:rsidRPr="00397A3E">
        <w:rPr>
          <w:noProof w:val="0"/>
        </w:rPr>
        <w:t>/</w:t>
      </w:r>
      <w:r w:rsidR="00423AB8" w:rsidRPr="00397A3E">
        <w:rPr>
          <w:noProof w:val="0"/>
        </w:rPr>
        <w:t xml:space="preserve">inf) distributions. This was repeated for each chosen pathogen and the aggregate probabilities of illness were calculated and used to determine statistical distributions for ingestion exposure during both primary and secondary contact. </w:t>
      </w:r>
    </w:p>
    <w:p w14:paraId="1473B503" w14:textId="583B6510" w:rsidR="0035611A" w:rsidRPr="00397A3E" w:rsidRDefault="00171C91" w:rsidP="00091741">
      <w:pPr>
        <w:rPr>
          <w:noProof w:val="0"/>
        </w:rPr>
      </w:pPr>
      <w:r w:rsidRPr="00397A3E">
        <w:rPr>
          <w:noProof w:val="0"/>
        </w:rPr>
        <w:t>The b</w:t>
      </w:r>
      <w:r w:rsidR="00166D96" w:rsidRPr="00397A3E">
        <w:rPr>
          <w:noProof w:val="0"/>
        </w:rPr>
        <w:t>aseline QMRA</w:t>
      </w:r>
      <w:r w:rsidRPr="00397A3E">
        <w:rPr>
          <w:noProof w:val="0"/>
        </w:rPr>
        <w:t xml:space="preserve"> for p</w:t>
      </w:r>
      <w:r w:rsidR="00166D96" w:rsidRPr="00397A3E">
        <w:rPr>
          <w:noProof w:val="0"/>
        </w:rPr>
        <w:t xml:space="preserve">rimary contact recreation predicted a mean probability of illness (p(ill)) of 0.33% </w:t>
      </w:r>
      <w:r w:rsidR="0043567D" w:rsidRPr="00397A3E">
        <w:rPr>
          <w:noProof w:val="0"/>
        </w:rPr>
        <w:t>[95</w:t>
      </w:r>
      <w:r w:rsidR="0043567D" w:rsidRPr="00397A3E">
        <w:rPr>
          <w:noProof w:val="0"/>
          <w:vertAlign w:val="superscript"/>
        </w:rPr>
        <w:t>th</w:t>
      </w:r>
      <w:r w:rsidR="0043567D" w:rsidRPr="00397A3E">
        <w:rPr>
          <w:noProof w:val="0"/>
        </w:rPr>
        <w:t xml:space="preserve"> percentile 1.07%] </w:t>
      </w:r>
      <w:r w:rsidR="00166D96" w:rsidRPr="00397A3E">
        <w:rPr>
          <w:noProof w:val="0"/>
        </w:rPr>
        <w:t xml:space="preserve">per exposure event, mostly due to norovirus </w:t>
      </w:r>
      <w:r w:rsidR="0043567D" w:rsidRPr="00397A3E">
        <w:rPr>
          <w:noProof w:val="0"/>
        </w:rPr>
        <w:t xml:space="preserve">0.23% [0.82%] </w:t>
      </w:r>
      <w:r w:rsidR="00166D96" w:rsidRPr="00397A3E">
        <w:rPr>
          <w:noProof w:val="0"/>
        </w:rPr>
        <w:t>(which had a highly uncertain dose-response model)</w:t>
      </w:r>
      <w:r w:rsidRPr="00397A3E">
        <w:rPr>
          <w:noProof w:val="0"/>
        </w:rPr>
        <w:t xml:space="preserve">. </w:t>
      </w:r>
      <w:r w:rsidR="00166D96" w:rsidRPr="00397A3E">
        <w:rPr>
          <w:noProof w:val="0"/>
        </w:rPr>
        <w:t>Adenoviruses contributed the next highest proportion of total risks</w:t>
      </w:r>
      <w:r w:rsidR="0043567D" w:rsidRPr="00397A3E">
        <w:rPr>
          <w:noProof w:val="0"/>
        </w:rPr>
        <w:t xml:space="preserve"> at 0.07% [0.23%]</w:t>
      </w:r>
      <w:r w:rsidR="00166D96" w:rsidRPr="00397A3E">
        <w:rPr>
          <w:noProof w:val="0"/>
        </w:rPr>
        <w:t>, whilst bacteria and protozoa had p(ill) at or below 0.01%.</w:t>
      </w:r>
    </w:p>
    <w:p w14:paraId="19836FC3" w14:textId="77777777" w:rsidR="0035611A" w:rsidRPr="00397A3E" w:rsidRDefault="00171C91" w:rsidP="00091741">
      <w:pPr>
        <w:rPr>
          <w:noProof w:val="0"/>
        </w:rPr>
      </w:pPr>
      <w:r w:rsidRPr="00397A3E">
        <w:rPr>
          <w:noProof w:val="0"/>
        </w:rPr>
        <w:t>The baseline QMRA</w:t>
      </w:r>
      <w:r w:rsidR="00F66534" w:rsidRPr="00397A3E">
        <w:rPr>
          <w:noProof w:val="0"/>
        </w:rPr>
        <w:t xml:space="preserve"> </w:t>
      </w:r>
      <w:r w:rsidRPr="00397A3E">
        <w:rPr>
          <w:noProof w:val="0"/>
        </w:rPr>
        <w:t>suggested that the beaches were:</w:t>
      </w:r>
    </w:p>
    <w:p w14:paraId="518159CC" w14:textId="0BCE8E3B" w:rsidR="0035611A" w:rsidRPr="00397A3E" w:rsidRDefault="00171C91" w:rsidP="00764500">
      <w:pPr>
        <w:pStyle w:val="ListParagraph"/>
        <w:numPr>
          <w:ilvl w:val="0"/>
          <w:numId w:val="21"/>
        </w:numPr>
        <w:ind w:left="714" w:hanging="357"/>
        <w:contextualSpacing/>
        <w:rPr>
          <w:noProof w:val="0"/>
          <w:lang w:val="en-AU"/>
        </w:rPr>
      </w:pPr>
      <w:r w:rsidRPr="00397A3E">
        <w:rPr>
          <w:noProof w:val="0"/>
          <w:lang w:val="en-AU"/>
        </w:rPr>
        <w:t>in category 1 (swim safely) with a predicted probability of illness of ≤1% per primary contact recreational exposure about 94% of the time</w:t>
      </w:r>
    </w:p>
    <w:p w14:paraId="7D078C42" w14:textId="6D260FF5" w:rsidR="0035611A" w:rsidRPr="00397A3E" w:rsidRDefault="00171C91" w:rsidP="00764500">
      <w:pPr>
        <w:pStyle w:val="ListParagraph"/>
        <w:numPr>
          <w:ilvl w:val="0"/>
          <w:numId w:val="21"/>
        </w:numPr>
        <w:ind w:left="714" w:hanging="357"/>
        <w:contextualSpacing/>
        <w:rPr>
          <w:noProof w:val="0"/>
          <w:lang w:val="en-AU"/>
        </w:rPr>
      </w:pPr>
      <w:r w:rsidRPr="00397A3E">
        <w:rPr>
          <w:noProof w:val="0"/>
          <w:lang w:val="en-AU"/>
        </w:rPr>
        <w:t>in category 2 (swim at your own risk) with a probability of illness between 1% and 10% only 6% of the time, and</w:t>
      </w:r>
    </w:p>
    <w:p w14:paraId="7DC089A6" w14:textId="14455DF7" w:rsidR="0035611A" w:rsidRPr="00397A3E" w:rsidRDefault="00171C91" w:rsidP="00764500">
      <w:pPr>
        <w:pStyle w:val="ListParagraph"/>
        <w:numPr>
          <w:ilvl w:val="0"/>
          <w:numId w:val="21"/>
        </w:numPr>
        <w:ind w:left="714" w:hanging="357"/>
        <w:contextualSpacing/>
        <w:rPr>
          <w:noProof w:val="0"/>
          <w:lang w:val="en-AU"/>
        </w:rPr>
      </w:pPr>
      <w:r w:rsidRPr="00397A3E">
        <w:rPr>
          <w:noProof w:val="0"/>
          <w:lang w:val="en-AU"/>
        </w:rPr>
        <w:t>never in category 3 (do not swim).</w:t>
      </w:r>
    </w:p>
    <w:p w14:paraId="17328002" w14:textId="0BDC7A51" w:rsidR="0035611A" w:rsidRPr="00397A3E" w:rsidRDefault="00171C91" w:rsidP="00091741">
      <w:pPr>
        <w:rPr>
          <w:noProof w:val="0"/>
        </w:rPr>
      </w:pPr>
      <w:r w:rsidRPr="00397A3E">
        <w:rPr>
          <w:noProof w:val="0"/>
        </w:rPr>
        <w:t xml:space="preserve">For </w:t>
      </w:r>
      <w:r w:rsidR="00166D96" w:rsidRPr="00397A3E">
        <w:rPr>
          <w:noProof w:val="0"/>
        </w:rPr>
        <w:t>secondary</w:t>
      </w:r>
      <w:r w:rsidRPr="00397A3E">
        <w:rPr>
          <w:noProof w:val="0"/>
        </w:rPr>
        <w:t xml:space="preserve"> contact</w:t>
      </w:r>
      <w:r w:rsidR="00166D96" w:rsidRPr="00397A3E">
        <w:rPr>
          <w:noProof w:val="0"/>
        </w:rPr>
        <w:t xml:space="preserve"> recreation, </w:t>
      </w:r>
      <w:r w:rsidR="003F7636" w:rsidRPr="00397A3E">
        <w:rPr>
          <w:noProof w:val="0"/>
        </w:rPr>
        <w:t xml:space="preserve">the baseline QMRA </w:t>
      </w:r>
      <w:r w:rsidR="00166D96" w:rsidRPr="00397A3E">
        <w:rPr>
          <w:noProof w:val="0"/>
        </w:rPr>
        <w:t xml:space="preserve">predicted </w:t>
      </w:r>
      <w:r w:rsidR="00B460C4" w:rsidRPr="00397A3E">
        <w:rPr>
          <w:noProof w:val="0"/>
        </w:rPr>
        <w:t xml:space="preserve">48 </w:t>
      </w:r>
      <w:r w:rsidR="00166D96" w:rsidRPr="00397A3E">
        <w:rPr>
          <w:noProof w:val="0"/>
        </w:rPr>
        <w:t>illnesses</w:t>
      </w:r>
      <w:r w:rsidR="00B460C4" w:rsidRPr="00397A3E">
        <w:rPr>
          <w:noProof w:val="0"/>
        </w:rPr>
        <w:t xml:space="preserve"> from 100,000 events</w:t>
      </w:r>
      <w:r w:rsidR="00166D96" w:rsidRPr="00397A3E">
        <w:rPr>
          <w:noProof w:val="0"/>
        </w:rPr>
        <w:t>, which equates to a mean probability of illness of 0.05%</w:t>
      </w:r>
      <w:r w:rsidR="00B460C4" w:rsidRPr="00397A3E">
        <w:rPr>
          <w:noProof w:val="0"/>
        </w:rPr>
        <w:t xml:space="preserve"> (95</w:t>
      </w:r>
      <w:r w:rsidR="00B460C4" w:rsidRPr="00397A3E">
        <w:rPr>
          <w:noProof w:val="0"/>
          <w:vertAlign w:val="superscript"/>
        </w:rPr>
        <w:t>th</w:t>
      </w:r>
      <w:r w:rsidR="00B460C4" w:rsidRPr="00397A3E">
        <w:rPr>
          <w:noProof w:val="0"/>
        </w:rPr>
        <w:t xml:space="preserve"> percentile 0.18%)</w:t>
      </w:r>
      <w:r w:rsidR="00166D96" w:rsidRPr="00397A3E">
        <w:rPr>
          <w:noProof w:val="0"/>
        </w:rPr>
        <w:t>. As with the primary contact QMRA, most of this probability was derived from the norovirus dose-response model which appears conservative.</w:t>
      </w:r>
    </w:p>
    <w:p w14:paraId="6080E9BA" w14:textId="41AF377E" w:rsidR="002A7F98" w:rsidRPr="00397A3E" w:rsidRDefault="00171C91" w:rsidP="00091741">
      <w:pPr>
        <w:rPr>
          <w:noProof w:val="0"/>
        </w:rPr>
      </w:pPr>
      <w:r w:rsidRPr="00397A3E">
        <w:rPr>
          <w:noProof w:val="0"/>
        </w:rPr>
        <w:t xml:space="preserve">The </w:t>
      </w:r>
      <w:r w:rsidR="00166D96" w:rsidRPr="00397A3E">
        <w:rPr>
          <w:noProof w:val="0"/>
        </w:rPr>
        <w:t>QMRA Sensitivity analyses</w:t>
      </w:r>
      <w:r w:rsidRPr="00397A3E">
        <w:rPr>
          <w:noProof w:val="0"/>
        </w:rPr>
        <w:t xml:space="preserve"> showed that</w:t>
      </w:r>
      <w:r w:rsidR="00166D96" w:rsidRPr="00397A3E">
        <w:rPr>
          <w:noProof w:val="0"/>
        </w:rPr>
        <w:t xml:space="preserve"> adjustment of the </w:t>
      </w:r>
      <w:r w:rsidR="00166D96" w:rsidRPr="00397A3E">
        <w:rPr>
          <w:i/>
          <w:iCs/>
          <w:noProof w:val="0"/>
        </w:rPr>
        <w:t>Cryptosporidium</w:t>
      </w:r>
      <w:r w:rsidR="00166D96" w:rsidRPr="00397A3E">
        <w:rPr>
          <w:noProof w:val="0"/>
        </w:rPr>
        <w:t xml:space="preserve"> and adenovirus dose</w:t>
      </w:r>
      <w:r w:rsidR="003F7636" w:rsidRPr="00397A3E">
        <w:rPr>
          <w:noProof w:val="0"/>
        </w:rPr>
        <w:t>-</w:t>
      </w:r>
      <w:r w:rsidR="00166D96" w:rsidRPr="00397A3E">
        <w:rPr>
          <w:noProof w:val="0"/>
        </w:rPr>
        <w:t>response relationships did not change the outcomes significantly or result in reduced probabilities of illnesses per contact event.</w:t>
      </w:r>
      <w:r w:rsidRPr="00397A3E">
        <w:rPr>
          <w:noProof w:val="0"/>
        </w:rPr>
        <w:t xml:space="preserve">  </w:t>
      </w:r>
      <w:r w:rsidR="00166D96" w:rsidRPr="00397A3E">
        <w:rPr>
          <w:noProof w:val="0"/>
        </w:rPr>
        <w:t>Regardless of the dose-response model chosen, the 95</w:t>
      </w:r>
      <w:r w:rsidR="00166D96" w:rsidRPr="00397A3E">
        <w:rPr>
          <w:noProof w:val="0"/>
          <w:vertAlign w:val="superscript"/>
        </w:rPr>
        <w:t>th</w:t>
      </w:r>
      <w:r w:rsidR="00166D96" w:rsidRPr="00397A3E">
        <w:rPr>
          <w:noProof w:val="0"/>
        </w:rPr>
        <w:t xml:space="preserve"> percentile probability of enteric illness due to a single primary contract recreational event rarely exceeded 2.02%.</w:t>
      </w:r>
    </w:p>
    <w:p w14:paraId="2DDE7396" w14:textId="00C3E819" w:rsidR="00756F36" w:rsidRPr="00397A3E" w:rsidRDefault="00171C91" w:rsidP="00756F36">
      <w:pPr>
        <w:rPr>
          <w:noProof w:val="0"/>
        </w:rPr>
      </w:pPr>
      <w:r w:rsidRPr="00397A3E">
        <w:rPr>
          <w:noProof w:val="0"/>
        </w:rPr>
        <w:t xml:space="preserve">The QMRA for primary and secondary contact recreational events using data collected from </w:t>
      </w:r>
      <w:r w:rsidR="00A12611" w:rsidRPr="00397A3E">
        <w:rPr>
          <w:noProof w:val="0"/>
        </w:rPr>
        <w:t>the three</w:t>
      </w:r>
      <w:r w:rsidRPr="00397A3E">
        <w:rPr>
          <w:noProof w:val="0"/>
        </w:rPr>
        <w:t xml:space="preserve"> beaches showed that the probabilities of contracting an illness were very low compared to the rates of illness expected using the SEPP (Waters) and NHMRC interpretation (NHMRC 2008). Furthermore, the probabilities of contracting an illness were comparable to those found in the limited number of epidemiological studies with similar water body-types and pollution sources.</w:t>
      </w:r>
    </w:p>
    <w:p w14:paraId="7E82B91A" w14:textId="05ADAAF9" w:rsidR="00756F36" w:rsidRPr="00397A3E" w:rsidRDefault="00171C91" w:rsidP="00756F36">
      <w:pPr>
        <w:rPr>
          <w:noProof w:val="0"/>
        </w:rPr>
      </w:pPr>
      <w:r w:rsidRPr="00397A3E">
        <w:rPr>
          <w:noProof w:val="0"/>
        </w:rPr>
        <w:t>Th</w:t>
      </w:r>
      <w:r w:rsidR="00A12611" w:rsidRPr="00397A3E">
        <w:rPr>
          <w:noProof w:val="0"/>
        </w:rPr>
        <w:t>e</w:t>
      </w:r>
      <w:r w:rsidRPr="00397A3E">
        <w:rPr>
          <w:noProof w:val="0"/>
        </w:rPr>
        <w:t xml:space="preserve"> study </w:t>
      </w:r>
      <w:r w:rsidR="00A12611" w:rsidRPr="00397A3E">
        <w:rPr>
          <w:noProof w:val="0"/>
        </w:rPr>
        <w:t>concluded</w:t>
      </w:r>
      <w:r w:rsidRPr="00397A3E">
        <w:rPr>
          <w:noProof w:val="0"/>
        </w:rPr>
        <w:t xml:space="preserve"> that the current practice of using indicators testing could not accurately predict the densities of pathogens in Port Phillip Bay. </w:t>
      </w:r>
      <w:r w:rsidRPr="00397A3E">
        <w:rPr>
          <w:i/>
          <w:iCs/>
          <w:noProof w:val="0"/>
        </w:rPr>
        <w:t>E. coli</w:t>
      </w:r>
      <w:r w:rsidRPr="00397A3E">
        <w:rPr>
          <w:noProof w:val="0"/>
        </w:rPr>
        <w:t xml:space="preserve"> and enterococci correlated with the calculated rates of gastrointestinal illnesses due to a primary contact event. However, meaningful bay-specific objectives could not be directly derived from this relationship.</w:t>
      </w:r>
    </w:p>
    <w:p w14:paraId="3C9FD45A" w14:textId="06DDF9D5" w:rsidR="002A7F98" w:rsidRPr="00397A3E" w:rsidRDefault="002A7F98" w:rsidP="00E363D9">
      <w:pPr>
        <w:rPr>
          <w:noProof w:val="0"/>
        </w:rPr>
      </w:pPr>
    </w:p>
    <w:p w14:paraId="7688C8F5" w14:textId="4D254483" w:rsidR="00D30AC8" w:rsidRPr="00397A3E" w:rsidRDefault="00171C91" w:rsidP="00D30AC8">
      <w:pPr>
        <w:rPr>
          <w:b/>
          <w:noProof w:val="0"/>
        </w:rPr>
      </w:pPr>
      <w:r w:rsidRPr="00397A3E">
        <w:rPr>
          <w:b/>
          <w:noProof w:val="0"/>
        </w:rPr>
        <w:t xml:space="preserve">G4: </w:t>
      </w:r>
      <w:r w:rsidRPr="00397A3E">
        <w:rPr>
          <w:b/>
          <w:noProof w:val="0"/>
        </w:rPr>
        <w:fldChar w:fldCharType="begin"/>
      </w:r>
      <w:r w:rsidR="00F84CE9" w:rsidRPr="00397A3E">
        <w:rPr>
          <w:b/>
          <w:noProof w:val="0"/>
        </w:rPr>
        <w:instrText xml:space="preserve"> ADDIN ZOTERO_ITEM CSL_CITATION {"citationID":"EIlMO86j","properties":{"custom":"King et al. (2014)","formattedCitation":"King et al. (2014)","plainCitation":"King et al. (2014)","noteIndex":0},"citationItems":[{"id":15773,"uris":["http://zotero.org/users/148142/items/LATIBYWS"],"uri":["http://zotero.org/users/148142/items/LATIBYWS"],"itemData":{"id":15773,"type":"report","event-place":"United Kingdom","publisher":"Department of Environment, Food and Rural Affairs (DEFRA)","publisher-place":"United Kingdom","title":"The health risks of bathing in recreational waters. A rapid evidence assessment of water quality and gastrointestinal illness. Final report WT1530. A report of research carried out by RAND Europe, on behalf of the UK Department for Environment, Farming and Rural Affairs (DEFRA)","URL":"https://www.rand.org/content/dam/rand/pubs/research_reports/RR600/RR698/RAND_RR698.pdf","author":[{"family":"King","given":"Sarah"},{"family":"Exley","given":"Josephine"},{"family":"Winpenny","given":"Eleanor"},{"family":"Alves","given":"Lottie"},{"family":"Henham","given":"Marie-Louise"},{"family":"Larkin","given":"Jody"}],"issued":{"date-parts":[["2014"]]}}}],"schema":"https://github.com/citation-style-language/schema/raw/master/csl-citation.json"} </w:instrText>
      </w:r>
      <w:r w:rsidRPr="00397A3E">
        <w:rPr>
          <w:b/>
          <w:noProof w:val="0"/>
        </w:rPr>
        <w:fldChar w:fldCharType="separate"/>
      </w:r>
      <w:r w:rsidRPr="00397A3E">
        <w:rPr>
          <w:b/>
          <w:noProof w:val="0"/>
        </w:rPr>
        <w:t>King et al. (2014)</w:t>
      </w:r>
      <w:r w:rsidRPr="00397A3E">
        <w:rPr>
          <w:b/>
          <w:noProof w:val="0"/>
        </w:rPr>
        <w:fldChar w:fldCharType="end"/>
      </w:r>
      <w:r w:rsidR="00D36FBB" w:rsidRPr="00397A3E">
        <w:rPr>
          <w:b/>
          <w:noProof w:val="0"/>
        </w:rPr>
        <w:t>.</w:t>
      </w:r>
      <w:r w:rsidRPr="00397A3E">
        <w:rPr>
          <w:b/>
          <w:noProof w:val="0"/>
        </w:rPr>
        <w:t xml:space="preserve"> </w:t>
      </w:r>
      <w:r w:rsidRPr="00397A3E">
        <w:rPr>
          <w:b/>
          <w:i/>
          <w:iCs/>
          <w:noProof w:val="0"/>
        </w:rPr>
        <w:t>The health risks of bathing in recreational waters. A rapid evidence assessment of water quality and gastrointestinal illness</w:t>
      </w:r>
      <w:r w:rsidR="002437BF" w:rsidRPr="00397A3E">
        <w:rPr>
          <w:b/>
          <w:i/>
          <w:iCs/>
          <w:noProof w:val="0"/>
        </w:rPr>
        <w:t>.</w:t>
      </w:r>
    </w:p>
    <w:p w14:paraId="743B2F4C" w14:textId="35511833" w:rsidR="00B80A8B" w:rsidRPr="00397A3E" w:rsidRDefault="00171C91" w:rsidP="00E363D9">
      <w:pPr>
        <w:rPr>
          <w:noProof w:val="0"/>
        </w:rPr>
      </w:pPr>
      <w:r w:rsidRPr="00397A3E">
        <w:rPr>
          <w:noProof w:val="0"/>
        </w:rPr>
        <w:t>To evaluate the epidemiological literature published between 2003 and 2014, King et al examined the relationship between recreational water use (i.e. exposure to marine water and freshwater recreational waters) and gastrointestinal illness (GI). The authors also sought to highlight any significant new research and/or evidence gaps which may help inform future bathing water quality guidelines</w:t>
      </w:r>
      <w:r w:rsidR="00AF5409" w:rsidRPr="00397A3E">
        <w:rPr>
          <w:noProof w:val="0"/>
        </w:rPr>
        <w:t>.</w:t>
      </w:r>
    </w:p>
    <w:p w14:paraId="7DDC3F9C" w14:textId="5B1D74A5" w:rsidR="00AF5409" w:rsidRPr="00397A3E" w:rsidRDefault="00171C91" w:rsidP="00E363D9">
      <w:pPr>
        <w:rPr>
          <w:noProof w:val="0"/>
        </w:rPr>
      </w:pPr>
      <w:r w:rsidRPr="00397A3E">
        <w:rPr>
          <w:noProof w:val="0"/>
        </w:rPr>
        <w:t>Overall, 21 papers (from 16 studies), including two randomised controlled trials and 14 observational studies, met the inclusion criteria of the review.  With respect to the primary research question, King et al</w:t>
      </w:r>
      <w:r w:rsidR="00C775CE">
        <w:rPr>
          <w:noProof w:val="0"/>
        </w:rPr>
        <w:t>.</w:t>
      </w:r>
      <w:r w:rsidRPr="00397A3E">
        <w:rPr>
          <w:noProof w:val="0"/>
        </w:rPr>
        <w:t xml:space="preserve"> posed the question: What is the post 2003 evidence for the health risks of recreational bathing in general – and also to specific groups of bathers?</w:t>
      </w:r>
    </w:p>
    <w:p w14:paraId="7756602D" w14:textId="77777777" w:rsidR="00590287" w:rsidRPr="00397A3E" w:rsidRDefault="00171C91" w:rsidP="00E363D9">
      <w:pPr>
        <w:rPr>
          <w:noProof w:val="0"/>
        </w:rPr>
      </w:pPr>
      <w:r w:rsidRPr="00397A3E">
        <w:rPr>
          <w:noProof w:val="0"/>
        </w:rPr>
        <w:t>The authors</w:t>
      </w:r>
      <w:r w:rsidR="00B80A8B" w:rsidRPr="00397A3E">
        <w:rPr>
          <w:noProof w:val="0"/>
        </w:rPr>
        <w:t xml:space="preserve"> found that based on studies included in the review, there is continuing evidence that bathing in recreational water poses some increased risk of GI to bathers compared with non-bathers.  Specifically:</w:t>
      </w:r>
    </w:p>
    <w:p w14:paraId="783EACDD" w14:textId="64BB5938" w:rsidR="00590287" w:rsidRPr="00397A3E" w:rsidRDefault="00171C91" w:rsidP="00764500">
      <w:pPr>
        <w:pStyle w:val="ListParagraph"/>
        <w:numPr>
          <w:ilvl w:val="0"/>
          <w:numId w:val="24"/>
        </w:numPr>
        <w:ind w:left="714" w:hanging="357"/>
        <w:contextualSpacing/>
        <w:rPr>
          <w:noProof w:val="0"/>
          <w:lang w:val="en-AU"/>
        </w:rPr>
      </w:pPr>
      <w:r w:rsidRPr="00397A3E">
        <w:rPr>
          <w:noProof w:val="0"/>
          <w:lang w:val="en-AU"/>
        </w:rPr>
        <w:t>There appears to be little or no significant difference between GI in bathers compared with non-bathers at marine beaches.</w:t>
      </w:r>
    </w:p>
    <w:p w14:paraId="1E8B6B9F" w14:textId="56F3A661" w:rsidR="00590287" w:rsidRPr="00397A3E" w:rsidRDefault="00171C91" w:rsidP="00764500">
      <w:pPr>
        <w:pStyle w:val="ListParagraph"/>
        <w:numPr>
          <w:ilvl w:val="0"/>
          <w:numId w:val="24"/>
        </w:numPr>
        <w:ind w:left="714" w:hanging="357"/>
        <w:contextualSpacing/>
        <w:rPr>
          <w:noProof w:val="0"/>
          <w:lang w:val="en-AU"/>
        </w:rPr>
      </w:pPr>
      <w:r w:rsidRPr="00397A3E">
        <w:rPr>
          <w:noProof w:val="0"/>
          <w:lang w:val="en-AU"/>
        </w:rPr>
        <w:t>In contrast, there appears to be a consistent and significantly higher risk of GI in bathers compared with non-bathers in freshwater sites in temperate climates (up to 3.2 times higher).</w:t>
      </w:r>
    </w:p>
    <w:p w14:paraId="08FA741D" w14:textId="7DE2E2D1" w:rsidR="00590287" w:rsidRPr="00397A3E" w:rsidRDefault="00171C91" w:rsidP="00764500">
      <w:pPr>
        <w:pStyle w:val="ListParagraph"/>
        <w:numPr>
          <w:ilvl w:val="0"/>
          <w:numId w:val="24"/>
        </w:numPr>
        <w:ind w:left="714" w:hanging="357"/>
        <w:contextualSpacing/>
        <w:rPr>
          <w:noProof w:val="0"/>
          <w:lang w:val="en-AU"/>
        </w:rPr>
      </w:pPr>
      <w:r w:rsidRPr="00397A3E">
        <w:rPr>
          <w:noProof w:val="0"/>
          <w:lang w:val="en-AU"/>
        </w:rPr>
        <w:t>There is some evidence to suggest that increased bather exposure (i.e. head immersion or swallowing water) results in a higher risk of GI, particularly for freshwater bathers.</w:t>
      </w:r>
    </w:p>
    <w:p w14:paraId="7AB6D915" w14:textId="024B98C9" w:rsidR="00590287" w:rsidRPr="00397A3E" w:rsidRDefault="00171C91" w:rsidP="00764500">
      <w:pPr>
        <w:pStyle w:val="ListParagraph"/>
        <w:numPr>
          <w:ilvl w:val="0"/>
          <w:numId w:val="24"/>
        </w:numPr>
        <w:ind w:left="714" w:hanging="357"/>
        <w:contextualSpacing/>
        <w:rPr>
          <w:noProof w:val="0"/>
          <w:lang w:val="en-AU"/>
        </w:rPr>
      </w:pPr>
      <w:r w:rsidRPr="00397A3E">
        <w:rPr>
          <w:noProof w:val="0"/>
          <w:lang w:val="en-AU"/>
        </w:rPr>
        <w:t>There is evidence to suggest that an increase in time spent in water is associated with an increase in GI.</w:t>
      </w:r>
    </w:p>
    <w:p w14:paraId="7477F3A6" w14:textId="77777777" w:rsidR="00590287" w:rsidRPr="00397A3E" w:rsidRDefault="00171C91" w:rsidP="00E363D9">
      <w:pPr>
        <w:rPr>
          <w:noProof w:val="0"/>
        </w:rPr>
      </w:pPr>
      <w:r w:rsidRPr="00397A3E">
        <w:rPr>
          <w:noProof w:val="0"/>
        </w:rPr>
        <w:t>Only two studies reported results separately by age group of bathers, and only one study investigated the risk of GI among other water users (e.g. in people canoeing, fishing, kayaking, motor boating, or rowing), so the data on these specific population groups remain limited.  Findings were:</w:t>
      </w:r>
    </w:p>
    <w:p w14:paraId="077323B8" w14:textId="285D4E31" w:rsidR="00590287" w:rsidRPr="00397A3E" w:rsidRDefault="00171C91" w:rsidP="00764500">
      <w:pPr>
        <w:pStyle w:val="ListParagraph"/>
        <w:numPr>
          <w:ilvl w:val="0"/>
          <w:numId w:val="24"/>
        </w:numPr>
        <w:ind w:left="714" w:hanging="357"/>
        <w:contextualSpacing/>
        <w:rPr>
          <w:noProof w:val="0"/>
          <w:lang w:val="en-AU"/>
        </w:rPr>
      </w:pPr>
      <w:r w:rsidRPr="00397A3E">
        <w:rPr>
          <w:noProof w:val="0"/>
          <w:lang w:val="en-AU"/>
        </w:rPr>
        <w:t>There is very little evidence on how the risk of GI varies with age.</w:t>
      </w:r>
    </w:p>
    <w:p w14:paraId="2D3CB360" w14:textId="4CB4DD23" w:rsidR="00B80A8B" w:rsidRPr="00397A3E" w:rsidRDefault="00171C91" w:rsidP="00764500">
      <w:pPr>
        <w:pStyle w:val="ListParagraph"/>
        <w:numPr>
          <w:ilvl w:val="0"/>
          <w:numId w:val="24"/>
        </w:numPr>
        <w:ind w:left="714" w:hanging="357"/>
        <w:contextualSpacing/>
        <w:rPr>
          <w:noProof w:val="0"/>
          <w:lang w:val="en-AU"/>
        </w:rPr>
      </w:pPr>
      <w:r w:rsidRPr="00397A3E">
        <w:rPr>
          <w:noProof w:val="0"/>
          <w:lang w:val="en-AU"/>
        </w:rPr>
        <w:t>There is a lack of recent studies which have evaluated the risk of GI in recreational water users other than bathers (e.g. in people canoeing, fishing, kayaking, motor boating, or rowing)</w:t>
      </w:r>
      <w:r w:rsidR="002437BF" w:rsidRPr="00397A3E">
        <w:rPr>
          <w:noProof w:val="0"/>
          <w:lang w:val="en-AU"/>
        </w:rPr>
        <w:t>.</w:t>
      </w:r>
    </w:p>
    <w:p w14:paraId="6236F7D6" w14:textId="7C3281C0" w:rsidR="002437BF" w:rsidRPr="00397A3E" w:rsidRDefault="00171C91" w:rsidP="00E363D9">
      <w:pPr>
        <w:rPr>
          <w:noProof w:val="0"/>
        </w:rPr>
      </w:pPr>
      <w:r w:rsidRPr="00397A3E">
        <w:rPr>
          <w:noProof w:val="0"/>
        </w:rPr>
        <w:t>King et al., were highly critical of the quality of the literature reviewed. They reported difficulty in drawing firm conclusions from the evidence because of the heterogeneity of study protocols and methodological limitations, including self-selection and misclassification biases</w:t>
      </w:r>
      <w:r w:rsidR="0071255A">
        <w:rPr>
          <w:noProof w:val="0"/>
        </w:rPr>
        <w:t xml:space="preserve">. </w:t>
      </w:r>
      <w:r w:rsidR="00D54E0A">
        <w:rPr>
          <w:noProof w:val="0"/>
        </w:rPr>
        <w:t>The authors</w:t>
      </w:r>
      <w:r w:rsidRPr="00397A3E">
        <w:rPr>
          <w:noProof w:val="0"/>
        </w:rPr>
        <w:t xml:space="preserve"> </w:t>
      </w:r>
      <w:r w:rsidR="0071255A">
        <w:rPr>
          <w:noProof w:val="0"/>
        </w:rPr>
        <w:t>suggested</w:t>
      </w:r>
      <w:r w:rsidRPr="00397A3E">
        <w:rPr>
          <w:noProof w:val="0"/>
        </w:rPr>
        <w:t xml:space="preserve"> that the various results presented by the study authors could be an artefact of the range of methods used.  </w:t>
      </w:r>
    </w:p>
    <w:p w14:paraId="6E796E26" w14:textId="0260EFE9" w:rsidR="00B80A8B" w:rsidRPr="00397A3E" w:rsidRDefault="00B80A8B" w:rsidP="00E363D9">
      <w:pPr>
        <w:rPr>
          <w:noProof w:val="0"/>
        </w:rPr>
      </w:pPr>
    </w:p>
    <w:p w14:paraId="74FE1D81" w14:textId="1A7F421E" w:rsidR="00EA4982" w:rsidRPr="00397A3E" w:rsidRDefault="00171C91" w:rsidP="00EA4982">
      <w:pPr>
        <w:rPr>
          <w:b/>
          <w:bCs/>
          <w:noProof w:val="0"/>
        </w:rPr>
      </w:pPr>
      <w:r w:rsidRPr="00397A3E">
        <w:rPr>
          <w:b/>
          <w:bCs/>
          <w:noProof w:val="0"/>
        </w:rPr>
        <w:t xml:space="preserve">G8: </w:t>
      </w:r>
      <w:bookmarkStart w:id="361" w:name="_Hlk94014880"/>
      <w:r w:rsidRPr="00397A3E">
        <w:rPr>
          <w:b/>
          <w:bCs/>
          <w:noProof w:val="0"/>
        </w:rPr>
        <w:fldChar w:fldCharType="begin"/>
      </w:r>
      <w:r w:rsidR="00F84CE9" w:rsidRPr="00397A3E">
        <w:rPr>
          <w:b/>
          <w:bCs/>
          <w:noProof w:val="0"/>
        </w:rPr>
        <w:instrText xml:space="preserve"> ADDIN ZOTERO_ITEM CSL_CITATION {"citationID":"qLQ0AGvB","properties":{"custom":"NHMRC (2008)","formattedCitation":"NHMRC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397A3E">
        <w:rPr>
          <w:b/>
          <w:bCs/>
          <w:noProof w:val="0"/>
        </w:rPr>
        <w:fldChar w:fldCharType="separate"/>
      </w:r>
      <w:r w:rsidRPr="00397A3E">
        <w:rPr>
          <w:b/>
          <w:bCs/>
          <w:noProof w:val="0"/>
        </w:rPr>
        <w:t>NHMRC (2008)</w:t>
      </w:r>
      <w:r w:rsidRPr="00397A3E">
        <w:rPr>
          <w:b/>
          <w:bCs/>
          <w:noProof w:val="0"/>
        </w:rPr>
        <w:fldChar w:fldCharType="end"/>
      </w:r>
      <w:r w:rsidRPr="00397A3E">
        <w:rPr>
          <w:b/>
          <w:bCs/>
          <w:noProof w:val="0"/>
        </w:rPr>
        <w:t>.</w:t>
      </w:r>
      <w:bookmarkEnd w:id="361"/>
      <w:r w:rsidRPr="00397A3E">
        <w:rPr>
          <w:b/>
          <w:bCs/>
          <w:noProof w:val="0"/>
        </w:rPr>
        <w:t xml:space="preserve"> </w:t>
      </w:r>
      <w:r w:rsidRPr="00397A3E">
        <w:rPr>
          <w:b/>
          <w:bCs/>
          <w:i/>
          <w:iCs/>
          <w:noProof w:val="0"/>
        </w:rPr>
        <w:t>Guidelines for managing risks in recreational water</w:t>
      </w:r>
      <w:r w:rsidRPr="00397A3E">
        <w:rPr>
          <w:b/>
          <w:bCs/>
          <w:noProof w:val="0"/>
        </w:rPr>
        <w:t>.</w:t>
      </w:r>
    </w:p>
    <w:p w14:paraId="781792AC" w14:textId="544398DC" w:rsidR="00EA4982" w:rsidRPr="00397A3E" w:rsidRDefault="00171C91" w:rsidP="00EA4982">
      <w:pPr>
        <w:rPr>
          <w:noProof w:val="0"/>
        </w:rPr>
      </w:pPr>
      <w:r w:rsidRPr="00397A3E">
        <w:rPr>
          <w:noProof w:val="0"/>
        </w:rPr>
        <w:t xml:space="preserve">The </w:t>
      </w:r>
      <w:r w:rsidR="004D3543">
        <w:rPr>
          <w:noProof w:val="0"/>
        </w:rPr>
        <w:t xml:space="preserve">2008 </w:t>
      </w:r>
      <w:r w:rsidRPr="00397A3E">
        <w:rPr>
          <w:noProof w:val="0"/>
        </w:rPr>
        <w:t>NHMRC Guidelines provide a tool for states and local agencies for use in developing legislation and standards appropriate for local conditions and to encourage a nationally harmonised approach to managing recreational water quality.  Section 5.1 of the guidelines implicitly recommends a classificatory approach to the management of recreational water quality.  The approach involves microbial-based categorisation of the water using a combination of sanitary inspection and microbial water-quality assessment.</w:t>
      </w:r>
    </w:p>
    <w:p w14:paraId="6FD75898" w14:textId="26B32CA5" w:rsidR="00EA4982" w:rsidRPr="00397A3E" w:rsidRDefault="00171C91" w:rsidP="00EA4982">
      <w:pPr>
        <w:rPr>
          <w:noProof w:val="0"/>
        </w:rPr>
      </w:pPr>
      <w:r w:rsidRPr="00397A3E">
        <w:rPr>
          <w:noProof w:val="0"/>
        </w:rPr>
        <w:t>Further combining such categorisation with prevention of exposure at times of increased risk leads to the framework for assessing</w:t>
      </w:r>
      <w:r w:rsidR="00F153DE" w:rsidRPr="00397A3E">
        <w:rPr>
          <w:noProof w:val="0"/>
        </w:rPr>
        <w:t xml:space="preserve"> and managing</w:t>
      </w:r>
      <w:r w:rsidRPr="00397A3E">
        <w:rPr>
          <w:noProof w:val="0"/>
        </w:rPr>
        <w:t xml:space="preserve"> recreational water quality recommended by the guidelines.  This ultimately leads to the classification matrix shown in Table 5.13 of the guidelines which is based on four classes of microbial water quality (as 95</w:t>
      </w:r>
      <w:r w:rsidRPr="00397A3E">
        <w:rPr>
          <w:noProof w:val="0"/>
          <w:vertAlign w:val="superscript"/>
        </w:rPr>
        <w:t>th</w:t>
      </w:r>
      <w:r w:rsidRPr="00397A3E">
        <w:rPr>
          <w:noProof w:val="0"/>
        </w:rPr>
        <w:t xml:space="preserve"> percentiles of enterococci/100 ml) by four sanitary inspection categories (rating susceptibility of the site to faecal influence).</w:t>
      </w:r>
    </w:p>
    <w:p w14:paraId="33ED97FD" w14:textId="72778FDF" w:rsidR="00EA4982" w:rsidRPr="00397A3E" w:rsidRDefault="00171C91" w:rsidP="00EA4982">
      <w:pPr>
        <w:rPr>
          <w:noProof w:val="0"/>
        </w:rPr>
      </w:pPr>
      <w:r w:rsidRPr="00397A3E">
        <w:rPr>
          <w:noProof w:val="0"/>
        </w:rPr>
        <w:t xml:space="preserve">The classification matrix for faecal pollution of recreational water environments:  </w:t>
      </w:r>
    </w:p>
    <w:p w14:paraId="0AF96B57" w14:textId="409141BD" w:rsidR="00EA4982" w:rsidRPr="00397A3E" w:rsidRDefault="00171C91" w:rsidP="00764500">
      <w:pPr>
        <w:pStyle w:val="ListParagraph"/>
        <w:numPr>
          <w:ilvl w:val="0"/>
          <w:numId w:val="25"/>
        </w:numPr>
        <w:ind w:left="714" w:hanging="357"/>
        <w:contextualSpacing/>
        <w:rPr>
          <w:noProof w:val="0"/>
          <w:lang w:val="en-AU"/>
        </w:rPr>
      </w:pPr>
      <w:r w:rsidRPr="00397A3E">
        <w:rPr>
          <w:noProof w:val="0"/>
          <w:lang w:val="en-AU"/>
        </w:rPr>
        <w:t>emphasises faecal contamination from humans, with lesser importance placed on faecal contamination from other sources.</w:t>
      </w:r>
    </w:p>
    <w:p w14:paraId="52877767" w14:textId="05862695" w:rsidR="00EA4982" w:rsidRPr="00397A3E" w:rsidRDefault="00171C91" w:rsidP="00764500">
      <w:pPr>
        <w:pStyle w:val="ListParagraph"/>
        <w:numPr>
          <w:ilvl w:val="0"/>
          <w:numId w:val="25"/>
        </w:numPr>
        <w:ind w:left="714" w:hanging="357"/>
        <w:contextualSpacing/>
        <w:rPr>
          <w:noProof w:val="0"/>
          <w:lang w:val="en-AU"/>
        </w:rPr>
      </w:pPr>
      <w:r w:rsidRPr="00397A3E">
        <w:rPr>
          <w:noProof w:val="0"/>
          <w:lang w:val="en-AU"/>
        </w:rPr>
        <w:t>enables local management to respond to sporadic or limited areas of pollution and thereby upgrade a recreational water body’s classification, provided that appropriate and effective actions are taken to control exposure.</w:t>
      </w:r>
    </w:p>
    <w:p w14:paraId="687FC2CC" w14:textId="2A1B4DA4" w:rsidR="00EA4982" w:rsidRPr="00397A3E" w:rsidRDefault="00171C91" w:rsidP="00764500">
      <w:pPr>
        <w:pStyle w:val="ListParagraph"/>
        <w:numPr>
          <w:ilvl w:val="0"/>
          <w:numId w:val="25"/>
        </w:numPr>
        <w:ind w:left="714" w:hanging="357"/>
        <w:contextualSpacing/>
        <w:rPr>
          <w:noProof w:val="0"/>
          <w:lang w:val="en-AU"/>
        </w:rPr>
      </w:pPr>
      <w:r>
        <w:rPr>
          <w:noProof w:val="0"/>
          <w:lang w:val="en-AU"/>
        </w:rPr>
        <w:t>p</w:t>
      </w:r>
      <w:r w:rsidRPr="00397A3E">
        <w:rPr>
          <w:noProof w:val="0"/>
          <w:lang w:val="en-AU"/>
        </w:rPr>
        <w:t>rovides triggers for actions to reduce risk.</w:t>
      </w:r>
    </w:p>
    <w:p w14:paraId="4097272D" w14:textId="43BF6C29" w:rsidR="00EA4982" w:rsidRPr="00397A3E" w:rsidRDefault="00171C91" w:rsidP="00764500">
      <w:pPr>
        <w:pStyle w:val="ListParagraph"/>
        <w:numPr>
          <w:ilvl w:val="0"/>
          <w:numId w:val="25"/>
        </w:numPr>
        <w:ind w:left="714" w:hanging="357"/>
        <w:contextualSpacing/>
        <w:rPr>
          <w:noProof w:val="0"/>
          <w:lang w:val="en-AU"/>
        </w:rPr>
      </w:pPr>
      <w:r w:rsidRPr="00397A3E">
        <w:rPr>
          <w:noProof w:val="0"/>
          <w:lang w:val="en-AU"/>
        </w:rPr>
        <w:t>provides incentives for taking action locally and reducing pollution.</w:t>
      </w:r>
    </w:p>
    <w:p w14:paraId="6B355970" w14:textId="747E437F" w:rsidR="00EA4982" w:rsidRPr="00397A3E" w:rsidRDefault="00171C91" w:rsidP="00764500">
      <w:pPr>
        <w:pStyle w:val="ListParagraph"/>
        <w:numPr>
          <w:ilvl w:val="0"/>
          <w:numId w:val="25"/>
        </w:numPr>
        <w:ind w:left="714" w:hanging="357"/>
        <w:contextualSpacing/>
        <w:rPr>
          <w:noProof w:val="0"/>
          <w:lang w:val="en-AU"/>
        </w:rPr>
      </w:pPr>
      <w:r>
        <w:rPr>
          <w:noProof w:val="0"/>
          <w:lang w:val="en-AU"/>
        </w:rPr>
        <w:t>p</w:t>
      </w:r>
      <w:r w:rsidRPr="00397A3E">
        <w:rPr>
          <w:noProof w:val="0"/>
          <w:lang w:val="en-AU"/>
        </w:rPr>
        <w:t>roduces a generic statement of the level of risk, thereby supporting informed personal choice, and it helps to identify appropriate management and monitoring actions.</w:t>
      </w:r>
    </w:p>
    <w:p w14:paraId="120557C0" w14:textId="166DF8FB" w:rsidR="00EA4982" w:rsidRPr="00397A3E" w:rsidRDefault="00171C91" w:rsidP="00E363D9">
      <w:pPr>
        <w:rPr>
          <w:noProof w:val="0"/>
        </w:rPr>
      </w:pPr>
      <w:r w:rsidRPr="00397A3E">
        <w:rPr>
          <w:noProof w:val="0"/>
        </w:rPr>
        <w:t xml:space="preserve">The structure of Chapter 5 of the </w:t>
      </w:r>
      <w:r w:rsidR="00DC5814">
        <w:rPr>
          <w:noProof w:val="0"/>
        </w:rPr>
        <w:t xml:space="preserve">2008 NHMRC </w:t>
      </w:r>
      <w:r w:rsidRPr="00397A3E">
        <w:rPr>
          <w:noProof w:val="0"/>
        </w:rPr>
        <w:t>Guidelines is based on a microbial-based classificatory approach, combining sanitary inspection and microbial water-quality assessment, to create a risk matrix to guide management.  Although the content of the chapter needs updating, the structure still describes an effective approach for management of recreational water quality.</w:t>
      </w:r>
    </w:p>
    <w:p w14:paraId="289F5A16" w14:textId="044FC45B" w:rsidR="00EA4982" w:rsidRPr="00397A3E" w:rsidRDefault="00EA4982" w:rsidP="00E363D9">
      <w:pPr>
        <w:rPr>
          <w:noProof w:val="0"/>
        </w:rPr>
      </w:pPr>
    </w:p>
    <w:p w14:paraId="072E092E" w14:textId="73363B35" w:rsidR="00346DCE" w:rsidRPr="00397A3E" w:rsidRDefault="00171C91" w:rsidP="00346DCE">
      <w:pPr>
        <w:rPr>
          <w:b/>
          <w:bCs/>
          <w:noProof w:val="0"/>
        </w:rPr>
      </w:pPr>
      <w:r w:rsidRPr="00397A3E">
        <w:rPr>
          <w:b/>
          <w:bCs/>
          <w:noProof w:val="0"/>
        </w:rPr>
        <w:t xml:space="preserve">G11: </w:t>
      </w:r>
      <w:bookmarkStart w:id="362" w:name="_Hlk94015056"/>
      <w:r w:rsidRPr="00397A3E">
        <w:rPr>
          <w:b/>
          <w:bCs/>
          <w:noProof w:val="0"/>
        </w:rPr>
        <w:fldChar w:fldCharType="begin"/>
      </w:r>
      <w:r w:rsidR="00F84CE9" w:rsidRPr="00397A3E">
        <w:rPr>
          <w:b/>
          <w:bCs/>
          <w:noProof w:val="0"/>
        </w:rPr>
        <w:instrText xml:space="preserve"> ADDIN ZOTERO_ITEM CSL_CITATION {"citationID":"7LE1WF5c","properties":{"custom":"NSW DPIE (2020)","formattedCitation":"NSW DPIE (2020)","plainCitation":"NSW DPIE (2020)","noteIndex":0},"citationItems":[{"id":16395,"uris":["http://zotero.org/users/148142/items/22QWBZGS"],"uri":["http://zotero.org/users/148142/items/22QWBZGS"],"itemData":{"id":16395,"type":"report","page":"88","title":"Protocol for Assessment and Management of Microbial Risks in Recreational Waters. NSW Department of Planning, Industry &amp; Environment","URL":"https://www.environment.nsw.gov.au/research-and-publications/publications-search/protocol-for-assessment-and-management-of-microbial-risks-in-recreational-waters.","author":[{"literal":"NSW DPIE"}],"issued":{"date-parts":[["2020"]]}}}],"schema":"https://github.com/citation-style-language/schema/raw/master/csl-citation.json"} </w:instrText>
      </w:r>
      <w:r w:rsidRPr="00397A3E">
        <w:rPr>
          <w:b/>
          <w:bCs/>
          <w:noProof w:val="0"/>
        </w:rPr>
        <w:fldChar w:fldCharType="separate"/>
      </w:r>
      <w:r w:rsidRPr="00397A3E">
        <w:rPr>
          <w:b/>
          <w:bCs/>
          <w:noProof w:val="0"/>
        </w:rPr>
        <w:t>NSW DPIE (2020)</w:t>
      </w:r>
      <w:r w:rsidRPr="00397A3E">
        <w:rPr>
          <w:b/>
          <w:bCs/>
          <w:noProof w:val="0"/>
        </w:rPr>
        <w:fldChar w:fldCharType="end"/>
      </w:r>
      <w:r w:rsidR="00D36FBB" w:rsidRPr="00397A3E">
        <w:rPr>
          <w:b/>
          <w:bCs/>
          <w:noProof w:val="0"/>
        </w:rPr>
        <w:t xml:space="preserve">. </w:t>
      </w:r>
      <w:r w:rsidRPr="00397A3E">
        <w:rPr>
          <w:b/>
          <w:bCs/>
          <w:i/>
          <w:iCs/>
          <w:noProof w:val="0"/>
        </w:rPr>
        <w:t>Pr</w:t>
      </w:r>
      <w:bookmarkEnd w:id="362"/>
      <w:r w:rsidRPr="00397A3E">
        <w:rPr>
          <w:b/>
          <w:bCs/>
          <w:i/>
          <w:iCs/>
          <w:noProof w:val="0"/>
        </w:rPr>
        <w:t>otocol for Assessment and Management of Microbial Risks in Recreational Waters</w:t>
      </w:r>
      <w:r w:rsidRPr="00397A3E">
        <w:rPr>
          <w:b/>
          <w:bCs/>
          <w:noProof w:val="0"/>
        </w:rPr>
        <w:t>.</w:t>
      </w:r>
    </w:p>
    <w:p w14:paraId="0B465FB0" w14:textId="635834D6" w:rsidR="00046C50" w:rsidRPr="00397A3E" w:rsidRDefault="00171C91" w:rsidP="00E363D9">
      <w:pPr>
        <w:rPr>
          <w:noProof w:val="0"/>
        </w:rPr>
      </w:pPr>
      <w:r w:rsidRPr="00397A3E">
        <w:rPr>
          <w:noProof w:val="0"/>
        </w:rPr>
        <w:t>The NSW DPIE Protocol for assessment and management of microbial risks in recreational waters provides guidance to support the implementation of Chapter 5</w:t>
      </w:r>
      <w:r w:rsidR="009F59B9" w:rsidRPr="00397A3E">
        <w:rPr>
          <w:noProof w:val="0"/>
        </w:rPr>
        <w:t xml:space="preserve"> of</w:t>
      </w:r>
      <w:r w:rsidRPr="00397A3E">
        <w:rPr>
          <w:noProof w:val="0"/>
        </w:rPr>
        <w:t xml:space="preserve"> the </w:t>
      </w:r>
      <w:r w:rsidR="0041641B">
        <w:rPr>
          <w:noProof w:val="0"/>
        </w:rPr>
        <w:t xml:space="preserve">2008 </w:t>
      </w:r>
      <w:r w:rsidRPr="00397A3E">
        <w:rPr>
          <w:noProof w:val="0"/>
        </w:rPr>
        <w:t>NHMRC Guidelines.</w:t>
      </w:r>
      <w:r w:rsidR="009F59B9" w:rsidRPr="00397A3E">
        <w:rPr>
          <w:noProof w:val="0"/>
        </w:rPr>
        <w:t xml:space="preserve">  The P</w:t>
      </w:r>
      <w:r w:rsidRPr="00397A3E">
        <w:rPr>
          <w:noProof w:val="0"/>
        </w:rPr>
        <w:t xml:space="preserve">rotocol is closely aligned with and builds on the </w:t>
      </w:r>
      <w:r w:rsidR="0041641B">
        <w:rPr>
          <w:noProof w:val="0"/>
        </w:rPr>
        <w:t xml:space="preserve">2008 </w:t>
      </w:r>
      <w:r w:rsidRPr="00397A3E">
        <w:rPr>
          <w:noProof w:val="0"/>
        </w:rPr>
        <w:t xml:space="preserve">NHMRC </w:t>
      </w:r>
      <w:r w:rsidR="009F59B9" w:rsidRPr="00397A3E">
        <w:rPr>
          <w:noProof w:val="0"/>
        </w:rPr>
        <w:t>G</w:t>
      </w:r>
      <w:r w:rsidRPr="00397A3E">
        <w:rPr>
          <w:noProof w:val="0"/>
        </w:rPr>
        <w:t>uidelines.  The Protocol describes a framework for managing microbial risks in recreational water with the most innovative components being methods for:</w:t>
      </w:r>
    </w:p>
    <w:p w14:paraId="7FAC8B94" w14:textId="4DC5DDF5" w:rsidR="00BE77C8" w:rsidRPr="00397A3E" w:rsidRDefault="00171C91" w:rsidP="00764500">
      <w:pPr>
        <w:pStyle w:val="ListParagraph"/>
        <w:numPr>
          <w:ilvl w:val="0"/>
          <w:numId w:val="28"/>
        </w:numPr>
        <w:contextualSpacing/>
        <w:rPr>
          <w:noProof w:val="0"/>
          <w:lang w:val="en-AU"/>
        </w:rPr>
      </w:pPr>
      <w:r w:rsidRPr="00397A3E">
        <w:rPr>
          <w:noProof w:val="0"/>
          <w:lang w:val="en-AU"/>
        </w:rPr>
        <w:t>Select</w:t>
      </w:r>
      <w:r w:rsidR="00046C50" w:rsidRPr="00397A3E">
        <w:rPr>
          <w:noProof w:val="0"/>
          <w:lang w:val="en-AU"/>
        </w:rPr>
        <w:t>ion of</w:t>
      </w:r>
      <w:r w:rsidRPr="00397A3E">
        <w:rPr>
          <w:noProof w:val="0"/>
          <w:lang w:val="en-AU"/>
        </w:rPr>
        <w:t xml:space="preserve"> sites for assessment</w:t>
      </w:r>
    </w:p>
    <w:p w14:paraId="06A28DB4" w14:textId="3AE0D832" w:rsidR="00BE77C8" w:rsidRPr="00397A3E" w:rsidRDefault="00171C91" w:rsidP="00764500">
      <w:pPr>
        <w:pStyle w:val="ListParagraph"/>
        <w:numPr>
          <w:ilvl w:val="0"/>
          <w:numId w:val="28"/>
        </w:numPr>
        <w:contextualSpacing/>
        <w:rPr>
          <w:noProof w:val="0"/>
          <w:lang w:val="en-AU"/>
        </w:rPr>
      </w:pPr>
      <w:r w:rsidRPr="00397A3E">
        <w:rPr>
          <w:noProof w:val="0"/>
          <w:lang w:val="en-AU"/>
        </w:rPr>
        <w:t>Sanitary inspection</w:t>
      </w:r>
      <w:r w:rsidR="00046C50" w:rsidRPr="00397A3E">
        <w:rPr>
          <w:noProof w:val="0"/>
          <w:lang w:val="en-AU"/>
        </w:rPr>
        <w:t>s</w:t>
      </w:r>
    </w:p>
    <w:p w14:paraId="5F9763B9" w14:textId="55C5080D" w:rsidR="00BE77C8" w:rsidRPr="00397A3E" w:rsidRDefault="00171C91" w:rsidP="00764500">
      <w:pPr>
        <w:pStyle w:val="ListParagraph"/>
        <w:numPr>
          <w:ilvl w:val="0"/>
          <w:numId w:val="28"/>
        </w:numPr>
        <w:contextualSpacing/>
        <w:rPr>
          <w:noProof w:val="0"/>
          <w:lang w:val="en-AU"/>
        </w:rPr>
      </w:pPr>
      <w:r w:rsidRPr="00397A3E">
        <w:rPr>
          <w:noProof w:val="0"/>
          <w:lang w:val="en-AU"/>
        </w:rPr>
        <w:t>Microbial water quality monitoring</w:t>
      </w:r>
      <w:r w:rsidR="00046C50" w:rsidRPr="00397A3E">
        <w:rPr>
          <w:noProof w:val="0"/>
          <w:lang w:val="en-AU"/>
        </w:rPr>
        <w:t xml:space="preserve"> </w:t>
      </w:r>
    </w:p>
    <w:p w14:paraId="76CDC2FB" w14:textId="02D2CAD2" w:rsidR="00BE77C8" w:rsidRPr="00397A3E" w:rsidRDefault="00171C91" w:rsidP="00764500">
      <w:pPr>
        <w:pStyle w:val="ListParagraph"/>
        <w:numPr>
          <w:ilvl w:val="0"/>
          <w:numId w:val="28"/>
        </w:numPr>
        <w:contextualSpacing/>
        <w:rPr>
          <w:noProof w:val="0"/>
          <w:lang w:val="en-AU"/>
        </w:rPr>
      </w:pPr>
      <w:r w:rsidRPr="00397A3E">
        <w:rPr>
          <w:noProof w:val="0"/>
          <w:lang w:val="en-AU"/>
        </w:rPr>
        <w:t>Microbial assessment and beach classification</w:t>
      </w:r>
      <w:r w:rsidR="00046C50" w:rsidRPr="00397A3E">
        <w:rPr>
          <w:noProof w:val="0"/>
          <w:lang w:val="en-AU"/>
        </w:rPr>
        <w:t xml:space="preserve"> </w:t>
      </w:r>
    </w:p>
    <w:p w14:paraId="7614B4FD" w14:textId="6BBB8392" w:rsidR="00BE77C8" w:rsidRPr="00397A3E" w:rsidRDefault="00171C91" w:rsidP="00764500">
      <w:pPr>
        <w:pStyle w:val="ListParagraph"/>
        <w:numPr>
          <w:ilvl w:val="0"/>
          <w:numId w:val="28"/>
        </w:numPr>
        <w:contextualSpacing/>
        <w:rPr>
          <w:noProof w:val="0"/>
          <w:lang w:val="en-AU"/>
        </w:rPr>
      </w:pPr>
      <w:r w:rsidRPr="00397A3E">
        <w:rPr>
          <w:noProof w:val="0"/>
          <w:lang w:val="en-AU"/>
        </w:rPr>
        <w:t>Reporting</w:t>
      </w:r>
      <w:r w:rsidR="00046C50" w:rsidRPr="00397A3E">
        <w:rPr>
          <w:noProof w:val="0"/>
          <w:lang w:val="en-AU"/>
        </w:rPr>
        <w:t xml:space="preserve"> </w:t>
      </w:r>
    </w:p>
    <w:p w14:paraId="6C291D5A" w14:textId="77777777" w:rsidR="009F59B9" w:rsidRPr="00397A3E" w:rsidRDefault="00171C91" w:rsidP="00E363D9">
      <w:pPr>
        <w:rPr>
          <w:noProof w:val="0"/>
        </w:rPr>
      </w:pPr>
      <w:r w:rsidRPr="00397A3E">
        <w:rPr>
          <w:noProof w:val="0"/>
        </w:rPr>
        <w:t>Key elements of the protocol that contribute to the primary research question are:</w:t>
      </w:r>
    </w:p>
    <w:p w14:paraId="03D936D4" w14:textId="77777777" w:rsidR="009F59B9" w:rsidRPr="00397A3E" w:rsidRDefault="00171C91" w:rsidP="00764500">
      <w:pPr>
        <w:pStyle w:val="ListParagraph"/>
        <w:numPr>
          <w:ilvl w:val="0"/>
          <w:numId w:val="27"/>
        </w:numPr>
        <w:ind w:left="714" w:hanging="357"/>
        <w:contextualSpacing/>
        <w:rPr>
          <w:noProof w:val="0"/>
          <w:lang w:val="en-AU"/>
        </w:rPr>
      </w:pPr>
      <w:r w:rsidRPr="00397A3E">
        <w:rPr>
          <w:noProof w:val="0"/>
          <w:lang w:val="en-AU"/>
        </w:rPr>
        <w:t>The inclusion of an initial site prioritisation step which prioritises beaches to provide a basis for determining resource allocation.  This step provides a mechanism for identifying high priority swimming locations that should attract more monitoring and reporting resources to ensure the greatest benefit is obtained.  High priority beaches become the subjects of more detailed risk assessments, and programs for monitoring, reporting and microbial risk management.</w:t>
      </w:r>
    </w:p>
    <w:p w14:paraId="531FDD83" w14:textId="66F5C062" w:rsidR="009F59B9" w:rsidRPr="00397A3E" w:rsidRDefault="00171C91" w:rsidP="00764500">
      <w:pPr>
        <w:pStyle w:val="ListParagraph"/>
        <w:numPr>
          <w:ilvl w:val="0"/>
          <w:numId w:val="27"/>
        </w:numPr>
        <w:ind w:left="714" w:hanging="357"/>
        <w:contextualSpacing/>
        <w:rPr>
          <w:noProof w:val="0"/>
          <w:lang w:val="en-AU"/>
        </w:rPr>
      </w:pPr>
      <w:r w:rsidRPr="00397A3E">
        <w:rPr>
          <w:noProof w:val="0"/>
          <w:lang w:val="en-AU"/>
        </w:rPr>
        <w:t>A detailed Sanitary Inspection process with 5 steps:</w:t>
      </w:r>
    </w:p>
    <w:p w14:paraId="7639B78B" w14:textId="244059BC" w:rsidR="009F59B9" w:rsidRPr="00397A3E" w:rsidRDefault="00171C91" w:rsidP="00764500">
      <w:pPr>
        <w:pStyle w:val="ListParagraph"/>
        <w:numPr>
          <w:ilvl w:val="0"/>
          <w:numId w:val="26"/>
        </w:numPr>
        <w:ind w:left="1134" w:hanging="284"/>
        <w:contextualSpacing/>
        <w:rPr>
          <w:noProof w:val="0"/>
          <w:lang w:val="en-AU"/>
        </w:rPr>
      </w:pPr>
      <w:r w:rsidRPr="00397A3E">
        <w:rPr>
          <w:noProof w:val="0"/>
          <w:lang w:val="en-AU"/>
        </w:rPr>
        <w:t>Define the swimming area and catchment.</w:t>
      </w:r>
    </w:p>
    <w:p w14:paraId="721671A3" w14:textId="7D905069" w:rsidR="009F59B9" w:rsidRPr="00397A3E" w:rsidRDefault="00171C91" w:rsidP="00764500">
      <w:pPr>
        <w:pStyle w:val="ListParagraph"/>
        <w:numPr>
          <w:ilvl w:val="0"/>
          <w:numId w:val="26"/>
        </w:numPr>
        <w:ind w:left="1134" w:hanging="284"/>
        <w:contextualSpacing/>
        <w:rPr>
          <w:noProof w:val="0"/>
          <w:lang w:val="en-AU"/>
        </w:rPr>
      </w:pPr>
      <w:r w:rsidRPr="00397A3E">
        <w:rPr>
          <w:noProof w:val="0"/>
          <w:lang w:val="en-AU"/>
        </w:rPr>
        <w:t xml:space="preserve">Identify sources of faecal contamination and gather information on the frequency, </w:t>
      </w:r>
      <w:r w:rsidR="00BD6692" w:rsidRPr="00397A3E">
        <w:rPr>
          <w:noProof w:val="0"/>
          <w:lang w:val="en-AU"/>
        </w:rPr>
        <w:t>duration,</w:t>
      </w:r>
      <w:r w:rsidRPr="00397A3E">
        <w:rPr>
          <w:noProof w:val="0"/>
          <w:lang w:val="en-AU"/>
        </w:rPr>
        <w:t xml:space="preserve"> and intensity of impact.</w:t>
      </w:r>
    </w:p>
    <w:p w14:paraId="77F26395" w14:textId="406FF14E" w:rsidR="009F59B9" w:rsidRPr="00397A3E" w:rsidRDefault="00171C91" w:rsidP="00764500">
      <w:pPr>
        <w:pStyle w:val="ListParagraph"/>
        <w:numPr>
          <w:ilvl w:val="0"/>
          <w:numId w:val="26"/>
        </w:numPr>
        <w:ind w:left="1134" w:hanging="284"/>
        <w:contextualSpacing/>
        <w:rPr>
          <w:noProof w:val="0"/>
          <w:lang w:val="en-AU"/>
        </w:rPr>
      </w:pPr>
      <w:r w:rsidRPr="00397A3E">
        <w:rPr>
          <w:noProof w:val="0"/>
          <w:lang w:val="en-AU"/>
        </w:rPr>
        <w:t>Assess likelihood for each identified source of faecal contamination.</w:t>
      </w:r>
    </w:p>
    <w:p w14:paraId="2F2797BC" w14:textId="5782216F" w:rsidR="009F59B9" w:rsidRPr="00397A3E" w:rsidRDefault="00171C91" w:rsidP="00764500">
      <w:pPr>
        <w:pStyle w:val="ListParagraph"/>
        <w:numPr>
          <w:ilvl w:val="0"/>
          <w:numId w:val="26"/>
        </w:numPr>
        <w:ind w:left="1134" w:hanging="284"/>
        <w:contextualSpacing/>
        <w:rPr>
          <w:noProof w:val="0"/>
          <w:lang w:val="en-AU"/>
        </w:rPr>
      </w:pPr>
      <w:r w:rsidRPr="00397A3E">
        <w:rPr>
          <w:noProof w:val="0"/>
          <w:lang w:val="en-AU"/>
        </w:rPr>
        <w:t>Determine the Sanitary Inspection Category for the site (overall likelihood).</w:t>
      </w:r>
    </w:p>
    <w:p w14:paraId="75321E24" w14:textId="7EB6C0AC" w:rsidR="009F59B9" w:rsidRPr="00397A3E" w:rsidRDefault="00171C91" w:rsidP="00764500">
      <w:pPr>
        <w:pStyle w:val="ListParagraph"/>
        <w:numPr>
          <w:ilvl w:val="0"/>
          <w:numId w:val="26"/>
        </w:numPr>
        <w:ind w:left="1134" w:hanging="284"/>
        <w:contextualSpacing/>
        <w:rPr>
          <w:noProof w:val="0"/>
          <w:lang w:val="en-AU"/>
        </w:rPr>
      </w:pPr>
      <w:r w:rsidRPr="00397A3E">
        <w:rPr>
          <w:noProof w:val="0"/>
          <w:lang w:val="en-AU"/>
        </w:rPr>
        <w:t>Hold a workshop or meeting with stakeholders to review pollution sources and likelihood assessment.</w:t>
      </w:r>
    </w:p>
    <w:p w14:paraId="0F4FDCD8" w14:textId="289600D4" w:rsidR="009F59B9" w:rsidRPr="00397A3E" w:rsidRDefault="00171C91" w:rsidP="00764500">
      <w:pPr>
        <w:pStyle w:val="ListParagraph"/>
        <w:numPr>
          <w:ilvl w:val="0"/>
          <w:numId w:val="27"/>
        </w:numPr>
        <w:ind w:left="714" w:hanging="357"/>
        <w:contextualSpacing/>
        <w:rPr>
          <w:noProof w:val="0"/>
          <w:lang w:val="en-AU"/>
        </w:rPr>
      </w:pPr>
      <w:r w:rsidRPr="00397A3E">
        <w:rPr>
          <w:noProof w:val="0"/>
          <w:lang w:val="en-AU"/>
        </w:rPr>
        <w:t>A microbial water quality monitoring program with specific guidance for sampling design and documentation, quality control aspects including sampling procedures, lab methods and accreditation, data management and work health and safety.</w:t>
      </w:r>
    </w:p>
    <w:p w14:paraId="4B978EAE" w14:textId="5F3FBE0F" w:rsidR="009F59B9" w:rsidRPr="00397A3E" w:rsidRDefault="00171C91" w:rsidP="00764500">
      <w:pPr>
        <w:pStyle w:val="ListParagraph"/>
        <w:numPr>
          <w:ilvl w:val="0"/>
          <w:numId w:val="27"/>
        </w:numPr>
        <w:ind w:left="714" w:hanging="357"/>
        <w:contextualSpacing/>
        <w:rPr>
          <w:noProof w:val="0"/>
          <w:lang w:val="en-AU"/>
        </w:rPr>
      </w:pPr>
      <w:r w:rsidRPr="00397A3E">
        <w:rPr>
          <w:noProof w:val="0"/>
          <w:lang w:val="en-AU"/>
        </w:rPr>
        <w:t>A microbial assessment and beach classification program which describes the methodology for determining beach suitability grades</w:t>
      </w:r>
    </w:p>
    <w:p w14:paraId="6DEACA44" w14:textId="483484B3" w:rsidR="009F59B9" w:rsidRPr="00397A3E" w:rsidRDefault="00171C91" w:rsidP="00764500">
      <w:pPr>
        <w:pStyle w:val="ListParagraph"/>
        <w:numPr>
          <w:ilvl w:val="0"/>
          <w:numId w:val="27"/>
        </w:numPr>
        <w:ind w:left="714" w:hanging="357"/>
        <w:contextualSpacing/>
        <w:rPr>
          <w:noProof w:val="0"/>
          <w:lang w:val="en-AU"/>
        </w:rPr>
      </w:pPr>
      <w:r w:rsidRPr="00397A3E">
        <w:rPr>
          <w:noProof w:val="0"/>
          <w:lang w:val="en-AU"/>
        </w:rPr>
        <w:t xml:space="preserve">Reporting of: Annual Classifications, Weekly Star Ratings, Advisories following rainfall events, daily beach pollution forecasts, communication planning and methods of communication. </w:t>
      </w:r>
    </w:p>
    <w:p w14:paraId="3A6DEBB0" w14:textId="508142CB" w:rsidR="009F59B9" w:rsidRPr="00397A3E" w:rsidRDefault="00171C91" w:rsidP="00764500">
      <w:pPr>
        <w:pStyle w:val="ListParagraph"/>
        <w:numPr>
          <w:ilvl w:val="0"/>
          <w:numId w:val="27"/>
        </w:numPr>
        <w:ind w:left="714" w:hanging="357"/>
        <w:contextualSpacing/>
        <w:rPr>
          <w:noProof w:val="0"/>
          <w:lang w:val="en-AU"/>
        </w:rPr>
      </w:pPr>
      <w:r w:rsidRPr="00397A3E">
        <w:rPr>
          <w:noProof w:val="0"/>
          <w:lang w:val="en-AU"/>
        </w:rPr>
        <w:t>Appendices with high quality templates for data collection and reporting for such items as: Sanitary inspection major attributes (e.g. pollutions sources), and water quality sample log sheets.</w:t>
      </w:r>
    </w:p>
    <w:p w14:paraId="1C34862F" w14:textId="38F2A55A" w:rsidR="00346DCE" w:rsidRPr="00397A3E" w:rsidRDefault="00171C91" w:rsidP="00E363D9">
      <w:pPr>
        <w:rPr>
          <w:noProof w:val="0"/>
        </w:rPr>
      </w:pPr>
      <w:r w:rsidRPr="00397A3E">
        <w:rPr>
          <w:noProof w:val="0"/>
        </w:rPr>
        <w:t xml:space="preserve">A further noteworthy innovative aspect of the Protocol is the inclusion of methods for assessing and scoring likelihoods of contamination from a wide variety of pollution sources </w:t>
      </w:r>
      <w:r w:rsidR="001A557E" w:rsidRPr="00397A3E">
        <w:rPr>
          <w:noProof w:val="0"/>
        </w:rPr>
        <w:t>including</w:t>
      </w:r>
      <w:r w:rsidRPr="00397A3E">
        <w:rPr>
          <w:noProof w:val="0"/>
        </w:rPr>
        <w:t xml:space="preserve"> </w:t>
      </w:r>
      <w:r w:rsidR="001A557E" w:rsidRPr="00397A3E">
        <w:rPr>
          <w:noProof w:val="0"/>
        </w:rPr>
        <w:t>b</w:t>
      </w:r>
      <w:r w:rsidRPr="00397A3E">
        <w:rPr>
          <w:noProof w:val="0"/>
        </w:rPr>
        <w:t>ather shedding, toilet facilities, wastewater treatment plant discharges (including bypass events), sewer chokes and leaks, onsite sewage treatment systems, wastewater reuse, stormwater, river discharges, lagoons, boat discharges and animals.  Templates for scoring are also provided in the appendices.</w:t>
      </w:r>
    </w:p>
    <w:p w14:paraId="68199CC1" w14:textId="10D2EF1B" w:rsidR="002E4803" w:rsidRPr="00397A3E" w:rsidRDefault="00171C91" w:rsidP="002E4803">
      <w:pPr>
        <w:rPr>
          <w:noProof w:val="0"/>
        </w:rPr>
      </w:pPr>
      <w:r w:rsidRPr="00397A3E">
        <w:rPr>
          <w:noProof w:val="0"/>
        </w:rPr>
        <w:t xml:space="preserve">Overall, the Protocol is clearly laid out, is of a high standard, and provides much more explicit guidance for the development of recreational water microbial risk assessment and risk management than the </w:t>
      </w:r>
      <w:r w:rsidR="00DC5814">
        <w:rPr>
          <w:noProof w:val="0"/>
        </w:rPr>
        <w:t xml:space="preserve">2008 </w:t>
      </w:r>
      <w:r w:rsidRPr="00397A3E">
        <w:rPr>
          <w:noProof w:val="0"/>
        </w:rPr>
        <w:t>NHM</w:t>
      </w:r>
      <w:r w:rsidR="0075369B">
        <w:rPr>
          <w:noProof w:val="0"/>
        </w:rPr>
        <w:t>R</w:t>
      </w:r>
      <w:r w:rsidRPr="00397A3E">
        <w:rPr>
          <w:noProof w:val="0"/>
        </w:rPr>
        <w:t xml:space="preserve">C </w:t>
      </w:r>
      <w:r w:rsidR="00DC5814">
        <w:rPr>
          <w:noProof w:val="0"/>
        </w:rPr>
        <w:t>G</w:t>
      </w:r>
      <w:r w:rsidRPr="00397A3E">
        <w:rPr>
          <w:noProof w:val="0"/>
        </w:rPr>
        <w:t>uidelines.  For example there are 48 pages of guidance material and 26 pages of templates vs the NHMRCs 30 pages and 9 pages respectively.</w:t>
      </w:r>
    </w:p>
    <w:p w14:paraId="3F7FE22C" w14:textId="60CDDE59" w:rsidR="00EA4982" w:rsidRPr="00397A3E" w:rsidRDefault="00EA4982" w:rsidP="00E363D9">
      <w:pPr>
        <w:rPr>
          <w:noProof w:val="0"/>
        </w:rPr>
      </w:pPr>
    </w:p>
    <w:p w14:paraId="27569FA2" w14:textId="2555F9B6" w:rsidR="005D2E37" w:rsidRPr="00397A3E" w:rsidRDefault="00171C91" w:rsidP="005D2E37">
      <w:pPr>
        <w:rPr>
          <w:b/>
          <w:bCs/>
          <w:noProof w:val="0"/>
        </w:rPr>
      </w:pPr>
      <w:r w:rsidRPr="00397A3E">
        <w:rPr>
          <w:b/>
          <w:bCs/>
          <w:noProof w:val="0"/>
        </w:rPr>
        <w:t xml:space="preserve">G13: </w:t>
      </w:r>
      <w:r w:rsidRPr="00397A3E">
        <w:rPr>
          <w:b/>
          <w:bCs/>
          <w:noProof w:val="0"/>
        </w:rPr>
        <w:fldChar w:fldCharType="begin"/>
      </w:r>
      <w:r w:rsidR="00F84CE9" w:rsidRPr="00397A3E">
        <w:rPr>
          <w:b/>
          <w:bCs/>
          <w:noProof w:val="0"/>
        </w:rPr>
        <w:instrText xml:space="preserve"> ADDIN ZOTERO_ITEM CSL_CITATION {"citationID":"d2D2Ovwr","properties":{"custom":"US EPA (2017)","formattedCitation":"US EPA (2017)","plainCitation":"US EPA (2017)","noteIndex":0},"citationItems":[{"id":15763,"uris":["http://zotero.org/users/148142/items/BR87QUJ3"],"uri":["http://zotero.org/users/148142/items/BR87QUJ3"],"itemData":{"id":15763,"type":"report","event-place":"Washington, DC, United States","number":"Office of Water 823-R-18-001","publisher":"US Environmental Protection Agency, Office of Water, Office of Science and Technology","publisher-place":"Washington, DC, United States","title":"2017 Five-Year Review of the 2012 Recreational Water Quality Criteria","URL":"https://www.epa.gov/sites/production/files/2018-05/documents/2017-5year-review-rwqc.pdf","author":[{"literal":"US EPA"}],"issued":{"date-parts":[["2017"]]}}}],"schema":"https://github.com/citation-style-language/schema/raw/master/csl-citation.json"} </w:instrText>
      </w:r>
      <w:r w:rsidRPr="00397A3E">
        <w:rPr>
          <w:b/>
          <w:bCs/>
          <w:noProof w:val="0"/>
        </w:rPr>
        <w:fldChar w:fldCharType="separate"/>
      </w:r>
      <w:r w:rsidRPr="00397A3E">
        <w:rPr>
          <w:b/>
          <w:bCs/>
          <w:noProof w:val="0"/>
        </w:rPr>
        <w:t>US EPA (2017)</w:t>
      </w:r>
      <w:r w:rsidRPr="00397A3E">
        <w:rPr>
          <w:b/>
          <w:bCs/>
          <w:noProof w:val="0"/>
        </w:rPr>
        <w:fldChar w:fldCharType="end"/>
      </w:r>
      <w:r w:rsidRPr="00397A3E">
        <w:rPr>
          <w:b/>
          <w:bCs/>
          <w:noProof w:val="0"/>
        </w:rPr>
        <w:t>.  2017 Five-Year Review of the 2012 Recreational Water Quality Criteria.</w:t>
      </w:r>
    </w:p>
    <w:p w14:paraId="393FE842" w14:textId="0FD39823" w:rsidR="001468B2" w:rsidRPr="00397A3E" w:rsidRDefault="00171C91" w:rsidP="005D2E37">
      <w:pPr>
        <w:rPr>
          <w:bCs/>
          <w:noProof w:val="0"/>
        </w:rPr>
      </w:pPr>
      <w:r w:rsidRPr="00397A3E">
        <w:rPr>
          <w:bCs/>
          <w:noProof w:val="0"/>
        </w:rPr>
        <w:t xml:space="preserve">The US EPA "2017 Five-Year Review of the 2012 Recreational Water Quality Criteria" is a 5-year review of its 2012 Recreational Water Quality Criteria (RWQC), as required by amendments to the 1972 US Clean Water Act.  </w:t>
      </w:r>
    </w:p>
    <w:p w14:paraId="064DAA19" w14:textId="77777777" w:rsidR="001468B2" w:rsidRPr="00397A3E" w:rsidRDefault="00171C91" w:rsidP="005D2E37">
      <w:pPr>
        <w:rPr>
          <w:bCs/>
          <w:noProof w:val="0"/>
        </w:rPr>
      </w:pPr>
      <w:r w:rsidRPr="00397A3E">
        <w:rPr>
          <w:bCs/>
          <w:noProof w:val="0"/>
        </w:rPr>
        <w:t>The review was based on 3 main review components:</w:t>
      </w:r>
    </w:p>
    <w:p w14:paraId="23770CF6" w14:textId="2977D3DD" w:rsidR="001468B2" w:rsidRPr="00397A3E" w:rsidRDefault="00171C91" w:rsidP="00764500">
      <w:pPr>
        <w:pStyle w:val="ListParagraph"/>
        <w:numPr>
          <w:ilvl w:val="0"/>
          <w:numId w:val="29"/>
        </w:numPr>
        <w:ind w:left="851" w:hanging="284"/>
        <w:contextualSpacing/>
        <w:rPr>
          <w:noProof w:val="0"/>
          <w:lang w:val="en-AU"/>
        </w:rPr>
      </w:pPr>
      <w:r w:rsidRPr="00397A3E">
        <w:rPr>
          <w:noProof w:val="0"/>
          <w:lang w:val="en-AU"/>
        </w:rPr>
        <w:t>A systematic review of available peer-reviewed literature published between 2010 and 2017 conducted for EPA by Dr Graham McBride of the NZ National Institute of Water and Atmospheric Research (NIWA).</w:t>
      </w:r>
    </w:p>
    <w:p w14:paraId="2916501B" w14:textId="12B4E142" w:rsidR="001468B2" w:rsidRPr="00397A3E" w:rsidRDefault="00171C91" w:rsidP="00764500">
      <w:pPr>
        <w:pStyle w:val="ListParagraph"/>
        <w:numPr>
          <w:ilvl w:val="0"/>
          <w:numId w:val="29"/>
        </w:numPr>
        <w:ind w:left="851" w:hanging="284"/>
        <w:contextualSpacing/>
        <w:rPr>
          <w:noProof w:val="0"/>
          <w:lang w:val="en-AU"/>
        </w:rPr>
      </w:pPr>
      <w:r w:rsidRPr="00397A3E">
        <w:rPr>
          <w:noProof w:val="0"/>
          <w:lang w:val="en-AU"/>
        </w:rPr>
        <w:t>A supplemental review by EPA of literature resulting from systematic searches and from other sources such as technical documents from US states and the United States Geological Survey (USGS).</w:t>
      </w:r>
    </w:p>
    <w:p w14:paraId="0A42506B" w14:textId="4FAB0618" w:rsidR="001468B2" w:rsidRPr="00397A3E" w:rsidRDefault="00171C91" w:rsidP="00764500">
      <w:pPr>
        <w:pStyle w:val="ListParagraph"/>
        <w:numPr>
          <w:ilvl w:val="0"/>
          <w:numId w:val="29"/>
        </w:numPr>
        <w:ind w:left="851" w:hanging="284"/>
        <w:contextualSpacing/>
        <w:rPr>
          <w:noProof w:val="0"/>
          <w:lang w:val="en-AU"/>
        </w:rPr>
      </w:pPr>
      <w:r w:rsidRPr="00397A3E">
        <w:rPr>
          <w:noProof w:val="0"/>
          <w:lang w:val="en-AU"/>
        </w:rPr>
        <w:t>Informal interviews with recreational water public health practitioners and members of the academic community with relevant expertise in beach monitoring.</w:t>
      </w:r>
    </w:p>
    <w:p w14:paraId="288EBD30" w14:textId="74CAA66E" w:rsidR="001468B2" w:rsidRPr="00397A3E" w:rsidRDefault="00171C91" w:rsidP="005D2E37">
      <w:pPr>
        <w:rPr>
          <w:bCs/>
          <w:noProof w:val="0"/>
        </w:rPr>
      </w:pPr>
      <w:r w:rsidRPr="00397A3E">
        <w:rPr>
          <w:bCs/>
          <w:noProof w:val="0"/>
        </w:rPr>
        <w:t>The results of the above review components informed an extensive review section of the document entitled "Findings of the Review".  Th</w:t>
      </w:r>
      <w:r w:rsidR="002C32B4">
        <w:rPr>
          <w:bCs/>
          <w:noProof w:val="0"/>
        </w:rPr>
        <w:t>is section provid</w:t>
      </w:r>
      <w:r w:rsidRPr="00397A3E">
        <w:rPr>
          <w:bCs/>
          <w:noProof w:val="0"/>
        </w:rPr>
        <w:t>e</w:t>
      </w:r>
      <w:r w:rsidR="002C32B4">
        <w:rPr>
          <w:bCs/>
          <w:noProof w:val="0"/>
        </w:rPr>
        <w:t>s a general discussion of the review</w:t>
      </w:r>
      <w:r w:rsidRPr="00397A3E">
        <w:rPr>
          <w:bCs/>
          <w:noProof w:val="0"/>
        </w:rPr>
        <w:t xml:space="preserve"> findings</w:t>
      </w:r>
      <w:r w:rsidR="002C32B4">
        <w:rPr>
          <w:bCs/>
          <w:noProof w:val="0"/>
        </w:rPr>
        <w:t>. While the review was unable to</w:t>
      </w:r>
      <w:r w:rsidRPr="00397A3E">
        <w:rPr>
          <w:bCs/>
          <w:noProof w:val="0"/>
        </w:rPr>
        <w:t xml:space="preserve"> draw a</w:t>
      </w:r>
      <w:r w:rsidR="002C32B4">
        <w:rPr>
          <w:bCs/>
          <w:noProof w:val="0"/>
        </w:rPr>
        <w:t>ny</w:t>
      </w:r>
      <w:r w:rsidRPr="00397A3E">
        <w:rPr>
          <w:bCs/>
          <w:noProof w:val="0"/>
        </w:rPr>
        <w:t xml:space="preserve"> concise conclusion</w:t>
      </w:r>
      <w:r w:rsidR="002C32B4">
        <w:rPr>
          <w:bCs/>
          <w:noProof w:val="0"/>
        </w:rPr>
        <w:t>s, several</w:t>
      </w:r>
      <w:r w:rsidRPr="00397A3E">
        <w:rPr>
          <w:bCs/>
          <w:noProof w:val="0"/>
        </w:rPr>
        <w:t xml:space="preserve"> suggesti</w:t>
      </w:r>
      <w:r w:rsidR="002C32B4">
        <w:rPr>
          <w:bCs/>
          <w:noProof w:val="0"/>
        </w:rPr>
        <w:t>ons for</w:t>
      </w:r>
      <w:r w:rsidRPr="00397A3E">
        <w:rPr>
          <w:bCs/>
          <w:noProof w:val="0"/>
        </w:rPr>
        <w:t xml:space="preserve"> further research</w:t>
      </w:r>
      <w:r w:rsidR="002C32B4">
        <w:rPr>
          <w:bCs/>
          <w:noProof w:val="0"/>
        </w:rPr>
        <w:t xml:space="preserve"> are provided</w:t>
      </w:r>
      <w:r w:rsidRPr="00397A3E">
        <w:rPr>
          <w:bCs/>
          <w:noProof w:val="0"/>
        </w:rPr>
        <w:t>.  Summaries of the findings are presented in the responses to the primary research questions below</w:t>
      </w:r>
      <w:r w:rsidR="00385198" w:rsidRPr="00397A3E">
        <w:rPr>
          <w:bCs/>
          <w:noProof w:val="0"/>
        </w:rPr>
        <w:t xml:space="preserve"> as well as to the secondary research questions in following sections</w:t>
      </w:r>
      <w:r w:rsidRPr="00397A3E">
        <w:rPr>
          <w:bCs/>
          <w:noProof w:val="0"/>
        </w:rPr>
        <w:t>.</w:t>
      </w:r>
    </w:p>
    <w:p w14:paraId="437DBEBC" w14:textId="61BBCB2B" w:rsidR="001468B2" w:rsidRPr="00397A3E" w:rsidRDefault="002C32B4" w:rsidP="005D2E37">
      <w:pPr>
        <w:rPr>
          <w:bCs/>
          <w:noProof w:val="0"/>
        </w:rPr>
      </w:pPr>
      <w:r>
        <w:rPr>
          <w:bCs/>
          <w:noProof w:val="0"/>
        </w:rPr>
        <w:t>The review contains</w:t>
      </w:r>
      <w:r w:rsidR="00171C91" w:rsidRPr="00397A3E">
        <w:rPr>
          <w:bCs/>
          <w:noProof w:val="0"/>
        </w:rPr>
        <w:t xml:space="preserve"> authoritative information </w:t>
      </w:r>
      <w:r>
        <w:rPr>
          <w:bCs/>
          <w:noProof w:val="0"/>
        </w:rPr>
        <w:t>on a broad range of topics</w:t>
      </w:r>
      <w:r w:rsidR="00AC54D2">
        <w:rPr>
          <w:bCs/>
          <w:noProof w:val="0"/>
        </w:rPr>
        <w:t xml:space="preserve"> and</w:t>
      </w:r>
      <w:r w:rsidR="00171C91" w:rsidRPr="00397A3E">
        <w:rPr>
          <w:bCs/>
          <w:noProof w:val="0"/>
        </w:rPr>
        <w:t xml:space="preserve"> research findings from particular </w:t>
      </w:r>
      <w:r w:rsidR="00171C91" w:rsidRPr="00DC5814">
        <w:rPr>
          <w:bCs/>
          <w:noProof w:val="0"/>
        </w:rPr>
        <w:t>sources</w:t>
      </w:r>
      <w:r w:rsidR="00AC54D2">
        <w:rPr>
          <w:bCs/>
          <w:noProof w:val="0"/>
        </w:rPr>
        <w:t>. Due to the highly heterogeneous subject matter, an</w:t>
      </w:r>
      <w:r w:rsidR="00171C91" w:rsidRPr="00666D1F">
        <w:rPr>
          <w:bCs/>
          <w:noProof w:val="0"/>
        </w:rPr>
        <w:t xml:space="preserve"> effective synthesis</w:t>
      </w:r>
      <w:r w:rsidR="00AC54D2">
        <w:rPr>
          <w:bCs/>
          <w:noProof w:val="0"/>
        </w:rPr>
        <w:t xml:space="preserve"> was unable to be conducted to draw concise conclusions</w:t>
      </w:r>
      <w:r w:rsidR="00171C91" w:rsidRPr="00397A3E">
        <w:rPr>
          <w:bCs/>
          <w:noProof w:val="0"/>
        </w:rPr>
        <w:t>.</w:t>
      </w:r>
    </w:p>
    <w:p w14:paraId="64B56B60" w14:textId="543E3095" w:rsidR="005D2E37" w:rsidRPr="00397A3E" w:rsidRDefault="00171C91" w:rsidP="005D2E37">
      <w:pPr>
        <w:rPr>
          <w:bCs/>
          <w:noProof w:val="0"/>
        </w:rPr>
      </w:pPr>
      <w:r w:rsidRPr="00397A3E">
        <w:rPr>
          <w:bCs/>
          <w:noProof w:val="0"/>
        </w:rPr>
        <w:t xml:space="preserve">The authors split the summary of review findings into two components; (i) Science Review and (ii) Implementation Review. Note that implementation review components only related to </w:t>
      </w:r>
      <w:r w:rsidR="00E72A15" w:rsidRPr="00397A3E">
        <w:rPr>
          <w:bCs/>
          <w:noProof w:val="0"/>
        </w:rPr>
        <w:t>S</w:t>
      </w:r>
      <w:r w:rsidRPr="00397A3E">
        <w:rPr>
          <w:bCs/>
          <w:noProof w:val="0"/>
        </w:rPr>
        <w:t xml:space="preserve">econdary </w:t>
      </w:r>
      <w:r w:rsidR="00E72A15" w:rsidRPr="00397A3E">
        <w:rPr>
          <w:bCs/>
          <w:noProof w:val="0"/>
        </w:rPr>
        <w:t>Research Q</w:t>
      </w:r>
      <w:r w:rsidRPr="00397A3E">
        <w:rPr>
          <w:bCs/>
          <w:noProof w:val="0"/>
        </w:rPr>
        <w:t>uestion (ii).</w:t>
      </w:r>
      <w:r w:rsidR="00E72A15" w:rsidRPr="00397A3E">
        <w:rPr>
          <w:bCs/>
          <w:noProof w:val="0"/>
        </w:rPr>
        <w:t xml:space="preserve">  The key elements of each component relevant to the current review are presented alongside the relevant research questions below.  With respect to the primary research question, key findings were:</w:t>
      </w:r>
    </w:p>
    <w:p w14:paraId="5873A2D8" w14:textId="5B60B89A" w:rsidR="001468B2" w:rsidRPr="00397A3E" w:rsidRDefault="00171C91" w:rsidP="00764500">
      <w:pPr>
        <w:pStyle w:val="ListParagraph"/>
        <w:numPr>
          <w:ilvl w:val="0"/>
          <w:numId w:val="8"/>
        </w:numPr>
        <w:ind w:left="709" w:hanging="425"/>
        <w:contextualSpacing/>
        <w:rPr>
          <w:bCs/>
          <w:noProof w:val="0"/>
          <w:lang w:val="en-AU"/>
        </w:rPr>
      </w:pPr>
      <w:r w:rsidRPr="00397A3E">
        <w:rPr>
          <w:bCs/>
          <w:noProof w:val="0"/>
          <w:lang w:val="en-AU"/>
        </w:rPr>
        <w:t xml:space="preserve">Health Studies: A growing body of evidence suggests that children can be disproportionately susceptible to health effects resulting from exposure to pathogens in recreational waters. There are opportunities for further resolution of epidemiological relationships, especially </w:t>
      </w:r>
      <w:r w:rsidR="00CB455A" w:rsidRPr="00397A3E">
        <w:rPr>
          <w:bCs/>
          <w:noProof w:val="0"/>
          <w:lang w:val="en-AU"/>
        </w:rPr>
        <w:t>around</w:t>
      </w:r>
      <w:r w:rsidRPr="00397A3E">
        <w:rPr>
          <w:bCs/>
          <w:noProof w:val="0"/>
          <w:lang w:val="en-AU"/>
        </w:rPr>
        <w:t xml:space="preserve"> children’s health protection and wider application of </w:t>
      </w:r>
      <w:r w:rsidRPr="00397A3E">
        <w:rPr>
          <w:bCs/>
          <w:i/>
          <w:iCs/>
          <w:noProof w:val="0"/>
          <w:lang w:val="en-AU"/>
        </w:rPr>
        <w:t>Enterococcus</w:t>
      </w:r>
      <w:r w:rsidRPr="00397A3E">
        <w:rPr>
          <w:bCs/>
          <w:noProof w:val="0"/>
          <w:lang w:val="en-AU"/>
        </w:rPr>
        <w:t xml:space="preserve"> spp. qPCR</w:t>
      </w:r>
      <w:r w:rsidR="00385198" w:rsidRPr="00397A3E">
        <w:rPr>
          <w:bCs/>
          <w:noProof w:val="0"/>
          <w:lang w:val="en-AU"/>
        </w:rPr>
        <w:t xml:space="preserve"> techniques for monitoring</w:t>
      </w:r>
      <w:r w:rsidRPr="00397A3E">
        <w:rPr>
          <w:bCs/>
          <w:noProof w:val="0"/>
          <w:lang w:val="en-AU"/>
        </w:rPr>
        <w:t>.</w:t>
      </w:r>
    </w:p>
    <w:p w14:paraId="56B2A9A9" w14:textId="327FA689" w:rsidR="005D2E37" w:rsidRPr="00397A3E" w:rsidRDefault="00171C91" w:rsidP="00764500">
      <w:pPr>
        <w:pStyle w:val="ListParagraph"/>
        <w:numPr>
          <w:ilvl w:val="0"/>
          <w:numId w:val="8"/>
        </w:numPr>
        <w:ind w:left="709" w:hanging="425"/>
        <w:contextualSpacing/>
        <w:rPr>
          <w:bCs/>
          <w:noProof w:val="0"/>
          <w:lang w:val="en-AU"/>
        </w:rPr>
      </w:pPr>
      <w:r w:rsidRPr="00397A3E">
        <w:rPr>
          <w:bCs/>
          <w:noProof w:val="0"/>
          <w:lang w:val="en-AU"/>
        </w:rPr>
        <w:t>Antimicrobial Resistance. Although of increasing interest, US EPA suggests more research is needed to better understand the role the environment plays in transferring antimicrobial resistant bacteria (AMRB) to primary contact recreators.</w:t>
      </w:r>
    </w:p>
    <w:p w14:paraId="4DBD15DE" w14:textId="77777777" w:rsidR="005D2E37" w:rsidRPr="00397A3E" w:rsidRDefault="005D2E37" w:rsidP="005D2E37">
      <w:pPr>
        <w:rPr>
          <w:bCs/>
          <w:noProof w:val="0"/>
        </w:rPr>
      </w:pPr>
    </w:p>
    <w:p w14:paraId="56A0A51F" w14:textId="1FDD6397" w:rsidR="005D2E37" w:rsidRPr="00397A3E" w:rsidRDefault="00171C91" w:rsidP="005D2E37">
      <w:pPr>
        <w:rPr>
          <w:b/>
          <w:bCs/>
          <w:noProof w:val="0"/>
        </w:rPr>
      </w:pPr>
      <w:bookmarkStart w:id="363" w:name="_Hlk94020633"/>
      <w:r w:rsidRPr="00397A3E">
        <w:rPr>
          <w:b/>
          <w:bCs/>
          <w:noProof w:val="0"/>
        </w:rPr>
        <w:t xml:space="preserve">G16: </w:t>
      </w:r>
      <w:r w:rsidRPr="00397A3E">
        <w:rPr>
          <w:b/>
          <w:bCs/>
          <w:noProof w:val="0"/>
        </w:rPr>
        <w:fldChar w:fldCharType="begin"/>
      </w:r>
      <w:r w:rsidR="00F84CE9" w:rsidRPr="00397A3E">
        <w:rPr>
          <w:b/>
          <w:bCs/>
          <w:noProof w:val="0"/>
        </w:rPr>
        <w:instrText xml:space="preserve"> ADDIN ZOTERO_ITEM CSL_CITATION {"citationID":"992ufXBt","properties":{"custom":"WHO (2018b)","formattedCitation":"WHO (2018b)","plainCitation":"WHO (2018b)","noteIndex":0},"citationItems":[{"id":16342,"uris":["http://zotero.org/users/148142/items/FAQ5QAH6"],"uri":["http://zotero.org/users/148142/items/FAQ5QAH6"],"itemData":{"id":16342,"type":"report","publisher":"World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schema":"https://github.com/citation-style-language/schema/raw/master/csl-citation.json"} </w:instrText>
      </w:r>
      <w:r w:rsidRPr="00397A3E">
        <w:rPr>
          <w:b/>
          <w:bCs/>
          <w:noProof w:val="0"/>
        </w:rPr>
        <w:fldChar w:fldCharType="separate"/>
      </w:r>
      <w:r w:rsidRPr="00397A3E">
        <w:rPr>
          <w:b/>
          <w:bCs/>
          <w:noProof w:val="0"/>
        </w:rPr>
        <w:t>WHO (2018)</w:t>
      </w:r>
      <w:r w:rsidRPr="00397A3E">
        <w:rPr>
          <w:b/>
          <w:bCs/>
          <w:noProof w:val="0"/>
        </w:rPr>
        <w:fldChar w:fldCharType="end"/>
      </w:r>
      <w:bookmarkEnd w:id="363"/>
      <w:r w:rsidRPr="00397A3E">
        <w:rPr>
          <w:b/>
          <w:bCs/>
          <w:noProof w:val="0"/>
        </w:rPr>
        <w:t>. WHO recommendations on scientific, analytical and epidemiological developments relevant to the parameters for bathing water quality in the Bathing Water Directive (2006/7/EC)</w:t>
      </w:r>
      <w:r w:rsidR="00EA14EC" w:rsidRPr="00397A3E">
        <w:rPr>
          <w:b/>
          <w:bCs/>
          <w:noProof w:val="0"/>
        </w:rPr>
        <w:t>.</w:t>
      </w:r>
    </w:p>
    <w:p w14:paraId="45666B9C" w14:textId="05D20B24" w:rsidR="005D2E37" w:rsidRPr="00397A3E" w:rsidRDefault="00171C91" w:rsidP="00E363D9">
      <w:pPr>
        <w:rPr>
          <w:noProof w:val="0"/>
        </w:rPr>
      </w:pPr>
      <w:r w:rsidRPr="00397A3E">
        <w:rPr>
          <w:noProof w:val="0"/>
        </w:rPr>
        <w:t xml:space="preserve">The WHO 2018 bathing water review is based on a detailed and systematic review of the scientific literature and can be considered an authoritative report on the subject.  </w:t>
      </w:r>
      <w:r w:rsidR="00B93B2E">
        <w:rPr>
          <w:noProof w:val="0"/>
        </w:rPr>
        <w:t>Details of t</w:t>
      </w:r>
      <w:r w:rsidRPr="00397A3E">
        <w:rPr>
          <w:noProof w:val="0"/>
        </w:rPr>
        <w:t>he</w:t>
      </w:r>
      <w:r w:rsidR="00C775CE">
        <w:rPr>
          <w:noProof w:val="0"/>
        </w:rPr>
        <w:t xml:space="preserve">re </w:t>
      </w:r>
      <w:r w:rsidRPr="00397A3E">
        <w:rPr>
          <w:noProof w:val="0"/>
        </w:rPr>
        <w:t>review process</w:t>
      </w:r>
      <w:r w:rsidR="00B93B2E">
        <w:rPr>
          <w:noProof w:val="0"/>
        </w:rPr>
        <w:t xml:space="preserve"> and methods</w:t>
      </w:r>
      <w:r w:rsidRPr="00397A3E">
        <w:rPr>
          <w:noProof w:val="0"/>
        </w:rPr>
        <w:t xml:space="preserve"> </w:t>
      </w:r>
      <w:r w:rsidR="00C775CE">
        <w:rPr>
          <w:noProof w:val="0"/>
        </w:rPr>
        <w:t>could be more clearly</w:t>
      </w:r>
      <w:r w:rsidRPr="00397A3E">
        <w:rPr>
          <w:noProof w:val="0"/>
        </w:rPr>
        <w:t xml:space="preserve"> report</w:t>
      </w:r>
      <w:r w:rsidR="00C775CE">
        <w:rPr>
          <w:noProof w:val="0"/>
        </w:rPr>
        <w:t>ed</w:t>
      </w:r>
      <w:r w:rsidRPr="00397A3E">
        <w:rPr>
          <w:noProof w:val="0"/>
        </w:rPr>
        <w:t>; however the report contains a useful, high-quality review of key themes relevant to microbial risk and recreational water use which can be considered compatible with Australian processes.</w:t>
      </w:r>
    </w:p>
    <w:p w14:paraId="70D0FB4F" w14:textId="0FD475EF" w:rsidR="00EA14EC" w:rsidRPr="00397A3E" w:rsidRDefault="00171C91" w:rsidP="00EA14EC">
      <w:pPr>
        <w:rPr>
          <w:noProof w:val="0"/>
        </w:rPr>
      </w:pPr>
      <w:r w:rsidRPr="00397A3E">
        <w:rPr>
          <w:noProof w:val="0"/>
        </w:rPr>
        <w:t xml:space="preserve">The document represents the advice of the WHO, as a series of recommendations, for consideration in a potential review of the current European Commission (EC) Bathing Water Directive (BWD) – Directive 2006/7/EC3.  The document summarises, in a series of fact sheets, the recent scientific literature on the existing Bathing Water Directive parameters (intestinal enterococci and </w:t>
      </w:r>
      <w:r w:rsidRPr="00397A3E">
        <w:rPr>
          <w:i/>
          <w:noProof w:val="0"/>
        </w:rPr>
        <w:t>E. coli</w:t>
      </w:r>
      <w:r w:rsidRPr="00397A3E">
        <w:rPr>
          <w:noProof w:val="0"/>
        </w:rPr>
        <w:t>). It also examines the feasibility of possible additional parameters (viral indicator(s) and harmful algal blooms) [not in scope of current narrative review] and considers wider/emerging issues (antimicrobial resistance, microplastics, other infectious agents) also as a series of fact sheets.</w:t>
      </w:r>
    </w:p>
    <w:p w14:paraId="1C45E8E8" w14:textId="2D3330B8" w:rsidR="00EA14EC" w:rsidRPr="00397A3E" w:rsidRDefault="00171C91" w:rsidP="00EA14EC">
      <w:pPr>
        <w:rPr>
          <w:noProof w:val="0"/>
        </w:rPr>
      </w:pPr>
      <w:r w:rsidRPr="00397A3E">
        <w:rPr>
          <w:noProof w:val="0"/>
        </w:rPr>
        <w:t xml:space="preserve">With respect to the primary research question, </w:t>
      </w:r>
      <w:r w:rsidR="00BF4C99" w:rsidRPr="00397A3E">
        <w:rPr>
          <w:noProof w:val="0"/>
        </w:rPr>
        <w:t>WHO recommendations</w:t>
      </w:r>
      <w:r w:rsidRPr="00397A3E">
        <w:rPr>
          <w:noProof w:val="0"/>
        </w:rPr>
        <w:t xml:space="preserve"> </w:t>
      </w:r>
      <w:r w:rsidR="00BF4C99" w:rsidRPr="00397A3E">
        <w:rPr>
          <w:noProof w:val="0"/>
        </w:rPr>
        <w:t>were</w:t>
      </w:r>
      <w:r w:rsidRPr="00397A3E">
        <w:rPr>
          <w:noProof w:val="0"/>
        </w:rPr>
        <w:t>:</w:t>
      </w:r>
    </w:p>
    <w:p w14:paraId="6AA15CC0" w14:textId="55A87706" w:rsidR="004765BE" w:rsidRPr="00397A3E" w:rsidRDefault="00171C91" w:rsidP="00EA14EC">
      <w:pPr>
        <w:rPr>
          <w:b/>
          <w:bCs/>
          <w:noProof w:val="0"/>
        </w:rPr>
      </w:pPr>
      <w:r w:rsidRPr="00397A3E">
        <w:rPr>
          <w:b/>
          <w:bCs/>
          <w:noProof w:val="0"/>
        </w:rPr>
        <w:t>Monitoring</w:t>
      </w:r>
    </w:p>
    <w:p w14:paraId="0AFAECEA" w14:textId="496FC6E6" w:rsidR="00EA14EC" w:rsidRPr="00397A3E" w:rsidRDefault="00171C91" w:rsidP="00764500">
      <w:pPr>
        <w:pStyle w:val="ListParagraph"/>
        <w:numPr>
          <w:ilvl w:val="0"/>
          <w:numId w:val="33"/>
        </w:numPr>
        <w:ind w:left="851" w:hanging="425"/>
        <w:contextualSpacing/>
        <w:rPr>
          <w:noProof w:val="0"/>
          <w:lang w:val="en-AU"/>
        </w:rPr>
      </w:pPr>
      <w:r w:rsidRPr="00397A3E">
        <w:rPr>
          <w:noProof w:val="0"/>
          <w:lang w:val="en-AU"/>
        </w:rPr>
        <w:t xml:space="preserve">Intestinal enterococci and </w:t>
      </w:r>
      <w:r w:rsidRPr="00397A3E">
        <w:rPr>
          <w:i/>
          <w:iCs/>
          <w:noProof w:val="0"/>
          <w:lang w:val="en-AU"/>
        </w:rPr>
        <w:t xml:space="preserve">E. coli </w:t>
      </w:r>
      <w:r w:rsidRPr="00397A3E">
        <w:rPr>
          <w:noProof w:val="0"/>
          <w:lang w:val="en-AU"/>
        </w:rPr>
        <w:t>should be retained.</w:t>
      </w:r>
    </w:p>
    <w:p w14:paraId="04191A82" w14:textId="403583AF" w:rsidR="00EA14EC" w:rsidRPr="00397A3E" w:rsidRDefault="00171C91" w:rsidP="00764500">
      <w:pPr>
        <w:pStyle w:val="ListParagraph"/>
        <w:numPr>
          <w:ilvl w:val="0"/>
          <w:numId w:val="33"/>
        </w:numPr>
        <w:ind w:left="851" w:hanging="425"/>
        <w:contextualSpacing/>
        <w:rPr>
          <w:noProof w:val="0"/>
          <w:lang w:val="en-AU"/>
        </w:rPr>
      </w:pPr>
      <w:r w:rsidRPr="00397A3E">
        <w:rPr>
          <w:noProof w:val="0"/>
          <w:lang w:val="en-AU"/>
        </w:rPr>
        <w:t xml:space="preserve">The four levels within the current classification system (excellent, good, </w:t>
      </w:r>
      <w:r w:rsidR="004765BE" w:rsidRPr="00397A3E">
        <w:rPr>
          <w:noProof w:val="0"/>
          <w:lang w:val="en-AU"/>
        </w:rPr>
        <w:t>sufficient,</w:t>
      </w:r>
      <w:r w:rsidRPr="00397A3E">
        <w:rPr>
          <w:noProof w:val="0"/>
          <w:lang w:val="en-AU"/>
        </w:rPr>
        <w:t xml:space="preserve"> and poor) should be retained.</w:t>
      </w:r>
    </w:p>
    <w:p w14:paraId="6503AEFF" w14:textId="62CBDB1D" w:rsidR="00EA14EC" w:rsidRPr="00397A3E" w:rsidRDefault="00171C91" w:rsidP="00764500">
      <w:pPr>
        <w:pStyle w:val="ListParagraph"/>
        <w:numPr>
          <w:ilvl w:val="0"/>
          <w:numId w:val="33"/>
        </w:numPr>
        <w:ind w:left="851" w:hanging="425"/>
        <w:contextualSpacing/>
        <w:rPr>
          <w:noProof w:val="0"/>
          <w:lang w:val="en-AU"/>
        </w:rPr>
      </w:pPr>
      <w:r w:rsidRPr="00397A3E">
        <w:rPr>
          <w:noProof w:val="0"/>
          <w:lang w:val="en-AU"/>
        </w:rPr>
        <w:t>The classification system for each category should be based on a 95</w:t>
      </w:r>
      <w:r w:rsidR="00EC47DD" w:rsidRPr="00397A3E">
        <w:rPr>
          <w:noProof w:val="0"/>
          <w:vertAlign w:val="superscript"/>
          <w:lang w:val="en-AU"/>
        </w:rPr>
        <w:t>th</w:t>
      </w:r>
      <w:r w:rsidR="00EC47DD" w:rsidRPr="00397A3E">
        <w:rPr>
          <w:noProof w:val="0"/>
          <w:lang w:val="en-AU"/>
        </w:rPr>
        <w:t xml:space="preserve"> </w:t>
      </w:r>
      <w:r w:rsidRPr="00397A3E">
        <w:rPr>
          <w:noProof w:val="0"/>
          <w:lang w:val="en-AU"/>
        </w:rPr>
        <w:t>percentile value and not a mixture of 95</w:t>
      </w:r>
      <w:r w:rsidR="00EC47DD" w:rsidRPr="00397A3E">
        <w:rPr>
          <w:noProof w:val="0"/>
          <w:vertAlign w:val="superscript"/>
          <w:lang w:val="en-AU"/>
        </w:rPr>
        <w:t>th</w:t>
      </w:r>
      <w:r w:rsidR="00EC47DD" w:rsidRPr="00397A3E">
        <w:rPr>
          <w:noProof w:val="0"/>
          <w:lang w:val="en-AU"/>
        </w:rPr>
        <w:t xml:space="preserve"> </w:t>
      </w:r>
      <w:r w:rsidRPr="00397A3E">
        <w:rPr>
          <w:noProof w:val="0"/>
          <w:lang w:val="en-AU"/>
        </w:rPr>
        <w:t>and 90</w:t>
      </w:r>
      <w:r w:rsidR="00EC47DD" w:rsidRPr="00397A3E">
        <w:rPr>
          <w:noProof w:val="0"/>
          <w:vertAlign w:val="superscript"/>
          <w:lang w:val="en-AU"/>
        </w:rPr>
        <w:t>th</w:t>
      </w:r>
      <w:r w:rsidR="00EC47DD" w:rsidRPr="00397A3E">
        <w:rPr>
          <w:noProof w:val="0"/>
          <w:lang w:val="en-AU"/>
        </w:rPr>
        <w:t xml:space="preserve"> </w:t>
      </w:r>
      <w:r w:rsidRPr="00397A3E">
        <w:rPr>
          <w:noProof w:val="0"/>
          <w:lang w:val="en-AU"/>
        </w:rPr>
        <w:t>percentile water quality standards.</w:t>
      </w:r>
    </w:p>
    <w:p w14:paraId="6E4AFB1D" w14:textId="31A01453" w:rsidR="00EA14EC" w:rsidRPr="00397A3E" w:rsidRDefault="00171C91" w:rsidP="00764500">
      <w:pPr>
        <w:pStyle w:val="ListParagraph"/>
        <w:numPr>
          <w:ilvl w:val="0"/>
          <w:numId w:val="33"/>
        </w:numPr>
        <w:ind w:left="851" w:hanging="425"/>
        <w:contextualSpacing/>
        <w:rPr>
          <w:noProof w:val="0"/>
          <w:lang w:val="en-AU"/>
        </w:rPr>
      </w:pPr>
      <w:r w:rsidRPr="00397A3E">
        <w:rPr>
          <w:noProof w:val="0"/>
          <w:lang w:val="en-AU"/>
        </w:rPr>
        <w:t>The annual minimum number of samples for an EU bathing water site should be increased to 20.</w:t>
      </w:r>
    </w:p>
    <w:p w14:paraId="3B0DA258" w14:textId="460D60DA" w:rsidR="00EA14EC" w:rsidRPr="00397A3E" w:rsidRDefault="00171C91" w:rsidP="00764500">
      <w:pPr>
        <w:pStyle w:val="ListParagraph"/>
        <w:numPr>
          <w:ilvl w:val="0"/>
          <w:numId w:val="33"/>
        </w:numPr>
        <w:ind w:left="851" w:hanging="425"/>
        <w:contextualSpacing/>
        <w:rPr>
          <w:noProof w:val="0"/>
          <w:lang w:val="en-AU"/>
        </w:rPr>
      </w:pPr>
      <w:r w:rsidRPr="00397A3E">
        <w:rPr>
          <w:noProof w:val="0"/>
          <w:lang w:val="en-AU"/>
        </w:rPr>
        <w:t>Data from bathing water sites (with at least 80 samples) should be tested for log10 normality. Where the data are shown to be log10 normally distributed, the calculation method in Annex II of the 2006 Bathing Water Directive should be used. Where the data do not exhibit log10 normality the Hazen calculation should be used. Where there are inadequate data available, it is suggested that the Hazen calculation is used.</w:t>
      </w:r>
    </w:p>
    <w:p w14:paraId="7C95FFBA" w14:textId="23D6A0B5" w:rsidR="00EA14EC" w:rsidRPr="00397A3E" w:rsidRDefault="00171C91" w:rsidP="00764500">
      <w:pPr>
        <w:pStyle w:val="ListParagraph"/>
        <w:numPr>
          <w:ilvl w:val="0"/>
          <w:numId w:val="33"/>
        </w:numPr>
        <w:ind w:left="851" w:hanging="425"/>
        <w:contextualSpacing/>
        <w:rPr>
          <w:noProof w:val="0"/>
          <w:lang w:val="en-AU"/>
        </w:rPr>
      </w:pPr>
      <w:r w:rsidRPr="00397A3E">
        <w:rPr>
          <w:noProof w:val="0"/>
          <w:lang w:val="en-AU"/>
        </w:rPr>
        <w:t xml:space="preserve">The ISO method (9308-1) for </w:t>
      </w:r>
      <w:r w:rsidRPr="00397A3E">
        <w:rPr>
          <w:i/>
          <w:iCs/>
          <w:noProof w:val="0"/>
          <w:lang w:val="en-AU"/>
        </w:rPr>
        <w:t>E. coli</w:t>
      </w:r>
      <w:r w:rsidRPr="00397A3E">
        <w:rPr>
          <w:noProof w:val="0"/>
          <w:lang w:val="en-AU"/>
        </w:rPr>
        <w:t xml:space="preserve"> analysis is no longer appropriate for the measurement of bathing water quality.  Sampling and sample analysis should be conducted by laboratories accredited for the methods being used.</w:t>
      </w:r>
    </w:p>
    <w:p w14:paraId="76692BEB" w14:textId="6DE17F28" w:rsidR="00514EFD" w:rsidRPr="00397A3E" w:rsidRDefault="00171C91" w:rsidP="00514EFD">
      <w:pPr>
        <w:rPr>
          <w:b/>
          <w:bCs/>
          <w:noProof w:val="0"/>
        </w:rPr>
      </w:pPr>
      <w:r w:rsidRPr="00397A3E">
        <w:rPr>
          <w:b/>
          <w:bCs/>
          <w:noProof w:val="0"/>
        </w:rPr>
        <w:t>Good practice</w:t>
      </w:r>
    </w:p>
    <w:p w14:paraId="5B7E3DDB" w14:textId="7AE9CCF7" w:rsidR="00EA14EC" w:rsidRPr="00397A3E" w:rsidRDefault="00171C91" w:rsidP="00764500">
      <w:pPr>
        <w:pStyle w:val="ListParagraph"/>
        <w:numPr>
          <w:ilvl w:val="0"/>
          <w:numId w:val="33"/>
        </w:numPr>
        <w:ind w:left="851" w:hanging="425"/>
        <w:contextualSpacing/>
        <w:rPr>
          <w:noProof w:val="0"/>
          <w:lang w:val="en-AU"/>
        </w:rPr>
      </w:pPr>
      <w:r w:rsidRPr="00397A3E">
        <w:rPr>
          <w:noProof w:val="0"/>
          <w:lang w:val="en-AU"/>
        </w:rPr>
        <w:t>Bathing water quality should be representative of the whole bathing area. This should be confirmed by occasional spatial/beach shoreline transect sampling.</w:t>
      </w:r>
    </w:p>
    <w:p w14:paraId="5066E5C4" w14:textId="4BF6AEB2" w:rsidR="00EA14EC" w:rsidRPr="00397A3E" w:rsidRDefault="00171C91" w:rsidP="00764500">
      <w:pPr>
        <w:pStyle w:val="ListParagraph"/>
        <w:numPr>
          <w:ilvl w:val="0"/>
          <w:numId w:val="33"/>
        </w:numPr>
        <w:ind w:left="851" w:hanging="425"/>
        <w:contextualSpacing/>
        <w:rPr>
          <w:noProof w:val="0"/>
          <w:lang w:val="en-AU"/>
        </w:rPr>
      </w:pPr>
      <w:r w:rsidRPr="00397A3E">
        <w:rPr>
          <w:noProof w:val="0"/>
          <w:lang w:val="en-AU"/>
        </w:rPr>
        <w:t xml:space="preserve">Temporal variability in water quality should be addressed by sampling at different times to characterise the bathing day in the overall compliance data </w:t>
      </w:r>
      <w:r w:rsidR="004765BE" w:rsidRPr="00397A3E">
        <w:rPr>
          <w:noProof w:val="0"/>
          <w:lang w:val="en-AU"/>
        </w:rPr>
        <w:t>set, or</w:t>
      </w:r>
      <w:r w:rsidRPr="00397A3E">
        <w:rPr>
          <w:noProof w:val="0"/>
          <w:lang w:val="en-AU"/>
        </w:rPr>
        <w:t xml:space="preserve"> </w:t>
      </w:r>
      <w:r w:rsidR="004765BE" w:rsidRPr="00397A3E">
        <w:rPr>
          <w:noProof w:val="0"/>
          <w:lang w:val="en-AU"/>
        </w:rPr>
        <w:t xml:space="preserve">by </w:t>
      </w:r>
      <w:r w:rsidRPr="00397A3E">
        <w:rPr>
          <w:noProof w:val="0"/>
          <w:lang w:val="en-AU"/>
        </w:rPr>
        <w:t>taking a precautionary approach and sampling when water quality is generally poorest.</w:t>
      </w:r>
    </w:p>
    <w:p w14:paraId="322E88BA" w14:textId="2C03FDB1" w:rsidR="00EA14EC" w:rsidRPr="00397A3E" w:rsidRDefault="00171C91" w:rsidP="00764500">
      <w:pPr>
        <w:pStyle w:val="ListParagraph"/>
        <w:numPr>
          <w:ilvl w:val="0"/>
          <w:numId w:val="33"/>
        </w:numPr>
        <w:ind w:left="851" w:hanging="425"/>
        <w:contextualSpacing/>
        <w:rPr>
          <w:noProof w:val="0"/>
          <w:lang w:val="en-AU"/>
        </w:rPr>
      </w:pPr>
      <w:r w:rsidRPr="00397A3E">
        <w:rPr>
          <w:noProof w:val="0"/>
          <w:lang w:val="en-AU"/>
        </w:rPr>
        <w:t>Where predictive modelling is used to inform the public, the choice of model and methods of public information dissemination should be reported. The models should meet minimum requirements (including an explained variance of at least 50-60%) and the approach taken should be justifiable and auditable.</w:t>
      </w:r>
    </w:p>
    <w:p w14:paraId="7111A68E" w14:textId="7B0659E5" w:rsidR="00EA14EC" w:rsidRPr="00397A3E" w:rsidRDefault="00171C91" w:rsidP="00764500">
      <w:pPr>
        <w:pStyle w:val="ListParagraph"/>
        <w:numPr>
          <w:ilvl w:val="0"/>
          <w:numId w:val="33"/>
        </w:numPr>
        <w:ind w:left="851" w:hanging="425"/>
        <w:contextualSpacing/>
        <w:rPr>
          <w:noProof w:val="0"/>
          <w:lang w:val="en-AU"/>
        </w:rPr>
      </w:pPr>
      <w:r w:rsidRPr="00397A3E">
        <w:rPr>
          <w:noProof w:val="0"/>
          <w:lang w:val="en-AU"/>
        </w:rPr>
        <w:t xml:space="preserve">In a number of cases (such as </w:t>
      </w:r>
      <w:r w:rsidR="00971299" w:rsidRPr="00397A3E">
        <w:rPr>
          <w:noProof w:val="0"/>
          <w:lang w:val="en-AU"/>
        </w:rPr>
        <w:t>MST</w:t>
      </w:r>
      <w:r w:rsidRPr="00397A3E">
        <w:rPr>
          <w:noProof w:val="0"/>
          <w:lang w:val="en-AU"/>
        </w:rPr>
        <w:t xml:space="preserve"> techniques and </w:t>
      </w:r>
      <w:r w:rsidR="00971299" w:rsidRPr="00397A3E">
        <w:rPr>
          <w:noProof w:val="0"/>
          <w:lang w:val="en-AU"/>
        </w:rPr>
        <w:t>QMRA</w:t>
      </w:r>
      <w:r w:rsidRPr="00397A3E">
        <w:rPr>
          <w:noProof w:val="0"/>
          <w:lang w:val="en-AU"/>
        </w:rPr>
        <w:t xml:space="preserve"> for use in bathing water profiling) it would be valuable to commission a detailed state of the art review, to provide standardised information and advice on their practical application to Member States.</w:t>
      </w:r>
    </w:p>
    <w:p w14:paraId="5DC4158B" w14:textId="7B84BAC7" w:rsidR="00F96B72" w:rsidRPr="00397A3E" w:rsidRDefault="00171C91" w:rsidP="00E363D9">
      <w:pPr>
        <w:rPr>
          <w:noProof w:val="0"/>
        </w:rPr>
      </w:pPr>
      <w:r w:rsidRPr="00397A3E">
        <w:rPr>
          <w:noProof w:val="0"/>
        </w:rPr>
        <w:t xml:space="preserve">The review material is clearly presented and targets issues of relevance to the European Bathing Water Directive, but overall does not </w:t>
      </w:r>
      <w:r w:rsidR="00C775CE">
        <w:rPr>
          <w:noProof w:val="0"/>
        </w:rPr>
        <w:t>report on the expert analysis</w:t>
      </w:r>
      <w:r w:rsidR="00051A8A">
        <w:rPr>
          <w:noProof w:val="0"/>
        </w:rPr>
        <w:t xml:space="preserve"> of</w:t>
      </w:r>
      <w:r w:rsidRPr="00397A3E">
        <w:rPr>
          <w:noProof w:val="0"/>
        </w:rPr>
        <w:t xml:space="preserve"> the constituent research papers</w:t>
      </w:r>
      <w:r w:rsidR="00C775CE">
        <w:rPr>
          <w:noProof w:val="0"/>
        </w:rPr>
        <w:t xml:space="preserve"> in detail</w:t>
      </w:r>
      <w:r w:rsidRPr="00397A3E">
        <w:rPr>
          <w:noProof w:val="0"/>
        </w:rPr>
        <w:t xml:space="preserve">.  This may be </w:t>
      </w:r>
      <w:r w:rsidR="00EC47DD" w:rsidRPr="00397A3E">
        <w:rPr>
          <w:noProof w:val="0"/>
        </w:rPr>
        <w:t xml:space="preserve">a </w:t>
      </w:r>
      <w:r w:rsidRPr="00397A3E">
        <w:rPr>
          <w:noProof w:val="0"/>
        </w:rPr>
        <w:t>deliberate to keep the document concise.</w:t>
      </w:r>
    </w:p>
    <w:p w14:paraId="0A83E095" w14:textId="4D5A1546" w:rsidR="0032706F" w:rsidRPr="00397A3E" w:rsidRDefault="00171C91" w:rsidP="0032706F">
      <w:pPr>
        <w:pStyle w:val="Caption"/>
        <w:rPr>
          <w:iCs/>
          <w:noProof w:val="0"/>
        </w:rPr>
      </w:pPr>
      <w:bookmarkStart w:id="364" w:name="_Ref77089972"/>
      <w:bookmarkStart w:id="365" w:name="_Toc106964868"/>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6</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1</w:t>
      </w:r>
      <w:r w:rsidR="00F178D7">
        <w:rPr>
          <w:noProof w:val="0"/>
        </w:rPr>
        <w:fldChar w:fldCharType="end"/>
      </w:r>
      <w:bookmarkEnd w:id="364"/>
      <w:r w:rsidRPr="00397A3E">
        <w:rPr>
          <w:noProof w:val="0"/>
        </w:rPr>
        <w:t xml:space="preserve">. Summary of </w:t>
      </w:r>
      <w:r w:rsidR="00CD12EE" w:rsidRPr="00397A3E">
        <w:rPr>
          <w:noProof w:val="0"/>
        </w:rPr>
        <w:t>grey literature review</w:t>
      </w:r>
      <w:r w:rsidRPr="00397A3E">
        <w:rPr>
          <w:noProof w:val="0"/>
        </w:rPr>
        <w:t xml:space="preserve"> results for the Primary Research Question: </w:t>
      </w:r>
      <w:r w:rsidR="003E6CF2" w:rsidRPr="00397A3E">
        <w:rPr>
          <w:noProof w:val="0"/>
        </w:rPr>
        <w:t>How can we monitor, assess, and predict risks from diffuse and point source microbial contamination in recreational waters?</w:t>
      </w:r>
      <w:bookmarkEnd w:id="365"/>
    </w:p>
    <w:tbl>
      <w:tblPr>
        <w:tblW w:w="0" w:type="auto"/>
        <w:tblBorders>
          <w:top w:val="single" w:sz="8" w:space="0" w:color="B5DDDC"/>
          <w:left w:val="single" w:sz="8" w:space="0" w:color="B5DDDC"/>
          <w:bottom w:val="single" w:sz="8" w:space="0" w:color="B5DDDC"/>
          <w:right w:val="single" w:sz="8" w:space="0" w:color="B5DDDC"/>
          <w:insideH w:val="single" w:sz="8" w:space="0" w:color="B5DDDC"/>
          <w:insideV w:val="single" w:sz="8" w:space="0" w:color="B5DDDC"/>
        </w:tblBorders>
        <w:tblCellMar>
          <w:left w:w="0" w:type="dxa"/>
          <w:right w:w="0" w:type="dxa"/>
        </w:tblCellMar>
        <w:tblLook w:val="04A0" w:firstRow="1" w:lastRow="0" w:firstColumn="1" w:lastColumn="0" w:noHBand="0" w:noVBand="1"/>
      </w:tblPr>
      <w:tblGrid>
        <w:gridCol w:w="1124"/>
        <w:gridCol w:w="6509"/>
      </w:tblGrid>
      <w:tr w:rsidR="00785848" w14:paraId="4183D9A9" w14:textId="77777777" w:rsidTr="007F5461">
        <w:trPr>
          <w:tblHeader/>
        </w:trPr>
        <w:tc>
          <w:tcPr>
            <w:tcW w:w="1124" w:type="dxa"/>
            <w:shd w:val="clear" w:color="auto" w:fill="B5DDDC"/>
            <w:tcMar>
              <w:top w:w="80" w:type="dxa"/>
              <w:left w:w="80" w:type="dxa"/>
              <w:bottom w:w="80" w:type="dxa"/>
              <w:right w:w="80" w:type="dxa"/>
            </w:tcMar>
            <w:hideMark/>
          </w:tcPr>
          <w:p w14:paraId="00475306" w14:textId="77777777" w:rsidR="00F4542E" w:rsidRPr="00397A3E" w:rsidRDefault="00171C91" w:rsidP="00F4542E">
            <w:pPr>
              <w:pStyle w:val="TableText"/>
              <w:rPr>
                <w:b/>
                <w:bCs/>
                <w:noProof w:val="0"/>
                <w:color w:val="008000"/>
                <w:lang w:val="en-AU"/>
              </w:rPr>
            </w:pPr>
            <w:r w:rsidRPr="00397A3E">
              <w:rPr>
                <w:b/>
                <w:bCs/>
                <w:noProof w:val="0"/>
                <w:color w:val="008000"/>
                <w:lang w:val="en-AU"/>
              </w:rPr>
              <w:t>ID</w:t>
            </w:r>
          </w:p>
        </w:tc>
        <w:tc>
          <w:tcPr>
            <w:tcW w:w="6509" w:type="dxa"/>
            <w:shd w:val="clear" w:color="auto" w:fill="B5DDDC"/>
            <w:tcMar>
              <w:top w:w="80" w:type="dxa"/>
              <w:left w:w="80" w:type="dxa"/>
              <w:bottom w:w="80" w:type="dxa"/>
              <w:right w:w="80" w:type="dxa"/>
            </w:tcMar>
            <w:hideMark/>
          </w:tcPr>
          <w:p w14:paraId="4B48C394" w14:textId="77777777" w:rsidR="00F4542E" w:rsidRPr="00397A3E" w:rsidRDefault="00171C91" w:rsidP="00F4542E">
            <w:pPr>
              <w:pStyle w:val="TableText"/>
              <w:rPr>
                <w:b/>
                <w:bCs/>
                <w:noProof w:val="0"/>
                <w:color w:val="008000"/>
                <w:lang w:val="en-AU"/>
              </w:rPr>
            </w:pPr>
            <w:r w:rsidRPr="00397A3E">
              <w:rPr>
                <w:b/>
                <w:bCs/>
                <w:noProof w:val="0"/>
                <w:color w:val="008000"/>
                <w:lang w:val="en-AU"/>
              </w:rPr>
              <w:t>Summary</w:t>
            </w:r>
          </w:p>
        </w:tc>
      </w:tr>
      <w:tr w:rsidR="00785848" w14:paraId="5AE44177" w14:textId="77777777" w:rsidTr="007F5461">
        <w:tc>
          <w:tcPr>
            <w:tcW w:w="1124" w:type="dxa"/>
            <w:shd w:val="clear" w:color="auto" w:fill="D6EAEB"/>
            <w:tcMar>
              <w:top w:w="80" w:type="dxa"/>
              <w:left w:w="80" w:type="dxa"/>
              <w:bottom w:w="80" w:type="dxa"/>
              <w:right w:w="80" w:type="dxa"/>
            </w:tcMar>
            <w:vAlign w:val="center"/>
            <w:hideMark/>
          </w:tcPr>
          <w:p w14:paraId="7A4208E6" w14:textId="3B64D781" w:rsidR="007F5461" w:rsidRPr="00397A3E" w:rsidRDefault="00171C91" w:rsidP="007F5461">
            <w:pPr>
              <w:pStyle w:val="TableText"/>
              <w:rPr>
                <w:noProof w:val="0"/>
                <w:lang w:val="en-AU"/>
              </w:rPr>
            </w:pPr>
            <w:r w:rsidRPr="00397A3E">
              <w:rPr>
                <w:rFonts w:cs="Calibri"/>
                <w:noProof w:val="0"/>
                <w:color w:val="000000"/>
                <w:szCs w:val="16"/>
                <w:lang w:val="en-AU"/>
              </w:rPr>
              <w:t xml:space="preserve">G3: </w:t>
            </w:r>
            <w:r w:rsidRPr="00397A3E">
              <w:rPr>
                <w:rFonts w:cs="Calibri"/>
                <w:noProof w:val="0"/>
                <w:color w:val="000000"/>
                <w:szCs w:val="16"/>
                <w:lang w:val="en-AU"/>
              </w:rPr>
              <w:fldChar w:fldCharType="begin"/>
            </w:r>
            <w:r w:rsidRPr="00397A3E">
              <w:rPr>
                <w:rFonts w:cs="Calibri"/>
                <w:noProof w:val="0"/>
                <w:color w:val="000000"/>
                <w:szCs w:val="16"/>
                <w:lang w:val="en-AU"/>
              </w:rPr>
              <w:instrText xml:space="preserve"> ADDIN ZOTERO_ITEM CSL_CITATION {"citationID":"CVMpm5wZ","properties":{"custom":"EPA Victoria (2021)","formattedCitation":"EPA Victoria (2021)","plainCitation":"EPA Victoria (2021)","noteIndex":0},"citationItems":[{"id":17578,"uris":["http://zotero.org/users/148142/items/HPITMMGC"],"uri":["http://zotero.org/users/148142/items/HPITMMGC"],"itemData":{"id":17578,"type":"report","publisher":"Environment Protection Authority, Victoria","title":"Quantitative Microbial Risk Assessment (QMRA) for assessing risks to recreational users in Port Phillip Bay. EPA Publication 2007, June 2021","author":[{"literal":"EPA Victoria"}],"issued":{"date-parts":[["2021"]]}}}],"schema":"https://github.com/citation-style-language/schema/raw/master/csl-citation.json"} </w:instrText>
            </w:r>
            <w:r w:rsidRPr="00397A3E">
              <w:rPr>
                <w:rFonts w:cs="Calibri"/>
                <w:noProof w:val="0"/>
                <w:color w:val="000000"/>
                <w:szCs w:val="16"/>
                <w:lang w:val="en-AU"/>
              </w:rPr>
              <w:fldChar w:fldCharType="separate"/>
            </w:r>
            <w:r w:rsidRPr="00397A3E">
              <w:rPr>
                <w:rFonts w:cs="Calibri"/>
                <w:noProof w:val="0"/>
                <w:lang w:val="en-AU"/>
              </w:rPr>
              <w:t>EPA Victoria (2021)</w:t>
            </w:r>
            <w:r w:rsidRPr="00397A3E">
              <w:rPr>
                <w:rFonts w:cs="Calibri"/>
                <w:noProof w:val="0"/>
                <w:color w:val="000000"/>
                <w:szCs w:val="16"/>
                <w:lang w:val="en-AU"/>
              </w:rPr>
              <w:fldChar w:fldCharType="end"/>
            </w:r>
          </w:p>
        </w:tc>
        <w:tc>
          <w:tcPr>
            <w:tcW w:w="6509" w:type="dxa"/>
            <w:tcMar>
              <w:top w:w="80" w:type="dxa"/>
              <w:left w:w="80" w:type="dxa"/>
              <w:bottom w:w="80" w:type="dxa"/>
              <w:right w:w="80" w:type="dxa"/>
            </w:tcMar>
            <w:hideMark/>
          </w:tcPr>
          <w:p w14:paraId="525C5DF5" w14:textId="0F0C27EF" w:rsidR="007F5461" w:rsidRPr="00397A3E" w:rsidRDefault="00171C91" w:rsidP="007F5461">
            <w:pPr>
              <w:pStyle w:val="TableText"/>
              <w:rPr>
                <w:noProof w:val="0"/>
                <w:lang w:val="en-AU"/>
              </w:rPr>
            </w:pPr>
            <w:r w:rsidRPr="00397A3E">
              <w:rPr>
                <w:noProof w:val="0"/>
                <w:lang w:val="en-AU"/>
              </w:rPr>
              <w:t>Using a QMRA approach, the probability of illness</w:t>
            </w:r>
            <w:r w:rsidR="00B34963" w:rsidRPr="00397A3E">
              <w:rPr>
                <w:noProof w:val="0"/>
                <w:lang w:val="en-AU"/>
              </w:rPr>
              <w:t xml:space="preserve"> p(ill)</w:t>
            </w:r>
            <w:r w:rsidRPr="00397A3E">
              <w:rPr>
                <w:noProof w:val="0"/>
                <w:lang w:val="en-AU"/>
              </w:rPr>
              <w:t xml:space="preserve"> from water-based recreational activities at three beach locations within Port Phillip Bay, </w:t>
            </w:r>
            <w:r w:rsidR="00E652B2" w:rsidRPr="00397A3E">
              <w:rPr>
                <w:noProof w:val="0"/>
                <w:lang w:val="en-AU"/>
              </w:rPr>
              <w:t xml:space="preserve">was compared </w:t>
            </w:r>
            <w:r w:rsidRPr="00397A3E">
              <w:rPr>
                <w:noProof w:val="0"/>
                <w:lang w:val="en-AU"/>
              </w:rPr>
              <w:t xml:space="preserve">to that which would be expected to occur when indicators were at the thresholds listed in the Victorian State Environment Protection Policy [SEPP (Waters)] and the </w:t>
            </w:r>
            <w:r w:rsidR="0041641B">
              <w:rPr>
                <w:noProof w:val="0"/>
                <w:lang w:val="en-AU"/>
              </w:rPr>
              <w:t xml:space="preserve">2008 </w:t>
            </w:r>
            <w:r w:rsidRPr="00397A3E">
              <w:rPr>
                <w:noProof w:val="0"/>
                <w:lang w:val="en-AU"/>
              </w:rPr>
              <w:t>NHMRC Guidelines.</w:t>
            </w:r>
          </w:p>
          <w:p w14:paraId="3C8D6A54" w14:textId="16110237" w:rsidR="007F5461" w:rsidRPr="00397A3E" w:rsidRDefault="00171C91" w:rsidP="007F5461">
            <w:pPr>
              <w:pStyle w:val="TableText"/>
              <w:rPr>
                <w:noProof w:val="0"/>
                <w:lang w:val="en-AU"/>
              </w:rPr>
            </w:pPr>
            <w:r w:rsidRPr="00397A3E">
              <w:rPr>
                <w:noProof w:val="0"/>
                <w:lang w:val="en-AU"/>
              </w:rPr>
              <w:t>The QMRA for primary contact recreation (P</w:t>
            </w:r>
            <w:r w:rsidR="00CD12EE" w:rsidRPr="00397A3E">
              <w:rPr>
                <w:noProof w:val="0"/>
                <w:lang w:val="en-AU"/>
              </w:rPr>
              <w:t>r</w:t>
            </w:r>
            <w:r w:rsidRPr="00397A3E">
              <w:rPr>
                <w:noProof w:val="0"/>
                <w:lang w:val="en-AU"/>
              </w:rPr>
              <w:t>CR) predicted a mean probability of illness (p(ill)) of 0.33% [95</w:t>
            </w:r>
            <w:r w:rsidRPr="00397A3E">
              <w:rPr>
                <w:noProof w:val="0"/>
                <w:vertAlign w:val="superscript"/>
                <w:lang w:val="en-AU"/>
              </w:rPr>
              <w:t>th</w:t>
            </w:r>
            <w:r w:rsidRPr="00397A3E">
              <w:rPr>
                <w:noProof w:val="0"/>
                <w:lang w:val="en-AU"/>
              </w:rPr>
              <w:t xml:space="preserve"> percentile 1.07%] per exposure event, mostly due to norovirus 0.23% [0.82%]. Adenoviruses contributed the next highest proportion of total risks at 0.07% [0.23%], whilst bacteria and protozoa had p(ill) at or below 0.01%.</w:t>
            </w:r>
          </w:p>
          <w:p w14:paraId="1834E8B1" w14:textId="0C793F58" w:rsidR="007F5461" w:rsidRPr="00397A3E" w:rsidRDefault="00171C91" w:rsidP="007F5461">
            <w:pPr>
              <w:pStyle w:val="TableText"/>
              <w:rPr>
                <w:noProof w:val="0"/>
                <w:lang w:val="en-AU"/>
              </w:rPr>
            </w:pPr>
            <w:r w:rsidRPr="00397A3E">
              <w:rPr>
                <w:noProof w:val="0"/>
                <w:lang w:val="en-AU"/>
              </w:rPr>
              <w:t>For secondary contact recreation (S</w:t>
            </w:r>
            <w:r w:rsidR="00CD12EE" w:rsidRPr="00397A3E">
              <w:rPr>
                <w:noProof w:val="0"/>
                <w:lang w:val="en-AU"/>
              </w:rPr>
              <w:t>e</w:t>
            </w:r>
            <w:r w:rsidRPr="00397A3E">
              <w:rPr>
                <w:noProof w:val="0"/>
                <w:lang w:val="en-AU"/>
              </w:rPr>
              <w:t>CR), the QMRA predicted a mean probability of illness of 0.05% [0.18%). As with the P</w:t>
            </w:r>
            <w:r w:rsidR="00CD12EE" w:rsidRPr="00397A3E">
              <w:rPr>
                <w:noProof w:val="0"/>
                <w:lang w:val="en-AU"/>
              </w:rPr>
              <w:t>r</w:t>
            </w:r>
            <w:r w:rsidRPr="00397A3E">
              <w:rPr>
                <w:noProof w:val="0"/>
                <w:lang w:val="en-AU"/>
              </w:rPr>
              <w:t>CR QMRA, most of this probability was derived from norovirus.</w:t>
            </w:r>
          </w:p>
          <w:p w14:paraId="40CF8F6A" w14:textId="258EB74C" w:rsidR="007F5461" w:rsidRPr="00397A3E" w:rsidRDefault="00171C91" w:rsidP="007F5461">
            <w:pPr>
              <w:pStyle w:val="TableText"/>
              <w:rPr>
                <w:noProof w:val="0"/>
                <w:lang w:val="en-AU"/>
              </w:rPr>
            </w:pPr>
            <w:r w:rsidRPr="00397A3E">
              <w:rPr>
                <w:noProof w:val="0"/>
                <w:lang w:val="en-AU"/>
              </w:rPr>
              <w:t>Sensitivity analyses showed that the QMRA models were not sensitive to changes in the dose-response relationship. Regardless of the dose-response model chosen, the 95</w:t>
            </w:r>
            <w:r w:rsidRPr="00397A3E">
              <w:rPr>
                <w:noProof w:val="0"/>
                <w:vertAlign w:val="superscript"/>
                <w:lang w:val="en-AU"/>
              </w:rPr>
              <w:t>th</w:t>
            </w:r>
            <w:r w:rsidRPr="00397A3E">
              <w:rPr>
                <w:noProof w:val="0"/>
                <w:lang w:val="en-AU"/>
              </w:rPr>
              <w:t xml:space="preserve"> percentile probability of enteric illness due to a single P</w:t>
            </w:r>
            <w:r w:rsidR="00CD12EE" w:rsidRPr="00397A3E">
              <w:rPr>
                <w:noProof w:val="0"/>
                <w:lang w:val="en-AU"/>
              </w:rPr>
              <w:t>r</w:t>
            </w:r>
            <w:r w:rsidRPr="00397A3E">
              <w:rPr>
                <w:noProof w:val="0"/>
                <w:lang w:val="en-AU"/>
              </w:rPr>
              <w:t>CR event rarely exceeded 2.02%.</w:t>
            </w:r>
          </w:p>
          <w:p w14:paraId="75BDA96D" w14:textId="7A3B292A" w:rsidR="007F5461" w:rsidRPr="00397A3E" w:rsidRDefault="00171C91" w:rsidP="007F5461">
            <w:pPr>
              <w:pStyle w:val="TableText"/>
              <w:rPr>
                <w:noProof w:val="0"/>
                <w:lang w:val="en-AU"/>
              </w:rPr>
            </w:pPr>
            <w:r w:rsidRPr="00397A3E">
              <w:rPr>
                <w:noProof w:val="0"/>
                <w:lang w:val="en-AU"/>
              </w:rPr>
              <w:t>Using data collected from the three beaches, the QMRA showed that for both P</w:t>
            </w:r>
            <w:r w:rsidR="00CD12EE" w:rsidRPr="00397A3E">
              <w:rPr>
                <w:noProof w:val="0"/>
                <w:lang w:val="en-AU"/>
              </w:rPr>
              <w:t>r</w:t>
            </w:r>
            <w:r w:rsidRPr="00397A3E">
              <w:rPr>
                <w:noProof w:val="0"/>
                <w:lang w:val="en-AU"/>
              </w:rPr>
              <w:t>CR and S</w:t>
            </w:r>
            <w:r w:rsidR="00CD12EE" w:rsidRPr="00397A3E">
              <w:rPr>
                <w:noProof w:val="0"/>
                <w:lang w:val="en-AU"/>
              </w:rPr>
              <w:t>e</w:t>
            </w:r>
            <w:r w:rsidRPr="00397A3E">
              <w:rPr>
                <w:noProof w:val="0"/>
                <w:lang w:val="en-AU"/>
              </w:rPr>
              <w:t>CR the probabilities of contracting an illness were very low compared to that expected using at the thresholds listed in the SEPP (Waters) and the NHMRC guidance (2008).</w:t>
            </w:r>
          </w:p>
          <w:p w14:paraId="0819A539" w14:textId="227FBAFC" w:rsidR="007F5461" w:rsidRPr="00397A3E" w:rsidRDefault="00171C91" w:rsidP="007F5461">
            <w:pPr>
              <w:pStyle w:val="TableText"/>
              <w:rPr>
                <w:noProof w:val="0"/>
                <w:lang w:val="en-AU"/>
              </w:rPr>
            </w:pPr>
            <w:r w:rsidRPr="00397A3E">
              <w:rPr>
                <w:noProof w:val="0"/>
                <w:lang w:val="en-AU"/>
              </w:rPr>
              <w:t xml:space="preserve">The study concluded that the current practice of using indicators testing could not accurately predict the densities of pathogens in Port Phillip Bay. Although </w:t>
            </w:r>
            <w:r w:rsidRPr="00397A3E">
              <w:rPr>
                <w:i/>
                <w:iCs/>
                <w:noProof w:val="0"/>
                <w:lang w:val="en-AU"/>
              </w:rPr>
              <w:t>E. coli</w:t>
            </w:r>
            <w:r w:rsidRPr="00397A3E">
              <w:rPr>
                <w:noProof w:val="0"/>
                <w:lang w:val="en-AU"/>
              </w:rPr>
              <w:t xml:space="preserve"> and enterococci correlated with the calculated rates of gastrointestinal illnesses due to a P</w:t>
            </w:r>
            <w:r w:rsidR="00CD12EE" w:rsidRPr="00397A3E">
              <w:rPr>
                <w:noProof w:val="0"/>
                <w:lang w:val="en-AU"/>
              </w:rPr>
              <w:t>r</w:t>
            </w:r>
            <w:r w:rsidRPr="00397A3E">
              <w:rPr>
                <w:noProof w:val="0"/>
                <w:lang w:val="en-AU"/>
              </w:rPr>
              <w:t>CR event, meaningful bay-specific objectives could not be directly derived from this relationship.</w:t>
            </w:r>
          </w:p>
        </w:tc>
      </w:tr>
      <w:tr w:rsidR="00785848" w14:paraId="3F05F0EC" w14:textId="77777777" w:rsidTr="007F5461">
        <w:tc>
          <w:tcPr>
            <w:tcW w:w="1124" w:type="dxa"/>
            <w:shd w:val="clear" w:color="auto" w:fill="D6EAEB"/>
            <w:tcMar>
              <w:top w:w="80" w:type="dxa"/>
              <w:left w:w="80" w:type="dxa"/>
              <w:bottom w:w="80" w:type="dxa"/>
              <w:right w:w="80" w:type="dxa"/>
            </w:tcMar>
            <w:vAlign w:val="center"/>
            <w:hideMark/>
          </w:tcPr>
          <w:p w14:paraId="01B05032" w14:textId="39A5BACC" w:rsidR="007F5461" w:rsidRPr="00397A3E" w:rsidRDefault="00171C91" w:rsidP="007F5461">
            <w:pPr>
              <w:pStyle w:val="TableText"/>
              <w:rPr>
                <w:noProof w:val="0"/>
                <w:lang w:val="en-AU"/>
              </w:rPr>
            </w:pPr>
            <w:r w:rsidRPr="00397A3E">
              <w:rPr>
                <w:rFonts w:cs="Calibri"/>
                <w:noProof w:val="0"/>
                <w:color w:val="000000"/>
                <w:szCs w:val="16"/>
                <w:lang w:val="en-AU"/>
              </w:rPr>
              <w:t xml:space="preserve">G4: </w:t>
            </w:r>
            <w:r w:rsidRPr="00397A3E">
              <w:rPr>
                <w:bCs/>
                <w:noProof w:val="0"/>
                <w:color w:val="000000"/>
                <w:szCs w:val="16"/>
                <w:lang w:val="en-AU"/>
              </w:rPr>
              <w:fldChar w:fldCharType="begin"/>
            </w:r>
            <w:r w:rsidRPr="00397A3E">
              <w:rPr>
                <w:bCs/>
                <w:noProof w:val="0"/>
                <w:color w:val="000000"/>
                <w:szCs w:val="16"/>
                <w:lang w:val="en-AU"/>
              </w:rPr>
              <w:instrText xml:space="preserve"> ADDIN ZOTERO_ITEM CSL_CITATION {"citationID":"K89yCaPA","properties":{"custom":"King et al. (2014)","formattedCitation":"King et al. (2014)","plainCitation":"King et al. (2014)","noteIndex":0},"citationItems":[{"id":15773,"uris":["http://zotero.org/users/148142/items/LATIBYWS"],"uri":["http://zotero.org/users/148142/items/LATIBYWS"],"itemData":{"id":15773,"type":"report","event-place":"United Kingdom","publisher":"Department of Environment, Food and Rural Affairs (DEFRA)","publisher-place":"United Kingdom","title":"The health risks of bathing in recreational waters. A rapid evidence assessment of water quality and gastrointestinal illness. Final report WT1530. A report of research carried out by RAND Europe, on behalf of the UK Department for Environment, Farming and Rural Affairs (DEFRA)","URL":"https://www.rand.org/content/dam/rand/pubs/research_reports/RR600/RR698/RAND_RR698.pdf","author":[{"family":"King","given":"Sarah"},{"family":"Exley","given":"Josephine"},{"family":"Winpenny","given":"Eleanor"},{"family":"Alves","given":"Lottie"},{"family":"Henham","given":"Marie-Louise"},{"family":"Larkin","given":"Jody"}],"issued":{"date-parts":[["2014"]]}}}],"schema":"https://github.com/citation-style-language/schema/raw/master/csl-citation.json"} </w:instrText>
            </w:r>
            <w:r w:rsidRPr="00397A3E">
              <w:rPr>
                <w:bCs/>
                <w:noProof w:val="0"/>
                <w:color w:val="000000"/>
                <w:szCs w:val="16"/>
                <w:lang w:val="en-AU"/>
              </w:rPr>
              <w:fldChar w:fldCharType="separate"/>
            </w:r>
            <w:r w:rsidRPr="00397A3E">
              <w:rPr>
                <w:rFonts w:cs="Calibri"/>
                <w:noProof w:val="0"/>
                <w:lang w:val="en-AU"/>
              </w:rPr>
              <w:t>King et al. (2014)</w:t>
            </w:r>
            <w:r w:rsidRPr="00397A3E">
              <w:rPr>
                <w:bCs/>
                <w:noProof w:val="0"/>
                <w:color w:val="000000"/>
                <w:szCs w:val="16"/>
                <w:lang w:val="en-AU"/>
              </w:rPr>
              <w:fldChar w:fldCharType="end"/>
            </w:r>
          </w:p>
        </w:tc>
        <w:tc>
          <w:tcPr>
            <w:tcW w:w="6509" w:type="dxa"/>
            <w:tcMar>
              <w:top w:w="80" w:type="dxa"/>
              <w:left w:w="80" w:type="dxa"/>
              <w:bottom w:w="80" w:type="dxa"/>
              <w:right w:w="80" w:type="dxa"/>
            </w:tcMar>
            <w:hideMark/>
          </w:tcPr>
          <w:p w14:paraId="64013919" w14:textId="1B8AF1E2" w:rsidR="007F5461" w:rsidRPr="00397A3E" w:rsidRDefault="00171C91" w:rsidP="007F5461">
            <w:pPr>
              <w:pStyle w:val="TableText"/>
              <w:rPr>
                <w:noProof w:val="0"/>
                <w:lang w:val="en-AU"/>
              </w:rPr>
            </w:pPr>
            <w:r w:rsidRPr="00397A3E">
              <w:rPr>
                <w:noProof w:val="0"/>
                <w:lang w:val="en-AU"/>
              </w:rPr>
              <w:t>To evaluate the epidemiological literature published between 2003 and 2014, King et al examined the relationship between recreational water use (i.e. exposure to marine water and freshwater recreational waters) and gastrointestinal illness (GI).  The authors found that there is continuing evidence that bathing in recreational water poses some increased risk of GI to bathers compared with non-bathers.  Specifically:</w:t>
            </w:r>
          </w:p>
          <w:p w14:paraId="1DF850FF" w14:textId="77777777" w:rsidR="007F5461" w:rsidRPr="00397A3E" w:rsidRDefault="00171C91" w:rsidP="00764500">
            <w:pPr>
              <w:pStyle w:val="TableText"/>
              <w:numPr>
                <w:ilvl w:val="0"/>
                <w:numId w:val="39"/>
              </w:numPr>
              <w:rPr>
                <w:noProof w:val="0"/>
                <w:lang w:val="en-AU"/>
              </w:rPr>
            </w:pPr>
            <w:r w:rsidRPr="00397A3E">
              <w:rPr>
                <w:noProof w:val="0"/>
                <w:lang w:val="en-AU"/>
              </w:rPr>
              <w:t>There appears to be little or no significant difference between GI in bathers compared with non-bathers at marine beaches.</w:t>
            </w:r>
          </w:p>
          <w:p w14:paraId="5A481A1B" w14:textId="77777777" w:rsidR="007F5461" w:rsidRPr="00397A3E" w:rsidRDefault="00171C91" w:rsidP="00764500">
            <w:pPr>
              <w:pStyle w:val="TableText"/>
              <w:numPr>
                <w:ilvl w:val="0"/>
                <w:numId w:val="39"/>
              </w:numPr>
              <w:rPr>
                <w:noProof w:val="0"/>
                <w:lang w:val="en-AU"/>
              </w:rPr>
            </w:pPr>
            <w:r w:rsidRPr="00397A3E">
              <w:rPr>
                <w:noProof w:val="0"/>
                <w:lang w:val="en-AU"/>
              </w:rPr>
              <w:t>In contrast, there appears to be a consistent and significantly higher risk of GI in bathers compared with non-bathers in freshwater sites in temperate climates (up to 3.2 times higher).</w:t>
            </w:r>
          </w:p>
          <w:p w14:paraId="1B1E64FD" w14:textId="77777777" w:rsidR="007F5461" w:rsidRPr="00397A3E" w:rsidRDefault="00171C91" w:rsidP="00764500">
            <w:pPr>
              <w:pStyle w:val="TableText"/>
              <w:numPr>
                <w:ilvl w:val="0"/>
                <w:numId w:val="39"/>
              </w:numPr>
              <w:rPr>
                <w:noProof w:val="0"/>
                <w:lang w:val="en-AU"/>
              </w:rPr>
            </w:pPr>
            <w:r w:rsidRPr="00397A3E">
              <w:rPr>
                <w:noProof w:val="0"/>
                <w:lang w:val="en-AU"/>
              </w:rPr>
              <w:t>There is some evidence to suggest that increased bather exposure (i.e. head immersion or swallowing water) results in a higher risk of GI, particularly for freshwater bathers.</w:t>
            </w:r>
          </w:p>
          <w:p w14:paraId="7814F5F4" w14:textId="77777777" w:rsidR="007F5461" w:rsidRPr="00397A3E" w:rsidRDefault="00171C91" w:rsidP="00764500">
            <w:pPr>
              <w:pStyle w:val="TableText"/>
              <w:numPr>
                <w:ilvl w:val="0"/>
                <w:numId w:val="39"/>
              </w:numPr>
              <w:rPr>
                <w:noProof w:val="0"/>
                <w:lang w:val="en-AU"/>
              </w:rPr>
            </w:pPr>
            <w:r w:rsidRPr="00397A3E">
              <w:rPr>
                <w:noProof w:val="0"/>
                <w:lang w:val="en-AU"/>
              </w:rPr>
              <w:t xml:space="preserve">There is evidence to suggest that an increase in time spent in water is associated with an increase in GI. </w:t>
            </w:r>
          </w:p>
          <w:p w14:paraId="572C8CBF" w14:textId="77777777" w:rsidR="007F5461" w:rsidRPr="00397A3E" w:rsidRDefault="00171C91" w:rsidP="00764500">
            <w:pPr>
              <w:pStyle w:val="TableText"/>
              <w:numPr>
                <w:ilvl w:val="0"/>
                <w:numId w:val="39"/>
              </w:numPr>
              <w:rPr>
                <w:noProof w:val="0"/>
                <w:lang w:val="en-AU"/>
              </w:rPr>
            </w:pPr>
            <w:r w:rsidRPr="00397A3E">
              <w:rPr>
                <w:noProof w:val="0"/>
                <w:lang w:val="en-AU"/>
              </w:rPr>
              <w:t>There is very little evidence on how the risk of GI varies with age.</w:t>
            </w:r>
          </w:p>
          <w:p w14:paraId="63206602" w14:textId="77777777" w:rsidR="007F5461" w:rsidRPr="00397A3E" w:rsidRDefault="00171C91" w:rsidP="00764500">
            <w:pPr>
              <w:pStyle w:val="TableText"/>
              <w:numPr>
                <w:ilvl w:val="0"/>
                <w:numId w:val="39"/>
              </w:numPr>
              <w:rPr>
                <w:noProof w:val="0"/>
                <w:lang w:val="en-AU"/>
              </w:rPr>
            </w:pPr>
            <w:r w:rsidRPr="00397A3E">
              <w:rPr>
                <w:noProof w:val="0"/>
                <w:lang w:val="en-AU"/>
              </w:rPr>
              <w:t>There is a lack of recent studies which have evaluated the risk of GI in recreational water users other than bathers (e.g. in people canoeing, fishing, kayaking, motor boating, or rowing).</w:t>
            </w:r>
          </w:p>
          <w:p w14:paraId="6CF646C5" w14:textId="79F161B8" w:rsidR="007F5461" w:rsidRPr="00397A3E" w:rsidRDefault="00171C91" w:rsidP="007F5461">
            <w:pPr>
              <w:pStyle w:val="TableText"/>
              <w:rPr>
                <w:noProof w:val="0"/>
                <w:lang w:val="en-AU"/>
              </w:rPr>
            </w:pPr>
            <w:r w:rsidRPr="00397A3E">
              <w:rPr>
                <w:noProof w:val="0"/>
                <w:lang w:val="en-AU"/>
              </w:rPr>
              <w:t>King et al., were highly critical of the quality of the literature reviewed</w:t>
            </w:r>
            <w:r w:rsidR="0071255A">
              <w:rPr>
                <w:noProof w:val="0"/>
                <w:lang w:val="en-AU"/>
              </w:rPr>
              <w:t xml:space="preserve"> and suggested </w:t>
            </w:r>
            <w:r w:rsidRPr="00397A3E">
              <w:rPr>
                <w:noProof w:val="0"/>
                <w:lang w:val="en-AU"/>
              </w:rPr>
              <w:t xml:space="preserve">that the various results presented by the study authors could be an artefact of the range of methods used. </w:t>
            </w:r>
          </w:p>
        </w:tc>
      </w:tr>
      <w:tr w:rsidR="00785848" w14:paraId="53D0EDB6" w14:textId="77777777" w:rsidTr="007F5461">
        <w:tc>
          <w:tcPr>
            <w:tcW w:w="1124" w:type="dxa"/>
            <w:shd w:val="clear" w:color="auto" w:fill="D6EAEB"/>
            <w:tcMar>
              <w:top w:w="80" w:type="dxa"/>
              <w:left w:w="80" w:type="dxa"/>
              <w:bottom w:w="80" w:type="dxa"/>
              <w:right w:w="80" w:type="dxa"/>
            </w:tcMar>
            <w:vAlign w:val="center"/>
            <w:hideMark/>
          </w:tcPr>
          <w:p w14:paraId="61F8633A" w14:textId="4EBD4B49" w:rsidR="007F5461" w:rsidRPr="00397A3E" w:rsidRDefault="00171C91" w:rsidP="007F5461">
            <w:pPr>
              <w:pStyle w:val="TableText"/>
              <w:rPr>
                <w:noProof w:val="0"/>
                <w:lang w:val="en-AU"/>
              </w:rPr>
            </w:pPr>
            <w:r w:rsidRPr="00397A3E">
              <w:rPr>
                <w:rFonts w:cs="Calibri"/>
                <w:noProof w:val="0"/>
                <w:color w:val="000000"/>
                <w:szCs w:val="16"/>
                <w:lang w:val="en-AU"/>
              </w:rPr>
              <w:t xml:space="preserve">G8: </w:t>
            </w:r>
            <w:r w:rsidRPr="00397A3E">
              <w:rPr>
                <w:bCs/>
                <w:noProof w:val="0"/>
                <w:color w:val="000000"/>
                <w:szCs w:val="16"/>
                <w:lang w:val="en-AU"/>
              </w:rPr>
              <w:fldChar w:fldCharType="begin"/>
            </w:r>
            <w:r w:rsidRPr="00397A3E">
              <w:rPr>
                <w:bCs/>
                <w:noProof w:val="0"/>
                <w:color w:val="000000"/>
                <w:szCs w:val="16"/>
                <w:lang w:val="en-AU"/>
              </w:rPr>
              <w:instrText xml:space="preserve"> ADDIN ZOTERO_ITEM CSL_CITATION {"citationID":"9j6GsNH4","properties":{"custom":"NHMRC (2008)","formattedCitation":"NHMRC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397A3E">
              <w:rPr>
                <w:bCs/>
                <w:noProof w:val="0"/>
                <w:color w:val="000000"/>
                <w:szCs w:val="16"/>
                <w:lang w:val="en-AU"/>
              </w:rPr>
              <w:fldChar w:fldCharType="separate"/>
            </w:r>
            <w:r w:rsidRPr="00397A3E">
              <w:rPr>
                <w:rFonts w:cs="Calibri"/>
                <w:noProof w:val="0"/>
                <w:lang w:val="en-AU"/>
              </w:rPr>
              <w:t>NHMRC (2008)</w:t>
            </w:r>
            <w:r w:rsidRPr="00397A3E">
              <w:rPr>
                <w:bCs/>
                <w:noProof w:val="0"/>
                <w:color w:val="000000"/>
                <w:szCs w:val="16"/>
                <w:lang w:val="en-AU"/>
              </w:rPr>
              <w:fldChar w:fldCharType="end"/>
            </w:r>
          </w:p>
        </w:tc>
        <w:tc>
          <w:tcPr>
            <w:tcW w:w="6509" w:type="dxa"/>
            <w:tcMar>
              <w:top w:w="80" w:type="dxa"/>
              <w:left w:w="80" w:type="dxa"/>
              <w:bottom w:w="80" w:type="dxa"/>
              <w:right w:w="80" w:type="dxa"/>
            </w:tcMar>
            <w:hideMark/>
          </w:tcPr>
          <w:p w14:paraId="11038B94" w14:textId="3C3EB6DF" w:rsidR="007F5461" w:rsidRPr="00397A3E" w:rsidRDefault="00171C91" w:rsidP="007F5461">
            <w:pPr>
              <w:pStyle w:val="TableText"/>
              <w:rPr>
                <w:noProof w:val="0"/>
                <w:lang w:val="en-AU"/>
              </w:rPr>
            </w:pPr>
            <w:r w:rsidRPr="00397A3E">
              <w:rPr>
                <w:noProof w:val="0"/>
                <w:lang w:val="en-AU"/>
              </w:rPr>
              <w:t xml:space="preserve">The </w:t>
            </w:r>
            <w:r w:rsidR="00DC5814">
              <w:rPr>
                <w:noProof w:val="0"/>
                <w:lang w:val="en-AU"/>
              </w:rPr>
              <w:t xml:space="preserve">2008 </w:t>
            </w:r>
            <w:r w:rsidRPr="00397A3E">
              <w:rPr>
                <w:noProof w:val="0"/>
                <w:lang w:val="en-AU"/>
              </w:rPr>
              <w:t xml:space="preserve">NHMRC Guidelines provide guidance for state and local agencies towards a nationally harmonised approach to managing recreational water quality.  The </w:t>
            </w:r>
            <w:r w:rsidR="0071255A">
              <w:rPr>
                <w:noProof w:val="0"/>
                <w:lang w:val="en-AU"/>
              </w:rPr>
              <w:t>G</w:t>
            </w:r>
            <w:r w:rsidRPr="00397A3E">
              <w:rPr>
                <w:noProof w:val="0"/>
                <w:lang w:val="en-AU"/>
              </w:rPr>
              <w:t>uidelines implicitly recommend a classificatory approach to the management of recreational water quality.  The approach involves microbial-based categorisation of the water using a combination of sanitary inspection and microbial water-quality assessment.</w:t>
            </w:r>
          </w:p>
          <w:p w14:paraId="500E68A2" w14:textId="77777777" w:rsidR="007F5461" w:rsidRPr="00397A3E" w:rsidRDefault="00171C91" w:rsidP="007F5461">
            <w:pPr>
              <w:pStyle w:val="TableText"/>
              <w:rPr>
                <w:noProof w:val="0"/>
                <w:lang w:val="en-AU"/>
              </w:rPr>
            </w:pPr>
            <w:r w:rsidRPr="00397A3E">
              <w:rPr>
                <w:noProof w:val="0"/>
                <w:lang w:val="en-AU"/>
              </w:rPr>
              <w:t>Combining such categorisation with prevention of exposure at times of increased risk provides an effective framework for assessing and managing recreational water quality. The guidelines include a classification matrix which is based on four classes of microbial water quality (as 95</w:t>
            </w:r>
            <w:r w:rsidRPr="00397A3E">
              <w:rPr>
                <w:noProof w:val="0"/>
                <w:vertAlign w:val="superscript"/>
                <w:lang w:val="en-AU"/>
              </w:rPr>
              <w:t>th</w:t>
            </w:r>
            <w:r w:rsidRPr="00397A3E">
              <w:rPr>
                <w:noProof w:val="0"/>
                <w:lang w:val="en-AU"/>
              </w:rPr>
              <w:t xml:space="preserve"> percentiles of enterococci/100 ml) by four sanitary inspection categories (rating susceptibility of the site to faecal influence). </w:t>
            </w:r>
          </w:p>
        </w:tc>
      </w:tr>
      <w:tr w:rsidR="00785848" w14:paraId="16B07621" w14:textId="77777777" w:rsidTr="007F5461">
        <w:tc>
          <w:tcPr>
            <w:tcW w:w="1124" w:type="dxa"/>
            <w:shd w:val="clear" w:color="auto" w:fill="D6EAEB"/>
            <w:tcMar>
              <w:top w:w="80" w:type="dxa"/>
              <w:left w:w="80" w:type="dxa"/>
              <w:bottom w:w="80" w:type="dxa"/>
              <w:right w:w="80" w:type="dxa"/>
            </w:tcMar>
            <w:vAlign w:val="center"/>
            <w:hideMark/>
          </w:tcPr>
          <w:p w14:paraId="113C3750" w14:textId="042CAF6A" w:rsidR="007F5461" w:rsidRPr="00397A3E" w:rsidRDefault="00171C91" w:rsidP="007F5461">
            <w:pPr>
              <w:pStyle w:val="TableText"/>
              <w:rPr>
                <w:noProof w:val="0"/>
                <w:lang w:val="en-AU"/>
              </w:rPr>
            </w:pPr>
            <w:r w:rsidRPr="00397A3E">
              <w:rPr>
                <w:rFonts w:cs="Calibri"/>
                <w:noProof w:val="0"/>
                <w:color w:val="000000"/>
                <w:szCs w:val="16"/>
                <w:lang w:val="en-AU"/>
              </w:rPr>
              <w:t xml:space="preserve">G11: </w:t>
            </w:r>
            <w:r w:rsidRPr="00397A3E">
              <w:rPr>
                <w:bCs/>
                <w:noProof w:val="0"/>
                <w:color w:val="000000"/>
                <w:szCs w:val="16"/>
                <w:lang w:val="en-AU"/>
              </w:rPr>
              <w:fldChar w:fldCharType="begin"/>
            </w:r>
            <w:r w:rsidRPr="00397A3E">
              <w:rPr>
                <w:bCs/>
                <w:noProof w:val="0"/>
                <w:color w:val="000000"/>
                <w:szCs w:val="16"/>
                <w:lang w:val="en-AU"/>
              </w:rPr>
              <w:instrText xml:space="preserve"> ADDIN ZOTERO_ITEM CSL_CITATION {"citationID":"rbzTS0cx","properties":{"custom":"NSW DPIE (2020)","formattedCitation":"NSW DPIE (2020)","plainCitation":"NSW DPIE (2020)","noteIndex":0},"citationItems":[{"id":16395,"uris":["http://zotero.org/users/148142/items/22QWBZGS"],"uri":["http://zotero.org/users/148142/items/22QWBZGS"],"itemData":{"id":16395,"type":"report","page":"88","title":"Protocol for Assessment and Management of Microbial Risks in Recreational Waters. NSW Department of Planning, Industry &amp; Environment","URL":"https://www.environment.nsw.gov.au/research-and-publications/publications-search/protocol-for-assessment-and-management-of-microbial-risks-in-recreational-waters.","author":[{"literal":"NSW DPIE"}],"issued":{"date-parts":[["2020"]]}}}],"schema":"https://github.com/citation-style-language/schema/raw/master/csl-citation.json"} </w:instrText>
            </w:r>
            <w:r w:rsidRPr="00397A3E">
              <w:rPr>
                <w:bCs/>
                <w:noProof w:val="0"/>
                <w:color w:val="000000"/>
                <w:szCs w:val="16"/>
                <w:lang w:val="en-AU"/>
              </w:rPr>
              <w:fldChar w:fldCharType="separate"/>
            </w:r>
            <w:r w:rsidRPr="00397A3E">
              <w:rPr>
                <w:rFonts w:cs="Calibri"/>
                <w:noProof w:val="0"/>
                <w:lang w:val="en-AU"/>
              </w:rPr>
              <w:t>NSW DPIE (2020)</w:t>
            </w:r>
            <w:r w:rsidRPr="00397A3E">
              <w:rPr>
                <w:bCs/>
                <w:noProof w:val="0"/>
                <w:color w:val="000000"/>
                <w:szCs w:val="16"/>
                <w:lang w:val="en-AU"/>
              </w:rPr>
              <w:fldChar w:fldCharType="end"/>
            </w:r>
          </w:p>
        </w:tc>
        <w:tc>
          <w:tcPr>
            <w:tcW w:w="6509" w:type="dxa"/>
            <w:tcMar>
              <w:top w:w="80" w:type="dxa"/>
              <w:left w:w="80" w:type="dxa"/>
              <w:bottom w:w="80" w:type="dxa"/>
              <w:right w:w="80" w:type="dxa"/>
            </w:tcMar>
            <w:hideMark/>
          </w:tcPr>
          <w:p w14:paraId="4E22A385" w14:textId="6064A961" w:rsidR="007F5461" w:rsidRPr="00397A3E" w:rsidRDefault="00171C91" w:rsidP="007F5461">
            <w:pPr>
              <w:pStyle w:val="TableText"/>
              <w:rPr>
                <w:noProof w:val="0"/>
                <w:lang w:val="en-AU"/>
              </w:rPr>
            </w:pPr>
            <w:r w:rsidRPr="00397A3E">
              <w:rPr>
                <w:noProof w:val="0"/>
                <w:lang w:val="en-AU"/>
              </w:rPr>
              <w:t xml:space="preserve">The NSW DPIE Protocol for assessment and management of microbial risks in recreational waters provides guidance to support the implementation of Chapter 5 of the </w:t>
            </w:r>
            <w:r w:rsidR="0041641B">
              <w:rPr>
                <w:noProof w:val="0"/>
                <w:lang w:val="en-AU"/>
              </w:rPr>
              <w:t xml:space="preserve">2008 </w:t>
            </w:r>
            <w:r w:rsidRPr="00397A3E">
              <w:rPr>
                <w:noProof w:val="0"/>
                <w:lang w:val="en-AU"/>
              </w:rPr>
              <w:t>NHMRC Guidelines. Key elements of the protocol that contribute to the primary research question are:</w:t>
            </w:r>
          </w:p>
          <w:p w14:paraId="21E80CA5" w14:textId="77777777" w:rsidR="007F5461" w:rsidRPr="00397A3E" w:rsidRDefault="00171C91" w:rsidP="00764500">
            <w:pPr>
              <w:pStyle w:val="TableText"/>
              <w:numPr>
                <w:ilvl w:val="0"/>
                <w:numId w:val="40"/>
              </w:numPr>
              <w:rPr>
                <w:noProof w:val="0"/>
                <w:lang w:val="en-AU"/>
              </w:rPr>
            </w:pPr>
            <w:r w:rsidRPr="00397A3E">
              <w:rPr>
                <w:noProof w:val="0"/>
                <w:lang w:val="en-AU"/>
              </w:rPr>
              <w:t>The inclusion of an initial site prioritisation step which prioritises beaches to provide a basis for determining resource allocation.  This step provides a mechanism for identifying high priority swimming locations that should attract more monitoring and reporting resources to ensure the greatest benefit is obtained.  High priority beaches become the subjects of more detailed risk assessments, and programs for monitoring, reporting and microbial risk management.</w:t>
            </w:r>
          </w:p>
          <w:p w14:paraId="5E39DBEC" w14:textId="77777777" w:rsidR="007F5461" w:rsidRPr="00397A3E" w:rsidRDefault="00171C91" w:rsidP="00764500">
            <w:pPr>
              <w:pStyle w:val="TableText"/>
              <w:numPr>
                <w:ilvl w:val="0"/>
                <w:numId w:val="40"/>
              </w:numPr>
              <w:rPr>
                <w:noProof w:val="0"/>
                <w:lang w:val="en-AU"/>
              </w:rPr>
            </w:pPr>
            <w:r w:rsidRPr="00397A3E">
              <w:rPr>
                <w:noProof w:val="0"/>
                <w:lang w:val="en-AU"/>
              </w:rPr>
              <w:t>A detailed Sanitary Inspection process with 5 steps:</w:t>
            </w:r>
          </w:p>
          <w:p w14:paraId="6CB6DF99" w14:textId="77777777" w:rsidR="007F5461" w:rsidRPr="00397A3E" w:rsidRDefault="00171C91" w:rsidP="00764500">
            <w:pPr>
              <w:pStyle w:val="TableText"/>
              <w:numPr>
                <w:ilvl w:val="1"/>
                <w:numId w:val="41"/>
              </w:numPr>
              <w:ind w:left="1058" w:hanging="284"/>
              <w:rPr>
                <w:noProof w:val="0"/>
                <w:lang w:val="en-AU"/>
              </w:rPr>
            </w:pPr>
            <w:r w:rsidRPr="00397A3E">
              <w:rPr>
                <w:noProof w:val="0"/>
                <w:lang w:val="en-AU"/>
              </w:rPr>
              <w:t>Define the swimming area and catchment.</w:t>
            </w:r>
          </w:p>
          <w:p w14:paraId="3EACDBE1" w14:textId="77777777" w:rsidR="007F5461" w:rsidRPr="00397A3E" w:rsidRDefault="00171C91" w:rsidP="00764500">
            <w:pPr>
              <w:pStyle w:val="TableText"/>
              <w:numPr>
                <w:ilvl w:val="1"/>
                <w:numId w:val="41"/>
              </w:numPr>
              <w:ind w:left="1058" w:hanging="284"/>
              <w:rPr>
                <w:noProof w:val="0"/>
                <w:lang w:val="en-AU"/>
              </w:rPr>
            </w:pPr>
            <w:r w:rsidRPr="00397A3E">
              <w:rPr>
                <w:noProof w:val="0"/>
                <w:lang w:val="en-AU"/>
              </w:rPr>
              <w:t>Identify sources of faecal contamination and gather information on the frequency, duration, and intensity of impact.</w:t>
            </w:r>
          </w:p>
          <w:p w14:paraId="087C24C7" w14:textId="77777777" w:rsidR="007F5461" w:rsidRPr="00397A3E" w:rsidRDefault="00171C91" w:rsidP="00764500">
            <w:pPr>
              <w:pStyle w:val="TableText"/>
              <w:numPr>
                <w:ilvl w:val="1"/>
                <w:numId w:val="41"/>
              </w:numPr>
              <w:ind w:left="1058" w:hanging="284"/>
              <w:rPr>
                <w:noProof w:val="0"/>
                <w:lang w:val="en-AU"/>
              </w:rPr>
            </w:pPr>
            <w:r w:rsidRPr="00397A3E">
              <w:rPr>
                <w:noProof w:val="0"/>
                <w:lang w:val="en-AU"/>
              </w:rPr>
              <w:t>Assess likelihood for each identified source of faecal contamination.</w:t>
            </w:r>
          </w:p>
          <w:p w14:paraId="1D9B9833" w14:textId="77777777" w:rsidR="007F5461" w:rsidRPr="00397A3E" w:rsidRDefault="00171C91" w:rsidP="00764500">
            <w:pPr>
              <w:pStyle w:val="TableText"/>
              <w:numPr>
                <w:ilvl w:val="1"/>
                <w:numId w:val="41"/>
              </w:numPr>
              <w:ind w:left="1058" w:hanging="284"/>
              <w:rPr>
                <w:noProof w:val="0"/>
                <w:lang w:val="en-AU"/>
              </w:rPr>
            </w:pPr>
            <w:r w:rsidRPr="00397A3E">
              <w:rPr>
                <w:noProof w:val="0"/>
                <w:lang w:val="en-AU"/>
              </w:rPr>
              <w:t>Determine the Sanitary Inspection Category for the site (overall likelihood).</w:t>
            </w:r>
          </w:p>
          <w:p w14:paraId="752A8EF3" w14:textId="77777777" w:rsidR="007F5461" w:rsidRPr="00397A3E" w:rsidRDefault="00171C91" w:rsidP="00764500">
            <w:pPr>
              <w:pStyle w:val="TableText"/>
              <w:numPr>
                <w:ilvl w:val="1"/>
                <w:numId w:val="41"/>
              </w:numPr>
              <w:ind w:left="1058" w:hanging="284"/>
              <w:rPr>
                <w:noProof w:val="0"/>
                <w:lang w:val="en-AU"/>
              </w:rPr>
            </w:pPr>
            <w:r w:rsidRPr="00397A3E">
              <w:rPr>
                <w:noProof w:val="0"/>
                <w:lang w:val="en-AU"/>
              </w:rPr>
              <w:t>Hold a workshop or meeting with stakeholders to review pollution sources and likelihood assessment.</w:t>
            </w:r>
          </w:p>
          <w:p w14:paraId="7CBB09D8" w14:textId="77777777" w:rsidR="007F5461" w:rsidRPr="00397A3E" w:rsidRDefault="00171C91" w:rsidP="00764500">
            <w:pPr>
              <w:pStyle w:val="TableText"/>
              <w:numPr>
                <w:ilvl w:val="0"/>
                <w:numId w:val="40"/>
              </w:numPr>
              <w:rPr>
                <w:noProof w:val="0"/>
                <w:lang w:val="en-AU"/>
              </w:rPr>
            </w:pPr>
            <w:r w:rsidRPr="00397A3E">
              <w:rPr>
                <w:noProof w:val="0"/>
                <w:lang w:val="en-AU"/>
              </w:rPr>
              <w:t>A microbial water quality monitoring program with specific guidance for sampling design and documentation, quality control aspects including sampling procedures, lab methods and accreditation, data management and work health and safety.</w:t>
            </w:r>
          </w:p>
          <w:p w14:paraId="2E759031" w14:textId="77777777" w:rsidR="007F5461" w:rsidRPr="00397A3E" w:rsidRDefault="00171C91" w:rsidP="00764500">
            <w:pPr>
              <w:pStyle w:val="TableText"/>
              <w:numPr>
                <w:ilvl w:val="0"/>
                <w:numId w:val="40"/>
              </w:numPr>
              <w:rPr>
                <w:noProof w:val="0"/>
                <w:lang w:val="en-AU"/>
              </w:rPr>
            </w:pPr>
            <w:r w:rsidRPr="00397A3E">
              <w:rPr>
                <w:noProof w:val="0"/>
                <w:lang w:val="en-AU"/>
              </w:rPr>
              <w:t>A microbial assessment and beach classification program which describes the methodology for determining beach suitability grades</w:t>
            </w:r>
          </w:p>
          <w:p w14:paraId="6F2970DA" w14:textId="547E3A1C" w:rsidR="007F5461" w:rsidRPr="00397A3E" w:rsidRDefault="00171C91" w:rsidP="00764500">
            <w:pPr>
              <w:pStyle w:val="TableText"/>
              <w:numPr>
                <w:ilvl w:val="0"/>
                <w:numId w:val="40"/>
              </w:numPr>
              <w:rPr>
                <w:noProof w:val="0"/>
                <w:lang w:val="en-AU"/>
              </w:rPr>
            </w:pPr>
            <w:r w:rsidRPr="00397A3E">
              <w:rPr>
                <w:noProof w:val="0"/>
                <w:lang w:val="en-AU"/>
              </w:rPr>
              <w:t xml:space="preserve">Reporting of: Annual Classifications, Weekly Star Ratings, Advisories following rainfall events, daily beach pollution forecasts, communication planning and methods of communication. </w:t>
            </w:r>
          </w:p>
          <w:p w14:paraId="23DB5F39" w14:textId="77777777" w:rsidR="007F5461" w:rsidRPr="00397A3E" w:rsidRDefault="00171C91" w:rsidP="00764500">
            <w:pPr>
              <w:pStyle w:val="TableText"/>
              <w:numPr>
                <w:ilvl w:val="0"/>
                <w:numId w:val="40"/>
              </w:numPr>
              <w:rPr>
                <w:noProof w:val="0"/>
                <w:lang w:val="en-AU"/>
              </w:rPr>
            </w:pPr>
            <w:r w:rsidRPr="00397A3E">
              <w:rPr>
                <w:noProof w:val="0"/>
                <w:lang w:val="en-AU"/>
              </w:rPr>
              <w:t>Appendices with high quality templates for data collection and reporting for such items as: Sanitary inspection major attributes (e.g. pollutions sources), and water quality sample log sheets.</w:t>
            </w:r>
          </w:p>
          <w:p w14:paraId="31E0C348" w14:textId="77777777" w:rsidR="007F5461" w:rsidRPr="00397A3E" w:rsidRDefault="00171C91" w:rsidP="007F5461">
            <w:pPr>
              <w:pStyle w:val="TableText"/>
              <w:rPr>
                <w:noProof w:val="0"/>
                <w:lang w:val="en-AU"/>
              </w:rPr>
            </w:pPr>
            <w:r w:rsidRPr="00397A3E">
              <w:rPr>
                <w:noProof w:val="0"/>
                <w:lang w:val="en-AU"/>
              </w:rPr>
              <w:t>The protocol also includes methods and templates for assessing and scoring likelihoods of contamination from a wide variety of pollution sources.</w:t>
            </w:r>
          </w:p>
        </w:tc>
      </w:tr>
      <w:tr w:rsidR="00785848" w14:paraId="2134711C" w14:textId="77777777" w:rsidTr="007F5461">
        <w:tc>
          <w:tcPr>
            <w:tcW w:w="1124" w:type="dxa"/>
            <w:shd w:val="clear" w:color="auto" w:fill="D6EAEB"/>
            <w:tcMar>
              <w:top w:w="80" w:type="dxa"/>
              <w:left w:w="80" w:type="dxa"/>
              <w:bottom w:w="80" w:type="dxa"/>
              <w:right w:w="80" w:type="dxa"/>
            </w:tcMar>
            <w:vAlign w:val="center"/>
            <w:hideMark/>
          </w:tcPr>
          <w:p w14:paraId="0AB082B8" w14:textId="08BBB48F" w:rsidR="007F5461" w:rsidRPr="00397A3E" w:rsidRDefault="00171C91" w:rsidP="007F5461">
            <w:pPr>
              <w:pStyle w:val="TableText"/>
              <w:rPr>
                <w:noProof w:val="0"/>
                <w:lang w:val="en-AU"/>
              </w:rPr>
            </w:pPr>
            <w:r w:rsidRPr="00397A3E">
              <w:rPr>
                <w:rFonts w:cs="Calibri"/>
                <w:noProof w:val="0"/>
                <w:color w:val="000000"/>
                <w:szCs w:val="16"/>
                <w:lang w:val="en-AU"/>
              </w:rPr>
              <w:t>G13</w:t>
            </w:r>
            <w:bookmarkStart w:id="366" w:name="_Hlk94019778"/>
            <w:r w:rsidRPr="00397A3E">
              <w:rPr>
                <w:rFonts w:cs="Calibri"/>
                <w:noProof w:val="0"/>
                <w:color w:val="000000"/>
                <w:szCs w:val="16"/>
                <w:lang w:val="en-AU"/>
              </w:rPr>
              <w:t xml:space="preserve">: </w:t>
            </w:r>
            <w:r w:rsidRPr="00397A3E">
              <w:rPr>
                <w:bCs/>
                <w:noProof w:val="0"/>
                <w:color w:val="000000"/>
                <w:szCs w:val="16"/>
                <w:lang w:val="en-AU"/>
              </w:rPr>
              <w:fldChar w:fldCharType="begin"/>
            </w:r>
            <w:r w:rsidRPr="00397A3E">
              <w:rPr>
                <w:bCs/>
                <w:noProof w:val="0"/>
                <w:color w:val="000000"/>
                <w:szCs w:val="16"/>
                <w:lang w:val="en-AU"/>
              </w:rPr>
              <w:instrText xml:space="preserve"> ADDIN ZOTERO_ITEM CSL_CITATION {"citationID":"kPNOWds9","properties":{"custom":"US EPA (2017)","formattedCitation":"US EPA (2017)","plainCitation":"US EPA (2017)","noteIndex":0},"citationItems":[{"id":15763,"uris":["http://zotero.org/users/148142/items/BR87QUJ3"],"uri":["http://zotero.org/users/148142/items/BR87QUJ3"],"itemData":{"id":15763,"type":"report","event-place":"Washington, DC, United States","number":"Office of Water 823-R-18-001","publisher":"US Environmental Protection Agency, Office of Water, Office of Science and Technology","publisher-place":"Washington, DC, United States","title":"2017 Five-Year Review of the 2012 Recreational Water Quality Criteria","URL":"https://www.epa.gov/sites/production/files/2018-05/documents/2017-5year-review-rwqc.pdf","author":[{"literal":"US EPA"}],"issued":{"date-parts":[["2017"]]}}}],"schema":"https://github.com/citation-style-language/schema/raw/master/csl-citation.json"} </w:instrText>
            </w:r>
            <w:r w:rsidRPr="00397A3E">
              <w:rPr>
                <w:bCs/>
                <w:noProof w:val="0"/>
                <w:color w:val="000000"/>
                <w:szCs w:val="16"/>
                <w:lang w:val="en-AU"/>
              </w:rPr>
              <w:fldChar w:fldCharType="separate"/>
            </w:r>
            <w:r w:rsidRPr="00397A3E">
              <w:rPr>
                <w:rFonts w:cs="Calibri"/>
                <w:noProof w:val="0"/>
                <w:lang w:val="en-AU"/>
              </w:rPr>
              <w:t>US EPA (2017)</w:t>
            </w:r>
            <w:r w:rsidRPr="00397A3E">
              <w:rPr>
                <w:bCs/>
                <w:noProof w:val="0"/>
                <w:color w:val="000000"/>
                <w:szCs w:val="16"/>
                <w:lang w:val="en-AU"/>
              </w:rPr>
              <w:fldChar w:fldCharType="end"/>
            </w:r>
            <w:bookmarkEnd w:id="366"/>
          </w:p>
        </w:tc>
        <w:tc>
          <w:tcPr>
            <w:tcW w:w="6509" w:type="dxa"/>
            <w:tcMar>
              <w:top w:w="80" w:type="dxa"/>
              <w:left w:w="80" w:type="dxa"/>
              <w:bottom w:w="80" w:type="dxa"/>
              <w:right w:w="80" w:type="dxa"/>
            </w:tcMar>
            <w:hideMark/>
          </w:tcPr>
          <w:p w14:paraId="30937F32" w14:textId="77777777" w:rsidR="007F5461" w:rsidRPr="00397A3E" w:rsidRDefault="00171C91" w:rsidP="007F5461">
            <w:pPr>
              <w:pStyle w:val="TableText"/>
              <w:rPr>
                <w:noProof w:val="0"/>
                <w:lang w:val="en-AU"/>
              </w:rPr>
            </w:pPr>
            <w:r w:rsidRPr="00397A3E">
              <w:rPr>
                <w:noProof w:val="0"/>
                <w:lang w:val="en-AU"/>
              </w:rPr>
              <w:t xml:space="preserve">The US EPA "2017 Five-Year Review of the 2012 Recreational Water Quality Criteria" is a 5-year review of its 2012 Recreational Water Quality Criteria (RWQC), as required by amendments to the 1972 US Clean Water Act.  </w:t>
            </w:r>
          </w:p>
          <w:p w14:paraId="25837D67" w14:textId="77777777" w:rsidR="007F5461" w:rsidRPr="00397A3E" w:rsidRDefault="00171C91" w:rsidP="007F5461">
            <w:pPr>
              <w:pStyle w:val="TableText"/>
              <w:rPr>
                <w:noProof w:val="0"/>
                <w:lang w:val="en-AU"/>
              </w:rPr>
            </w:pPr>
            <w:r w:rsidRPr="00397A3E">
              <w:rPr>
                <w:noProof w:val="0"/>
                <w:lang w:val="en-AU"/>
              </w:rPr>
              <w:t>With respect to the primary research question, key findings were:</w:t>
            </w:r>
          </w:p>
          <w:p w14:paraId="406EA2E6" w14:textId="77777777" w:rsidR="007F5461" w:rsidRPr="00397A3E" w:rsidRDefault="00171C91" w:rsidP="00764500">
            <w:pPr>
              <w:pStyle w:val="TableText"/>
              <w:numPr>
                <w:ilvl w:val="0"/>
                <w:numId w:val="42"/>
              </w:numPr>
              <w:rPr>
                <w:noProof w:val="0"/>
                <w:lang w:val="en-AU"/>
              </w:rPr>
            </w:pPr>
            <w:r w:rsidRPr="00397A3E">
              <w:rPr>
                <w:noProof w:val="0"/>
                <w:lang w:val="en-AU"/>
              </w:rPr>
              <w:t xml:space="preserve">Health Studies: A growing body of evidence suggests that children can be disproportionately susceptible to health effects resulting from exposure to pathogens in recreational waters. There are opportunities for further resolution of epidemiological relationships, especially around children’s health protection and wider application of </w:t>
            </w:r>
            <w:r w:rsidRPr="00397A3E">
              <w:rPr>
                <w:i/>
                <w:iCs/>
                <w:noProof w:val="0"/>
                <w:lang w:val="en-AU"/>
              </w:rPr>
              <w:t>Enterococcus</w:t>
            </w:r>
            <w:r w:rsidRPr="00397A3E">
              <w:rPr>
                <w:noProof w:val="0"/>
                <w:lang w:val="en-AU"/>
              </w:rPr>
              <w:t xml:space="preserve"> spp. qPCR techniques for monitoring.</w:t>
            </w:r>
          </w:p>
          <w:p w14:paraId="6F6C1A28" w14:textId="77777777" w:rsidR="007F5461" w:rsidRPr="00397A3E" w:rsidRDefault="00171C91" w:rsidP="00764500">
            <w:pPr>
              <w:pStyle w:val="TableText"/>
              <w:numPr>
                <w:ilvl w:val="0"/>
                <w:numId w:val="42"/>
              </w:numPr>
              <w:rPr>
                <w:noProof w:val="0"/>
                <w:lang w:val="en-AU"/>
              </w:rPr>
            </w:pPr>
            <w:bookmarkStart w:id="367" w:name="_Hlk94025301"/>
            <w:r w:rsidRPr="00397A3E">
              <w:rPr>
                <w:noProof w:val="0"/>
                <w:lang w:val="en-AU"/>
              </w:rPr>
              <w:t>Antimicrobial Resistance. Although of increasing interest, US EPA suggests more research is needed to better understand the role the environment plays in transferring antimicrobial resistant bacteria (AMRB) to primary contact recreators</w:t>
            </w:r>
            <w:bookmarkEnd w:id="367"/>
            <w:r w:rsidRPr="00397A3E">
              <w:rPr>
                <w:noProof w:val="0"/>
                <w:lang w:val="en-AU"/>
              </w:rPr>
              <w:t>.</w:t>
            </w:r>
          </w:p>
        </w:tc>
      </w:tr>
      <w:tr w:rsidR="00785848" w14:paraId="559F8DF2" w14:textId="77777777" w:rsidTr="007F5461">
        <w:tc>
          <w:tcPr>
            <w:tcW w:w="1124" w:type="dxa"/>
            <w:shd w:val="clear" w:color="auto" w:fill="D6EAEB"/>
            <w:tcMar>
              <w:top w:w="80" w:type="dxa"/>
              <w:left w:w="80" w:type="dxa"/>
              <w:bottom w:w="80" w:type="dxa"/>
              <w:right w:w="80" w:type="dxa"/>
            </w:tcMar>
            <w:vAlign w:val="center"/>
            <w:hideMark/>
          </w:tcPr>
          <w:p w14:paraId="73E40D52" w14:textId="0B424A36" w:rsidR="007F5461" w:rsidRPr="00397A3E" w:rsidRDefault="00171C91" w:rsidP="007F5461">
            <w:pPr>
              <w:pStyle w:val="TableText"/>
              <w:rPr>
                <w:noProof w:val="0"/>
                <w:lang w:val="en-AU"/>
              </w:rPr>
            </w:pPr>
            <w:r w:rsidRPr="00397A3E">
              <w:rPr>
                <w:rFonts w:cs="Calibri"/>
                <w:noProof w:val="0"/>
                <w:color w:val="000000"/>
                <w:szCs w:val="16"/>
                <w:lang w:val="en-AU"/>
              </w:rPr>
              <w:t xml:space="preserve">G16: </w:t>
            </w:r>
            <w:r w:rsidRPr="00397A3E">
              <w:rPr>
                <w:bCs/>
                <w:noProof w:val="0"/>
                <w:color w:val="000000"/>
                <w:szCs w:val="16"/>
                <w:lang w:val="en-AU"/>
              </w:rPr>
              <w:fldChar w:fldCharType="begin"/>
            </w:r>
            <w:r w:rsidRPr="00397A3E">
              <w:rPr>
                <w:bCs/>
                <w:noProof w:val="0"/>
                <w:color w:val="000000"/>
                <w:szCs w:val="16"/>
                <w:lang w:val="en-AU"/>
              </w:rPr>
              <w:instrText xml:space="preserve"> ADDIN ZOTERO_ITEM CSL_CITATION {"citationID":"76NchpAV","properties":{"custom":"WHO (2018b)","formattedCitation":"WHO (2018b)","plainCitation":"WHO (2018b)","noteIndex":0},"citationItems":[{"id":16342,"uris":["http://zotero.org/users/148142/items/FAQ5QAH6"],"uri":["http://zotero.org/users/148142/items/FAQ5QAH6"],"itemData":{"id":16342,"type":"report","publisher":"World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schema":"https://github.com/citation-style-language/schema/raw/master/csl-citation.json"} </w:instrText>
            </w:r>
            <w:r w:rsidRPr="00397A3E">
              <w:rPr>
                <w:bCs/>
                <w:noProof w:val="0"/>
                <w:color w:val="000000"/>
                <w:szCs w:val="16"/>
                <w:lang w:val="en-AU"/>
              </w:rPr>
              <w:fldChar w:fldCharType="separate"/>
            </w:r>
            <w:r w:rsidRPr="00397A3E">
              <w:rPr>
                <w:rFonts w:cs="Calibri"/>
                <w:noProof w:val="0"/>
                <w:lang w:val="en-AU"/>
              </w:rPr>
              <w:t>WHO (2018)</w:t>
            </w:r>
            <w:r w:rsidRPr="00397A3E">
              <w:rPr>
                <w:bCs/>
                <w:noProof w:val="0"/>
                <w:color w:val="000000"/>
                <w:szCs w:val="16"/>
                <w:lang w:val="en-AU"/>
              </w:rPr>
              <w:fldChar w:fldCharType="end"/>
            </w:r>
          </w:p>
        </w:tc>
        <w:tc>
          <w:tcPr>
            <w:tcW w:w="6509" w:type="dxa"/>
            <w:tcMar>
              <w:top w:w="80" w:type="dxa"/>
              <w:left w:w="80" w:type="dxa"/>
              <w:bottom w:w="80" w:type="dxa"/>
              <w:right w:w="80" w:type="dxa"/>
            </w:tcMar>
            <w:hideMark/>
          </w:tcPr>
          <w:p w14:paraId="0EDFEDF1" w14:textId="77777777" w:rsidR="007F5461" w:rsidRPr="00397A3E" w:rsidRDefault="00171C91" w:rsidP="007F5461">
            <w:pPr>
              <w:pStyle w:val="TableText"/>
              <w:rPr>
                <w:noProof w:val="0"/>
                <w:lang w:val="en-AU"/>
              </w:rPr>
            </w:pPr>
            <w:r w:rsidRPr="00397A3E">
              <w:rPr>
                <w:noProof w:val="0"/>
                <w:lang w:val="en-AU"/>
              </w:rPr>
              <w:t>With respect to the primary research question, the WHO 2018 bathing water review recommendations were:</w:t>
            </w:r>
          </w:p>
          <w:p w14:paraId="3FB7E070" w14:textId="77777777" w:rsidR="007F5461" w:rsidRPr="00397A3E" w:rsidRDefault="00171C91" w:rsidP="007F5461">
            <w:pPr>
              <w:pStyle w:val="TableText"/>
              <w:rPr>
                <w:b/>
                <w:bCs/>
                <w:noProof w:val="0"/>
                <w:lang w:val="en-AU"/>
              </w:rPr>
            </w:pPr>
            <w:r w:rsidRPr="00397A3E">
              <w:rPr>
                <w:b/>
                <w:bCs/>
                <w:noProof w:val="0"/>
                <w:lang w:val="en-AU"/>
              </w:rPr>
              <w:t>Monitoring</w:t>
            </w:r>
          </w:p>
          <w:p w14:paraId="0C29F0C6" w14:textId="77777777" w:rsidR="007F5461" w:rsidRPr="00397A3E" w:rsidRDefault="00171C91" w:rsidP="00764500">
            <w:pPr>
              <w:pStyle w:val="TableText"/>
              <w:numPr>
                <w:ilvl w:val="0"/>
                <w:numId w:val="43"/>
              </w:numPr>
              <w:rPr>
                <w:noProof w:val="0"/>
                <w:lang w:val="en-AU"/>
              </w:rPr>
            </w:pPr>
            <w:r w:rsidRPr="00397A3E">
              <w:rPr>
                <w:noProof w:val="0"/>
                <w:lang w:val="en-AU"/>
              </w:rPr>
              <w:t xml:space="preserve">Intestinal enterococci and </w:t>
            </w:r>
            <w:r w:rsidRPr="00397A3E">
              <w:rPr>
                <w:i/>
                <w:iCs/>
                <w:noProof w:val="0"/>
                <w:lang w:val="en-AU"/>
              </w:rPr>
              <w:t xml:space="preserve">E. coli </w:t>
            </w:r>
            <w:r w:rsidRPr="00397A3E">
              <w:rPr>
                <w:noProof w:val="0"/>
                <w:lang w:val="en-AU"/>
              </w:rPr>
              <w:t>should be retained.</w:t>
            </w:r>
          </w:p>
          <w:p w14:paraId="4006855E" w14:textId="77777777" w:rsidR="007F5461" w:rsidRPr="00397A3E" w:rsidRDefault="00171C91" w:rsidP="00764500">
            <w:pPr>
              <w:pStyle w:val="TableText"/>
              <w:numPr>
                <w:ilvl w:val="0"/>
                <w:numId w:val="43"/>
              </w:numPr>
              <w:rPr>
                <w:noProof w:val="0"/>
                <w:lang w:val="en-AU"/>
              </w:rPr>
            </w:pPr>
            <w:r w:rsidRPr="00397A3E">
              <w:rPr>
                <w:noProof w:val="0"/>
                <w:lang w:val="en-AU"/>
              </w:rPr>
              <w:t>The four levels within the current classification system (excellent, good, sufficient, and poor) should be retained.</w:t>
            </w:r>
          </w:p>
          <w:p w14:paraId="55372BC8" w14:textId="77777777" w:rsidR="007F5461" w:rsidRPr="00397A3E" w:rsidRDefault="00171C91" w:rsidP="00764500">
            <w:pPr>
              <w:pStyle w:val="TableText"/>
              <w:numPr>
                <w:ilvl w:val="0"/>
                <w:numId w:val="43"/>
              </w:numPr>
              <w:rPr>
                <w:noProof w:val="0"/>
                <w:lang w:val="en-AU"/>
              </w:rPr>
            </w:pPr>
            <w:r w:rsidRPr="00397A3E">
              <w:rPr>
                <w:noProof w:val="0"/>
                <w:lang w:val="en-AU"/>
              </w:rPr>
              <w:t>The classification system for each category should be based on a 95th percentile value and not a mixture of 95th and 90th percentile water quality standards.</w:t>
            </w:r>
          </w:p>
          <w:p w14:paraId="4097802E" w14:textId="77777777" w:rsidR="007F5461" w:rsidRPr="00397A3E" w:rsidRDefault="00171C91" w:rsidP="00764500">
            <w:pPr>
              <w:pStyle w:val="TableText"/>
              <w:numPr>
                <w:ilvl w:val="0"/>
                <w:numId w:val="43"/>
              </w:numPr>
              <w:rPr>
                <w:noProof w:val="0"/>
                <w:lang w:val="en-AU"/>
              </w:rPr>
            </w:pPr>
            <w:r w:rsidRPr="00397A3E">
              <w:rPr>
                <w:noProof w:val="0"/>
                <w:lang w:val="en-AU"/>
              </w:rPr>
              <w:t>The annual minimum number of samples for an EU bathing water site should be increased to 20.</w:t>
            </w:r>
          </w:p>
          <w:p w14:paraId="0F1D4D77" w14:textId="77777777" w:rsidR="007F5461" w:rsidRPr="00397A3E" w:rsidRDefault="00171C91" w:rsidP="00764500">
            <w:pPr>
              <w:pStyle w:val="TableText"/>
              <w:numPr>
                <w:ilvl w:val="0"/>
                <w:numId w:val="43"/>
              </w:numPr>
              <w:rPr>
                <w:noProof w:val="0"/>
                <w:lang w:val="en-AU"/>
              </w:rPr>
            </w:pPr>
            <w:r w:rsidRPr="00397A3E">
              <w:rPr>
                <w:noProof w:val="0"/>
                <w:lang w:val="en-AU"/>
              </w:rPr>
              <w:t>Data from bathing water sites (with at least 80 samples) should be tested for log10 normality. Where the data are shown to be log10 normally distributed, the calculation method in Annex II of the 2006 Bathing Water Directive should be used. Where the data do not exhibit log10 normality the Hazen calculation should be used. Where there are inadequate data available, it is suggested that the Hazen calculation is used.</w:t>
            </w:r>
          </w:p>
          <w:p w14:paraId="72317F28" w14:textId="77777777" w:rsidR="007F5461" w:rsidRPr="00397A3E" w:rsidRDefault="00171C91" w:rsidP="00764500">
            <w:pPr>
              <w:pStyle w:val="TableText"/>
              <w:numPr>
                <w:ilvl w:val="0"/>
                <w:numId w:val="43"/>
              </w:numPr>
              <w:rPr>
                <w:noProof w:val="0"/>
                <w:lang w:val="en-AU"/>
              </w:rPr>
            </w:pPr>
            <w:r w:rsidRPr="00397A3E">
              <w:rPr>
                <w:noProof w:val="0"/>
                <w:lang w:val="en-AU"/>
              </w:rPr>
              <w:t xml:space="preserve">The ISO method (9308-1) for </w:t>
            </w:r>
            <w:r w:rsidRPr="00397A3E">
              <w:rPr>
                <w:i/>
                <w:iCs/>
                <w:noProof w:val="0"/>
                <w:lang w:val="en-AU"/>
              </w:rPr>
              <w:t>E. coli</w:t>
            </w:r>
            <w:r w:rsidRPr="00397A3E">
              <w:rPr>
                <w:noProof w:val="0"/>
                <w:lang w:val="en-AU"/>
              </w:rPr>
              <w:t xml:space="preserve"> analysis is no longer appropriate for the measurement of bathing water quality.  Sampling and sample analysis should be conducted by laboratories accredited for the methods being used.</w:t>
            </w:r>
          </w:p>
          <w:p w14:paraId="6FE812D2" w14:textId="77777777" w:rsidR="007F5461" w:rsidRPr="00397A3E" w:rsidRDefault="00171C91" w:rsidP="007F5461">
            <w:pPr>
              <w:pStyle w:val="TableText"/>
              <w:rPr>
                <w:b/>
                <w:bCs/>
                <w:noProof w:val="0"/>
                <w:lang w:val="en-AU"/>
              </w:rPr>
            </w:pPr>
            <w:r w:rsidRPr="00397A3E">
              <w:rPr>
                <w:b/>
                <w:bCs/>
                <w:noProof w:val="0"/>
                <w:lang w:val="en-AU"/>
              </w:rPr>
              <w:t>Good practice</w:t>
            </w:r>
          </w:p>
          <w:p w14:paraId="3526F4B5" w14:textId="77777777" w:rsidR="007F5461" w:rsidRPr="00397A3E" w:rsidRDefault="00171C91" w:rsidP="00764500">
            <w:pPr>
              <w:pStyle w:val="TableText"/>
              <w:numPr>
                <w:ilvl w:val="0"/>
                <w:numId w:val="43"/>
              </w:numPr>
              <w:rPr>
                <w:noProof w:val="0"/>
                <w:lang w:val="en-AU"/>
              </w:rPr>
            </w:pPr>
            <w:r w:rsidRPr="00397A3E">
              <w:rPr>
                <w:noProof w:val="0"/>
                <w:lang w:val="en-AU"/>
              </w:rPr>
              <w:t>Bathing water quality should be representative of the whole bathing area. This should be confirmed by occasional spatial/beach shoreline transect sampling.</w:t>
            </w:r>
          </w:p>
          <w:p w14:paraId="32868551" w14:textId="77777777" w:rsidR="007F5461" w:rsidRPr="00397A3E" w:rsidRDefault="00171C91" w:rsidP="00764500">
            <w:pPr>
              <w:pStyle w:val="TableText"/>
              <w:numPr>
                <w:ilvl w:val="0"/>
                <w:numId w:val="43"/>
              </w:numPr>
              <w:rPr>
                <w:noProof w:val="0"/>
                <w:lang w:val="en-AU"/>
              </w:rPr>
            </w:pPr>
            <w:r w:rsidRPr="00397A3E">
              <w:rPr>
                <w:noProof w:val="0"/>
                <w:lang w:val="en-AU"/>
              </w:rPr>
              <w:t>Temporal variability in water quality should be addressed by sampling at different times to characterise the bathing day in the overall compliance data set, or by taking a precautionary approach and sampling when water quality is generally poorest.</w:t>
            </w:r>
          </w:p>
          <w:p w14:paraId="6DB54BCA" w14:textId="77777777" w:rsidR="007F5461" w:rsidRPr="00397A3E" w:rsidRDefault="00171C91" w:rsidP="00764500">
            <w:pPr>
              <w:pStyle w:val="TableText"/>
              <w:numPr>
                <w:ilvl w:val="0"/>
                <w:numId w:val="43"/>
              </w:numPr>
              <w:rPr>
                <w:noProof w:val="0"/>
                <w:lang w:val="en-AU"/>
              </w:rPr>
            </w:pPr>
            <w:r w:rsidRPr="00397A3E">
              <w:rPr>
                <w:noProof w:val="0"/>
                <w:lang w:val="en-AU"/>
              </w:rPr>
              <w:t>Where predictive modelling is used to inform the public, the choice of model and methods of public information dissemination should be reported. The models should meet minimum requirements (including an explained variance of at least 50-60%) and the approach taken should be justifiable and auditable.</w:t>
            </w:r>
          </w:p>
          <w:p w14:paraId="5F297CA4" w14:textId="1E987A6D" w:rsidR="007F5461" w:rsidRPr="00397A3E" w:rsidRDefault="00171C91" w:rsidP="00764500">
            <w:pPr>
              <w:pStyle w:val="TableText"/>
              <w:numPr>
                <w:ilvl w:val="0"/>
                <w:numId w:val="43"/>
              </w:numPr>
              <w:rPr>
                <w:noProof w:val="0"/>
                <w:lang w:val="en-AU"/>
              </w:rPr>
            </w:pPr>
            <w:bookmarkStart w:id="368" w:name="_Hlk94085334"/>
            <w:r w:rsidRPr="00397A3E">
              <w:rPr>
                <w:noProof w:val="0"/>
                <w:lang w:val="en-AU"/>
              </w:rPr>
              <w:t xml:space="preserve">In a number of cases (such as </w:t>
            </w:r>
            <w:r w:rsidR="009F06F3" w:rsidRPr="00397A3E">
              <w:rPr>
                <w:noProof w:val="0"/>
                <w:lang w:val="en-AU"/>
              </w:rPr>
              <w:t xml:space="preserve">MST </w:t>
            </w:r>
            <w:r w:rsidRPr="00397A3E">
              <w:rPr>
                <w:noProof w:val="0"/>
                <w:lang w:val="en-AU"/>
              </w:rPr>
              <w:t>techniques and QMRA for use in bathing water profiling) it would be valuable to commission a detailed state of the art review, to provide standardised information and advice on their practical application to Member States.</w:t>
            </w:r>
            <w:bookmarkEnd w:id="368"/>
          </w:p>
        </w:tc>
      </w:tr>
    </w:tbl>
    <w:p w14:paraId="2EE5731D" w14:textId="6CD11B06" w:rsidR="00F4542E" w:rsidRPr="00397A3E" w:rsidRDefault="00F4542E" w:rsidP="00712E06">
      <w:pPr>
        <w:rPr>
          <w:noProof w:val="0"/>
        </w:rPr>
      </w:pPr>
    </w:p>
    <w:p w14:paraId="3554DFC3" w14:textId="213953FE" w:rsidR="00091741" w:rsidRPr="00397A3E" w:rsidRDefault="00171C91" w:rsidP="006156CC">
      <w:pPr>
        <w:pStyle w:val="Heading3"/>
        <w:rPr>
          <w:noProof w:val="0"/>
          <w:color w:val="auto"/>
        </w:rPr>
      </w:pPr>
      <w:bookmarkStart w:id="369" w:name="_Ref72421876"/>
      <w:bookmarkStart w:id="370" w:name="_Toc106964839"/>
      <w:r w:rsidRPr="00397A3E">
        <w:rPr>
          <w:noProof w:val="0"/>
          <w:color w:val="auto"/>
        </w:rPr>
        <w:t xml:space="preserve">Secondary </w:t>
      </w:r>
      <w:r w:rsidR="006156CC" w:rsidRPr="00397A3E">
        <w:rPr>
          <w:noProof w:val="0"/>
          <w:color w:val="auto"/>
        </w:rPr>
        <w:t>r</w:t>
      </w:r>
      <w:r w:rsidRPr="00397A3E">
        <w:rPr>
          <w:noProof w:val="0"/>
          <w:color w:val="auto"/>
        </w:rPr>
        <w:t>esearch question</w:t>
      </w:r>
      <w:bookmarkEnd w:id="369"/>
      <w:r w:rsidR="00E652B2" w:rsidRPr="00397A3E">
        <w:rPr>
          <w:noProof w:val="0"/>
          <w:color w:val="auto"/>
        </w:rPr>
        <w:t xml:space="preserve"> (1)</w:t>
      </w:r>
      <w:bookmarkEnd w:id="370"/>
    </w:p>
    <w:p w14:paraId="2059B135" w14:textId="01B06D25" w:rsidR="00500224" w:rsidRPr="00397A3E" w:rsidRDefault="00171C91" w:rsidP="008341EF">
      <w:pPr>
        <w:spacing w:after="0" w:line="276" w:lineRule="auto"/>
        <w:ind w:left="360"/>
        <w:textAlignment w:val="center"/>
        <w:rPr>
          <w:rFonts w:cs="Arial"/>
          <w:i/>
          <w:iCs/>
          <w:noProof w:val="0"/>
          <w:szCs w:val="20"/>
        </w:rPr>
      </w:pPr>
      <w:r w:rsidRPr="00397A3E">
        <w:rPr>
          <w:rFonts w:cs="Arial"/>
          <w:i/>
          <w:iCs/>
          <w:noProof w:val="0"/>
          <w:szCs w:val="20"/>
        </w:rPr>
        <w:t>1.</w:t>
      </w:r>
      <w:r w:rsidR="00A60C14" w:rsidRPr="00397A3E">
        <w:rPr>
          <w:noProof w:val="0"/>
        </w:rPr>
        <w:t xml:space="preserve"> </w:t>
      </w:r>
      <w:r w:rsidR="00A60C14" w:rsidRPr="00397A3E">
        <w:rPr>
          <w:rFonts w:cs="Arial"/>
          <w:i/>
          <w:iCs/>
          <w:noProof w:val="0"/>
          <w:szCs w:val="20"/>
        </w:rPr>
        <w:t>What are the indicators/surrogates of this/these risk/s</w:t>
      </w:r>
      <w:r w:rsidR="004923A6" w:rsidRPr="00397A3E">
        <w:rPr>
          <w:rFonts w:cs="Arial"/>
          <w:i/>
          <w:iCs/>
          <w:noProof w:val="0"/>
          <w:szCs w:val="20"/>
        </w:rPr>
        <w:t xml:space="preserve"> (of microbial contamination from diffuse and point sources in recreational waters)</w:t>
      </w:r>
      <w:r w:rsidR="00A60C14" w:rsidRPr="00397A3E">
        <w:rPr>
          <w:rFonts w:cs="Arial"/>
          <w:i/>
          <w:iCs/>
          <w:noProof w:val="0"/>
          <w:szCs w:val="20"/>
        </w:rPr>
        <w:t>?</w:t>
      </w:r>
    </w:p>
    <w:p w14:paraId="25B3D24D" w14:textId="797A6C1A" w:rsidR="00701D6C" w:rsidRPr="00397A3E" w:rsidRDefault="00701D6C" w:rsidP="004F5B31">
      <w:pPr>
        <w:rPr>
          <w:noProof w:val="0"/>
        </w:rPr>
      </w:pPr>
    </w:p>
    <w:p w14:paraId="4BED14E1" w14:textId="66041F93" w:rsidR="00762511" w:rsidRPr="00397A3E" w:rsidRDefault="00171C91" w:rsidP="00762511">
      <w:pPr>
        <w:rPr>
          <w:b/>
          <w:bCs/>
          <w:noProof w:val="0"/>
        </w:rPr>
      </w:pPr>
      <w:r w:rsidRPr="00397A3E">
        <w:rPr>
          <w:b/>
          <w:bCs/>
          <w:noProof w:val="0"/>
        </w:rPr>
        <w:t xml:space="preserve">G3: </w:t>
      </w:r>
      <w:r w:rsidRPr="00397A3E">
        <w:rPr>
          <w:b/>
          <w:bCs/>
          <w:noProof w:val="0"/>
        </w:rPr>
        <w:fldChar w:fldCharType="begin"/>
      </w:r>
      <w:r w:rsidR="00F84CE9" w:rsidRPr="00397A3E">
        <w:rPr>
          <w:b/>
          <w:bCs/>
          <w:noProof w:val="0"/>
        </w:rPr>
        <w:instrText xml:space="preserve"> ADDIN ZOTERO_ITEM CSL_CITATION {"citationID":"M1pC2rfj","properties":{"custom":"EPA Victoria (2021)","formattedCitation":"EPA Victoria (2021)","plainCitation":"EPA Victoria (2021)","noteIndex":0},"citationItems":[{"id":17578,"uris":["http://zotero.org/users/148142/items/HPITMMGC"],"uri":["http://zotero.org/users/148142/items/HPITMMGC"],"itemData":{"id":17578,"type":"report","publisher":"Environment Protection Authority, Victoria","title":"Quantitative Microbial Risk Assessment (QMRA) for assessing risks to recreational users in Port Phillip Bay. EPA Publication 2007, June 2021","author":[{"literal":"EPA Victoria"}],"issued":{"date-parts":[["2021"]]}}}],"schema":"https://github.com/citation-style-language/schema/raw/master/csl-citation.json"} </w:instrText>
      </w:r>
      <w:r w:rsidRPr="00397A3E">
        <w:rPr>
          <w:b/>
          <w:bCs/>
          <w:noProof w:val="0"/>
        </w:rPr>
        <w:fldChar w:fldCharType="separate"/>
      </w:r>
      <w:r w:rsidRPr="00397A3E">
        <w:rPr>
          <w:b/>
          <w:bCs/>
          <w:noProof w:val="0"/>
        </w:rPr>
        <w:t>EPA Victoria (2021)</w:t>
      </w:r>
      <w:r w:rsidRPr="00397A3E">
        <w:rPr>
          <w:b/>
          <w:bCs/>
          <w:noProof w:val="0"/>
        </w:rPr>
        <w:fldChar w:fldCharType="end"/>
      </w:r>
      <w:r w:rsidRPr="00397A3E">
        <w:rPr>
          <w:b/>
          <w:bCs/>
          <w:noProof w:val="0"/>
        </w:rPr>
        <w:t xml:space="preserve">. </w:t>
      </w:r>
      <w:r w:rsidRPr="00397A3E">
        <w:rPr>
          <w:b/>
          <w:bCs/>
          <w:i/>
          <w:iCs/>
          <w:noProof w:val="0"/>
        </w:rPr>
        <w:t>Quantitative Microbial Risk Assessment (QMRA) for assessing risks to recreational users in Port Phillip Bay</w:t>
      </w:r>
    </w:p>
    <w:p w14:paraId="1F6F12C0" w14:textId="2C86026E" w:rsidR="004F5B31" w:rsidRPr="00397A3E" w:rsidRDefault="00171C91" w:rsidP="00934660">
      <w:pPr>
        <w:rPr>
          <w:noProof w:val="0"/>
        </w:rPr>
      </w:pPr>
      <w:r w:rsidRPr="00397A3E">
        <w:rPr>
          <w:noProof w:val="0"/>
        </w:rPr>
        <w:t>EPA Victoria (2021) used m</w:t>
      </w:r>
      <w:r w:rsidR="00DD6172" w:rsidRPr="00397A3E">
        <w:rPr>
          <w:noProof w:val="0"/>
        </w:rPr>
        <w:t>icrobial source tracking</w:t>
      </w:r>
      <w:r w:rsidRPr="00397A3E">
        <w:rPr>
          <w:noProof w:val="0"/>
        </w:rPr>
        <w:t xml:space="preserve"> (MST) techniques to </w:t>
      </w:r>
      <w:r w:rsidR="007343DB" w:rsidRPr="00397A3E">
        <w:rPr>
          <w:noProof w:val="0"/>
        </w:rPr>
        <w:t xml:space="preserve">identify sources of microbial contamination and assess risks to recreational waters.  The authors </w:t>
      </w:r>
      <w:r w:rsidR="00AE679E" w:rsidRPr="00397A3E">
        <w:rPr>
          <w:noProof w:val="0"/>
        </w:rPr>
        <w:t>state (p.29)</w:t>
      </w:r>
      <w:r w:rsidR="007343DB" w:rsidRPr="00397A3E">
        <w:rPr>
          <w:noProof w:val="0"/>
        </w:rPr>
        <w:t xml:space="preserve"> that o</w:t>
      </w:r>
      <w:r w:rsidR="00DD6172" w:rsidRPr="00397A3E">
        <w:rPr>
          <w:noProof w:val="0"/>
        </w:rPr>
        <w:t>n average, sewage and dog faeces were the highest contributors to faecal pollution at the beaches</w:t>
      </w:r>
      <w:r w:rsidR="00AE679E" w:rsidRPr="00397A3E">
        <w:rPr>
          <w:noProof w:val="0"/>
        </w:rPr>
        <w:t xml:space="preserve">, although elsewhere (p.35) it is stated that the </w:t>
      </w:r>
      <w:r w:rsidR="00934660" w:rsidRPr="00397A3E">
        <w:rPr>
          <w:noProof w:val="0"/>
        </w:rPr>
        <w:t>main contributions to faecal contamination were of avian and canine origins (which carry comparatively lower risks to human health)</w:t>
      </w:r>
      <w:r w:rsidR="00DD6172" w:rsidRPr="00397A3E">
        <w:rPr>
          <w:noProof w:val="0"/>
        </w:rPr>
        <w:t>.</w:t>
      </w:r>
      <w:r w:rsidR="00291213" w:rsidRPr="00397A3E">
        <w:rPr>
          <w:noProof w:val="0"/>
        </w:rPr>
        <w:t xml:space="preserve"> </w:t>
      </w:r>
      <w:r w:rsidR="00852BE1" w:rsidRPr="00397A3E">
        <w:rPr>
          <w:noProof w:val="0"/>
        </w:rPr>
        <w:t>Data in Table 6 on p.29 suggests that human sewage, canine and avian sources are all significant although contributions vary with site.</w:t>
      </w:r>
      <w:r w:rsidR="00291213" w:rsidRPr="00397A3E">
        <w:rPr>
          <w:noProof w:val="0"/>
        </w:rPr>
        <w:t xml:space="preserve"> </w:t>
      </w:r>
      <w:r w:rsidR="00934660" w:rsidRPr="00397A3E">
        <w:rPr>
          <w:noProof w:val="0"/>
        </w:rPr>
        <w:t xml:space="preserve">On average, 13% of the total faecal contamination originated from a human source, which is believed to drive the risk at each of the three beaches studied.  </w:t>
      </w:r>
      <w:r w:rsidR="00DD6172" w:rsidRPr="00397A3E">
        <w:rPr>
          <w:noProof w:val="0"/>
        </w:rPr>
        <w:t>The total proportion of human sewage in samples ranged from less-than-detection to 0.29%, with an average of 0.03% across all sites.</w:t>
      </w:r>
    </w:p>
    <w:p w14:paraId="22DBD403" w14:textId="2E9A4BA3" w:rsidR="004F5B31" w:rsidRPr="00397A3E" w:rsidRDefault="00171C91" w:rsidP="00701D6C">
      <w:pPr>
        <w:rPr>
          <w:noProof w:val="0"/>
        </w:rPr>
      </w:pPr>
      <w:r w:rsidRPr="00397A3E">
        <w:rPr>
          <w:noProof w:val="0"/>
        </w:rPr>
        <w:t>The study used the qPCR marker Bacteroides HF183/BacR287 as an indicator of human sewage and found that th</w:t>
      </w:r>
      <w:r w:rsidR="00DD6172" w:rsidRPr="00397A3E">
        <w:rPr>
          <w:noProof w:val="0"/>
        </w:rPr>
        <w:t xml:space="preserve">ere was a statistically significant correlation between the concentrations of the </w:t>
      </w:r>
      <w:bookmarkStart w:id="371" w:name="_Hlk92883099"/>
      <w:r w:rsidR="007E4214" w:rsidRPr="00397A3E">
        <w:rPr>
          <w:noProof w:val="0"/>
        </w:rPr>
        <w:t xml:space="preserve">qPCR marker </w:t>
      </w:r>
      <w:bookmarkEnd w:id="371"/>
      <w:r w:rsidR="00DD6172" w:rsidRPr="00397A3E">
        <w:rPr>
          <w:noProof w:val="0"/>
        </w:rPr>
        <w:t>and the proportion of the microbial communities in the beach samples that were like human sewage (p=0.008).</w:t>
      </w:r>
      <w:r w:rsidRPr="00397A3E">
        <w:rPr>
          <w:noProof w:val="0"/>
        </w:rPr>
        <w:t xml:space="preserve">  Similarly there was a significant correlation between enterococci concentrations and the proportion of the microbial community within the beach samples that were like human sewage communities (p=0.004).  </w:t>
      </w:r>
      <w:r w:rsidR="00DD6172" w:rsidRPr="00397A3E">
        <w:rPr>
          <w:noProof w:val="0"/>
        </w:rPr>
        <w:t xml:space="preserve">There was </w:t>
      </w:r>
      <w:r w:rsidRPr="00397A3E">
        <w:rPr>
          <w:noProof w:val="0"/>
        </w:rPr>
        <w:t xml:space="preserve">also </w:t>
      </w:r>
      <w:r w:rsidR="00DD6172" w:rsidRPr="00397A3E">
        <w:rPr>
          <w:noProof w:val="0"/>
        </w:rPr>
        <w:t>a statistically significant relationship between enterococci concentrations and the total proportion of faecal microbial communities (p&lt;0.001), perhaps confirming that enterococci provid</w:t>
      </w:r>
      <w:r w:rsidR="007E4214" w:rsidRPr="00397A3E">
        <w:rPr>
          <w:noProof w:val="0"/>
        </w:rPr>
        <w:t>e</w:t>
      </w:r>
      <w:r w:rsidR="00DD6172" w:rsidRPr="00397A3E">
        <w:rPr>
          <w:noProof w:val="0"/>
        </w:rPr>
        <w:t xml:space="preserve"> an estimate of the overall level of faecal contamination. </w:t>
      </w:r>
    </w:p>
    <w:p w14:paraId="70EBDEC0" w14:textId="77777777" w:rsidR="00DD6172" w:rsidRPr="00397A3E" w:rsidRDefault="00DD6172" w:rsidP="00701D6C">
      <w:pPr>
        <w:rPr>
          <w:noProof w:val="0"/>
        </w:rPr>
      </w:pPr>
    </w:p>
    <w:p w14:paraId="76C6F190" w14:textId="7FCDE225" w:rsidR="00762511" w:rsidRPr="00397A3E" w:rsidRDefault="00171C91" w:rsidP="00B907F5">
      <w:pPr>
        <w:keepNext/>
        <w:rPr>
          <w:b/>
          <w:noProof w:val="0"/>
        </w:rPr>
      </w:pPr>
      <w:r w:rsidRPr="00397A3E">
        <w:rPr>
          <w:b/>
          <w:noProof w:val="0"/>
        </w:rPr>
        <w:t xml:space="preserve">G4: </w:t>
      </w:r>
      <w:r w:rsidRPr="00397A3E">
        <w:rPr>
          <w:b/>
          <w:noProof w:val="0"/>
        </w:rPr>
        <w:fldChar w:fldCharType="begin"/>
      </w:r>
      <w:r w:rsidR="00F84CE9" w:rsidRPr="00397A3E">
        <w:rPr>
          <w:b/>
          <w:noProof w:val="0"/>
        </w:rPr>
        <w:instrText xml:space="preserve"> ADDIN ZOTERO_ITEM CSL_CITATION {"citationID":"GkW0XEZU","properties":{"custom":"King et al. (2014)","formattedCitation":"King et al. (2014)","plainCitation":"King et al. (2014)","noteIndex":0},"citationItems":[{"id":15773,"uris":["http://zotero.org/users/148142/items/LATIBYWS"],"uri":["http://zotero.org/users/148142/items/LATIBYWS"],"itemData":{"id":15773,"type":"report","event-place":"United Kingdom","publisher":"Department of Environment, Food and Rural Affairs (DEFRA)","publisher-place":"United Kingdom","title":"The health risks of bathing in recreational waters. A rapid evidence assessment of water quality and gastrointestinal illness. Final report WT1530. A report of research carried out by RAND Europe, on behalf of the UK Department for Environment, Farming and Rural Affairs (DEFRA)","URL":"https://www.rand.org/content/dam/rand/pubs/research_reports/RR600/RR698/RAND_RR698.pdf","author":[{"family":"King","given":"Sarah"},{"family":"Exley","given":"Josephine"},{"family":"Winpenny","given":"Eleanor"},{"family":"Alves","given":"Lottie"},{"family":"Henham","given":"Marie-Louise"},{"family":"Larkin","given":"Jody"}],"issued":{"date-parts":[["2014"]]}}}],"schema":"https://github.com/citation-style-language/schema/raw/master/csl-citation.json"} </w:instrText>
      </w:r>
      <w:r w:rsidRPr="00397A3E">
        <w:rPr>
          <w:b/>
          <w:noProof w:val="0"/>
        </w:rPr>
        <w:fldChar w:fldCharType="separate"/>
      </w:r>
      <w:r w:rsidRPr="00397A3E">
        <w:rPr>
          <w:b/>
          <w:noProof w:val="0"/>
        </w:rPr>
        <w:t>King et al. (2014)</w:t>
      </w:r>
      <w:r w:rsidRPr="00397A3E">
        <w:rPr>
          <w:b/>
          <w:noProof w:val="0"/>
        </w:rPr>
        <w:fldChar w:fldCharType="end"/>
      </w:r>
      <w:r w:rsidRPr="00397A3E">
        <w:rPr>
          <w:b/>
          <w:noProof w:val="0"/>
        </w:rPr>
        <w:t xml:space="preserve">. </w:t>
      </w:r>
      <w:r w:rsidRPr="00397A3E">
        <w:rPr>
          <w:b/>
          <w:i/>
          <w:iCs/>
          <w:noProof w:val="0"/>
        </w:rPr>
        <w:t>The health risks of bathing in recreational waters. A rapid evidence assessment of water quality and gastrointestinal illness</w:t>
      </w:r>
      <w:r w:rsidR="00A56944" w:rsidRPr="00397A3E">
        <w:rPr>
          <w:b/>
          <w:i/>
          <w:iCs/>
          <w:noProof w:val="0"/>
        </w:rPr>
        <w:t xml:space="preserve"> (GI)</w:t>
      </w:r>
      <w:r w:rsidRPr="00397A3E">
        <w:rPr>
          <w:b/>
          <w:i/>
          <w:iCs/>
          <w:noProof w:val="0"/>
        </w:rPr>
        <w:t>.</w:t>
      </w:r>
    </w:p>
    <w:p w14:paraId="388DC1C3" w14:textId="604D2778" w:rsidR="004F5B31" w:rsidRPr="00397A3E" w:rsidRDefault="00171C91" w:rsidP="00701D6C">
      <w:pPr>
        <w:rPr>
          <w:noProof w:val="0"/>
        </w:rPr>
      </w:pPr>
      <w:r w:rsidRPr="00397A3E">
        <w:rPr>
          <w:noProof w:val="0"/>
        </w:rPr>
        <w:t xml:space="preserve">In relation to research question, </w:t>
      </w:r>
      <w:r w:rsidRPr="00397A3E">
        <w:rPr>
          <w:bCs/>
          <w:noProof w:val="0"/>
        </w:rPr>
        <w:fldChar w:fldCharType="begin"/>
      </w:r>
      <w:r w:rsidR="00F84CE9" w:rsidRPr="00397A3E">
        <w:rPr>
          <w:bCs/>
          <w:noProof w:val="0"/>
        </w:rPr>
        <w:instrText xml:space="preserve"> ADDIN ZOTERO_ITEM CSL_CITATION {"citationID":"ApoJ54GX","properties":{"custom":"King et al. (2014)","formattedCitation":"King et al. (2014)","plainCitation":"King et al. (2014)","noteIndex":0},"citationItems":[{"id":15773,"uris":["http://zotero.org/users/148142/items/LATIBYWS"],"uri":["http://zotero.org/users/148142/items/LATIBYWS"],"itemData":{"id":15773,"type":"report","event-place":"United Kingdom","publisher":"Department of Environment, Food and Rural Affairs (DEFRA)","publisher-place":"United Kingdom","title":"The health risks of bathing in recreational waters. A rapid evidence assessment of water quality and gastrointestinal illness. Final report WT1530. A report of research carried out by RAND Europe, on behalf of the UK Department for Environment, Farming and Rural Affairs (DEFRA)","URL":"https://www.rand.org/content/dam/rand/pubs/research_reports/RR600/RR698/RAND_RR698.pdf","author":[{"family":"King","given":"Sarah"},{"family":"Exley","given":"Josephine"},{"family":"Winpenny","given":"Eleanor"},{"family":"Alves","given":"Lottie"},{"family":"Henham","given":"Marie-Louise"},{"family":"Larkin","given":"Jody"}],"issued":{"date-parts":[["2014"]]}}}],"schema":"https://github.com/citation-style-language/schema/raw/master/csl-citation.json"} </w:instrText>
      </w:r>
      <w:r w:rsidRPr="00397A3E">
        <w:rPr>
          <w:bCs/>
          <w:noProof w:val="0"/>
        </w:rPr>
        <w:fldChar w:fldCharType="separate"/>
      </w:r>
      <w:r w:rsidRPr="00397A3E">
        <w:rPr>
          <w:bCs/>
          <w:noProof w:val="0"/>
        </w:rPr>
        <w:t>King et al. (2014)</w:t>
      </w:r>
      <w:r w:rsidRPr="00397A3E">
        <w:rPr>
          <w:bCs/>
          <w:noProof w:val="0"/>
        </w:rPr>
        <w:fldChar w:fldCharType="end"/>
      </w:r>
      <w:r w:rsidRPr="00397A3E">
        <w:rPr>
          <w:bCs/>
          <w:noProof w:val="0"/>
        </w:rPr>
        <w:t xml:space="preserve"> sought </w:t>
      </w:r>
      <w:r w:rsidR="00B63648" w:rsidRPr="00397A3E">
        <w:rPr>
          <w:noProof w:val="0"/>
        </w:rPr>
        <w:t>evidence to support the different classification standards outlined in the European Bathing Directive</w:t>
      </w:r>
      <w:r w:rsidRPr="00397A3E">
        <w:rPr>
          <w:noProof w:val="0"/>
        </w:rPr>
        <w:t>.</w:t>
      </w:r>
    </w:p>
    <w:p w14:paraId="3A5C7CC4" w14:textId="29731722" w:rsidR="004F5B31" w:rsidRPr="00397A3E" w:rsidRDefault="00171C91" w:rsidP="00701D6C">
      <w:pPr>
        <w:rPr>
          <w:noProof w:val="0"/>
        </w:rPr>
      </w:pPr>
      <w:r w:rsidRPr="00397A3E">
        <w:rPr>
          <w:noProof w:val="0"/>
        </w:rPr>
        <w:t xml:space="preserve">The authors found </w:t>
      </w:r>
      <w:r w:rsidR="00B63648" w:rsidRPr="00397A3E">
        <w:rPr>
          <w:noProof w:val="0"/>
        </w:rPr>
        <w:t>that:</w:t>
      </w:r>
    </w:p>
    <w:p w14:paraId="584FF358" w14:textId="137A2C7B" w:rsidR="004F5B31" w:rsidRPr="00397A3E" w:rsidRDefault="00171C91" w:rsidP="00764500">
      <w:pPr>
        <w:pStyle w:val="ListParagraph"/>
        <w:numPr>
          <w:ilvl w:val="0"/>
          <w:numId w:val="30"/>
        </w:numPr>
        <w:ind w:left="714" w:hanging="357"/>
        <w:contextualSpacing/>
        <w:rPr>
          <w:noProof w:val="0"/>
          <w:lang w:val="en-AU"/>
        </w:rPr>
      </w:pPr>
      <w:r w:rsidRPr="00397A3E">
        <w:rPr>
          <w:noProof w:val="0"/>
          <w:lang w:val="en-AU"/>
        </w:rPr>
        <w:t>There is little evidence for a significant dose</w:t>
      </w:r>
      <w:r w:rsidR="00FF334C" w:rsidRPr="00397A3E">
        <w:rPr>
          <w:noProof w:val="0"/>
          <w:lang w:val="en-AU"/>
        </w:rPr>
        <w:t>-</w:t>
      </w:r>
      <w:r w:rsidRPr="00397A3E">
        <w:rPr>
          <w:noProof w:val="0"/>
          <w:lang w:val="en-AU"/>
        </w:rPr>
        <w:t>response between faecal indicator organisms and GI in marine water.</w:t>
      </w:r>
    </w:p>
    <w:p w14:paraId="7DA7C9E6" w14:textId="67E20507" w:rsidR="004F5B31" w:rsidRPr="00397A3E" w:rsidRDefault="00171C91" w:rsidP="00764500">
      <w:pPr>
        <w:pStyle w:val="ListParagraph"/>
        <w:numPr>
          <w:ilvl w:val="0"/>
          <w:numId w:val="30"/>
        </w:numPr>
        <w:ind w:left="714" w:hanging="357"/>
        <w:contextualSpacing/>
        <w:rPr>
          <w:noProof w:val="0"/>
          <w:lang w:val="en-AU"/>
        </w:rPr>
      </w:pPr>
      <w:r w:rsidRPr="00397A3E">
        <w:rPr>
          <w:noProof w:val="0"/>
          <w:lang w:val="en-AU"/>
        </w:rPr>
        <w:t>There appears to be a significant dose</w:t>
      </w:r>
      <w:r w:rsidR="00FF334C" w:rsidRPr="00397A3E">
        <w:rPr>
          <w:noProof w:val="0"/>
          <w:lang w:val="en-AU"/>
        </w:rPr>
        <w:t>-</w:t>
      </w:r>
      <w:r w:rsidRPr="00397A3E">
        <w:rPr>
          <w:noProof w:val="0"/>
          <w:lang w:val="en-AU"/>
        </w:rPr>
        <w:t>response between faecal indicator organisms and GI in fresh water.</w:t>
      </w:r>
    </w:p>
    <w:p w14:paraId="630CF4D9" w14:textId="7267B1D3" w:rsidR="00762511" w:rsidRPr="00397A3E" w:rsidRDefault="00171C91" w:rsidP="00764500">
      <w:pPr>
        <w:pStyle w:val="ListParagraph"/>
        <w:numPr>
          <w:ilvl w:val="0"/>
          <w:numId w:val="30"/>
        </w:numPr>
        <w:ind w:left="714" w:hanging="357"/>
        <w:contextualSpacing/>
        <w:rPr>
          <w:noProof w:val="0"/>
          <w:lang w:val="en-AU"/>
        </w:rPr>
      </w:pPr>
      <w:r w:rsidRPr="00397A3E">
        <w:rPr>
          <w:noProof w:val="0"/>
          <w:lang w:val="en-AU"/>
        </w:rPr>
        <w:t>Very high levels of pollution due to heavy rainfall and urban run-off or sewage contamination are associated with increased GI.</w:t>
      </w:r>
    </w:p>
    <w:p w14:paraId="27FA8798" w14:textId="77777777" w:rsidR="00374D79" w:rsidRPr="00397A3E" w:rsidRDefault="00374D79" w:rsidP="00022FFC">
      <w:pPr>
        <w:rPr>
          <w:noProof w:val="0"/>
        </w:rPr>
      </w:pPr>
    </w:p>
    <w:p w14:paraId="07AF0ED0" w14:textId="439FDD0A" w:rsidR="00762511" w:rsidRPr="00397A3E" w:rsidRDefault="00171C91" w:rsidP="00762511">
      <w:pPr>
        <w:rPr>
          <w:b/>
          <w:bCs/>
          <w:noProof w:val="0"/>
        </w:rPr>
      </w:pPr>
      <w:r w:rsidRPr="00397A3E">
        <w:rPr>
          <w:b/>
          <w:bCs/>
          <w:noProof w:val="0"/>
        </w:rPr>
        <w:t xml:space="preserve">G8: </w:t>
      </w:r>
      <w:r w:rsidRPr="00397A3E">
        <w:rPr>
          <w:b/>
          <w:bCs/>
          <w:noProof w:val="0"/>
        </w:rPr>
        <w:fldChar w:fldCharType="begin"/>
      </w:r>
      <w:r w:rsidR="00F84CE9" w:rsidRPr="00397A3E">
        <w:rPr>
          <w:b/>
          <w:bCs/>
          <w:noProof w:val="0"/>
        </w:rPr>
        <w:instrText xml:space="preserve"> ADDIN ZOTERO_ITEM CSL_CITATION {"citationID":"bkLAfQ8r","properties":{"custom":"NHMRC (2008)","formattedCitation":"NHMRC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397A3E">
        <w:rPr>
          <w:b/>
          <w:bCs/>
          <w:noProof w:val="0"/>
        </w:rPr>
        <w:fldChar w:fldCharType="separate"/>
      </w:r>
      <w:r w:rsidRPr="00397A3E">
        <w:rPr>
          <w:b/>
          <w:bCs/>
          <w:noProof w:val="0"/>
        </w:rPr>
        <w:t>NHMRC (2008)</w:t>
      </w:r>
      <w:r w:rsidRPr="00397A3E">
        <w:rPr>
          <w:b/>
          <w:bCs/>
          <w:noProof w:val="0"/>
        </w:rPr>
        <w:fldChar w:fldCharType="end"/>
      </w:r>
      <w:r w:rsidRPr="00397A3E">
        <w:rPr>
          <w:b/>
          <w:bCs/>
          <w:noProof w:val="0"/>
        </w:rPr>
        <w:t xml:space="preserve">. </w:t>
      </w:r>
      <w:r w:rsidRPr="00397A3E">
        <w:rPr>
          <w:b/>
          <w:bCs/>
          <w:i/>
          <w:iCs/>
          <w:noProof w:val="0"/>
        </w:rPr>
        <w:t>Guidelines for managing risks in recreational water</w:t>
      </w:r>
      <w:r w:rsidRPr="00397A3E">
        <w:rPr>
          <w:b/>
          <w:bCs/>
          <w:noProof w:val="0"/>
        </w:rPr>
        <w:t>.</w:t>
      </w:r>
    </w:p>
    <w:p w14:paraId="7BE47888" w14:textId="4662A741" w:rsidR="00B95B24" w:rsidRPr="00397A3E" w:rsidRDefault="00171C91" w:rsidP="005C1037">
      <w:pPr>
        <w:rPr>
          <w:noProof w:val="0"/>
        </w:rPr>
      </w:pPr>
      <w:r w:rsidRPr="00397A3E">
        <w:rPr>
          <w:noProof w:val="0"/>
        </w:rPr>
        <w:t>The guidelines contained no evidence to support a response to this question.</w:t>
      </w:r>
    </w:p>
    <w:p w14:paraId="595CE57A" w14:textId="77777777" w:rsidR="00B95B24" w:rsidRPr="00397A3E" w:rsidRDefault="00B95B24" w:rsidP="005C1037">
      <w:pPr>
        <w:rPr>
          <w:noProof w:val="0"/>
        </w:rPr>
      </w:pPr>
    </w:p>
    <w:p w14:paraId="35506D43" w14:textId="4FCF23C8" w:rsidR="00762511" w:rsidRPr="00397A3E" w:rsidRDefault="00171C91" w:rsidP="00762511">
      <w:pPr>
        <w:rPr>
          <w:b/>
          <w:bCs/>
          <w:noProof w:val="0"/>
        </w:rPr>
      </w:pPr>
      <w:r w:rsidRPr="00397A3E">
        <w:rPr>
          <w:b/>
          <w:bCs/>
          <w:noProof w:val="0"/>
        </w:rPr>
        <w:t xml:space="preserve">G11: </w:t>
      </w:r>
      <w:r w:rsidRPr="00397A3E">
        <w:rPr>
          <w:b/>
          <w:bCs/>
          <w:noProof w:val="0"/>
        </w:rPr>
        <w:fldChar w:fldCharType="begin"/>
      </w:r>
      <w:r w:rsidR="00F84CE9" w:rsidRPr="00397A3E">
        <w:rPr>
          <w:b/>
          <w:bCs/>
          <w:noProof w:val="0"/>
        </w:rPr>
        <w:instrText xml:space="preserve"> ADDIN ZOTERO_ITEM CSL_CITATION {"citationID":"1LHrioZT","properties":{"custom":"NSW DPIE (2020)","formattedCitation":"NSW DPIE (2020)","plainCitation":"NSW DPIE (2020)","noteIndex":0},"citationItems":[{"id":16395,"uris":["http://zotero.org/users/148142/items/22QWBZGS"],"uri":["http://zotero.org/users/148142/items/22QWBZGS"],"itemData":{"id":16395,"type":"report","page":"88","title":"Protocol for Assessment and Management of Microbial Risks in Recreational Waters. NSW Department of Planning, Industry &amp; Environment","URL":"https://www.environment.nsw.gov.au/research-and-publications/publications-search/protocol-for-assessment-and-management-of-microbial-risks-in-recreational-waters.","author":[{"literal":"NSW DPIE"}],"issued":{"date-parts":[["2020"]]}}}],"schema":"https://github.com/citation-style-language/schema/raw/master/csl-citation.json"} </w:instrText>
      </w:r>
      <w:r w:rsidRPr="00397A3E">
        <w:rPr>
          <w:b/>
          <w:bCs/>
          <w:noProof w:val="0"/>
        </w:rPr>
        <w:fldChar w:fldCharType="separate"/>
      </w:r>
      <w:r w:rsidRPr="00397A3E">
        <w:rPr>
          <w:b/>
          <w:bCs/>
          <w:noProof w:val="0"/>
        </w:rPr>
        <w:t>NSW DPIE (2020)</w:t>
      </w:r>
      <w:r w:rsidRPr="00397A3E">
        <w:rPr>
          <w:b/>
          <w:bCs/>
          <w:noProof w:val="0"/>
        </w:rPr>
        <w:fldChar w:fldCharType="end"/>
      </w:r>
      <w:r w:rsidRPr="00397A3E">
        <w:rPr>
          <w:b/>
          <w:bCs/>
          <w:noProof w:val="0"/>
        </w:rPr>
        <w:t xml:space="preserve">. </w:t>
      </w:r>
      <w:r w:rsidRPr="00397A3E">
        <w:rPr>
          <w:b/>
          <w:bCs/>
          <w:i/>
          <w:iCs/>
          <w:noProof w:val="0"/>
        </w:rPr>
        <w:t>Protocol for Assessment and Management of Microbial Risks in Recreational Waters</w:t>
      </w:r>
      <w:r w:rsidRPr="00397A3E">
        <w:rPr>
          <w:b/>
          <w:bCs/>
          <w:noProof w:val="0"/>
        </w:rPr>
        <w:t>.</w:t>
      </w:r>
    </w:p>
    <w:p w14:paraId="5A382C9B" w14:textId="10C2D8DD" w:rsidR="00762511" w:rsidRPr="00397A3E" w:rsidRDefault="00171C91" w:rsidP="00BE3769">
      <w:pPr>
        <w:rPr>
          <w:noProof w:val="0"/>
        </w:rPr>
      </w:pPr>
      <w:r w:rsidRPr="00397A3E">
        <w:rPr>
          <w:noProof w:val="0"/>
        </w:rPr>
        <w:t xml:space="preserve">The Protocol adopts the </w:t>
      </w:r>
      <w:r w:rsidR="0041641B">
        <w:rPr>
          <w:noProof w:val="0"/>
        </w:rPr>
        <w:t xml:space="preserve">2008 </w:t>
      </w:r>
      <w:r w:rsidRPr="00397A3E">
        <w:rPr>
          <w:noProof w:val="0"/>
        </w:rPr>
        <w:t xml:space="preserve">NHMRC </w:t>
      </w:r>
      <w:r w:rsidR="0041641B">
        <w:rPr>
          <w:noProof w:val="0"/>
        </w:rPr>
        <w:t>Guidelines</w:t>
      </w:r>
      <w:r w:rsidR="0041641B" w:rsidRPr="00397A3E">
        <w:rPr>
          <w:noProof w:val="0"/>
        </w:rPr>
        <w:t xml:space="preserve"> </w:t>
      </w:r>
      <w:r w:rsidRPr="00397A3E">
        <w:rPr>
          <w:noProof w:val="0"/>
        </w:rPr>
        <w:t>recommended approach for the use of enterococci as the indicator organism for assessing risks from microbial contamination in recreational waters.</w:t>
      </w:r>
    </w:p>
    <w:p w14:paraId="6A99FA46" w14:textId="77777777" w:rsidR="00B95B24" w:rsidRPr="00397A3E" w:rsidRDefault="00B95B24" w:rsidP="00022FFC">
      <w:pPr>
        <w:rPr>
          <w:noProof w:val="0"/>
        </w:rPr>
      </w:pPr>
    </w:p>
    <w:p w14:paraId="13AB951A" w14:textId="1DB78FD3" w:rsidR="00762511" w:rsidRPr="00B455AF" w:rsidRDefault="00171C91" w:rsidP="00762511">
      <w:pPr>
        <w:rPr>
          <w:b/>
          <w:bCs/>
          <w:i/>
          <w:iCs/>
          <w:noProof w:val="0"/>
        </w:rPr>
      </w:pPr>
      <w:r w:rsidRPr="00397A3E">
        <w:rPr>
          <w:b/>
          <w:bCs/>
          <w:noProof w:val="0"/>
        </w:rPr>
        <w:t xml:space="preserve">G13: </w:t>
      </w:r>
      <w:r w:rsidRPr="00397A3E">
        <w:rPr>
          <w:b/>
          <w:bCs/>
          <w:noProof w:val="0"/>
        </w:rPr>
        <w:fldChar w:fldCharType="begin"/>
      </w:r>
      <w:r w:rsidR="00F84CE9" w:rsidRPr="00397A3E">
        <w:rPr>
          <w:b/>
          <w:bCs/>
          <w:noProof w:val="0"/>
        </w:rPr>
        <w:instrText xml:space="preserve"> ADDIN ZOTERO_ITEM CSL_CITATION {"citationID":"VaZ633i5","properties":{"custom":"US EPA (2017)","formattedCitation":"US EPA (2017)","plainCitation":"US EPA (2017)","noteIndex":0},"citationItems":[{"id":15763,"uris":["http://zotero.org/users/148142/items/BR87QUJ3"],"uri":["http://zotero.org/users/148142/items/BR87QUJ3"],"itemData":{"id":15763,"type":"report","event-place":"Washington, DC, United States","number":"Office of Water 823-R-18-001","publisher":"US Environmental Protection Agency, Office of Water, Office of Science and Technology","publisher-place":"Washington, DC, United States","title":"2017 Five-Year Review of the 2012 Recreational Water Quality Criteria","URL":"https://www.epa.gov/sites/production/files/2018-05/documents/2017-5year-review-rwqc.pdf","author":[{"literal":"US EPA"}],"issued":{"date-parts":[["2017"]]}}}],"schema":"https://github.com/citation-style-language/schema/raw/master/csl-citation.json"} </w:instrText>
      </w:r>
      <w:r w:rsidRPr="00397A3E">
        <w:rPr>
          <w:b/>
          <w:bCs/>
          <w:noProof w:val="0"/>
        </w:rPr>
        <w:fldChar w:fldCharType="separate"/>
      </w:r>
      <w:r w:rsidRPr="00397A3E">
        <w:rPr>
          <w:b/>
          <w:bCs/>
          <w:noProof w:val="0"/>
        </w:rPr>
        <w:t>US EPA (2017)</w:t>
      </w:r>
      <w:r w:rsidRPr="00397A3E">
        <w:rPr>
          <w:b/>
          <w:bCs/>
          <w:noProof w:val="0"/>
        </w:rPr>
        <w:fldChar w:fldCharType="end"/>
      </w:r>
      <w:r w:rsidRPr="00397A3E">
        <w:rPr>
          <w:b/>
          <w:bCs/>
          <w:noProof w:val="0"/>
        </w:rPr>
        <w:t xml:space="preserve">.  </w:t>
      </w:r>
      <w:r w:rsidRPr="00B455AF">
        <w:rPr>
          <w:b/>
          <w:bCs/>
          <w:i/>
          <w:iCs/>
          <w:noProof w:val="0"/>
        </w:rPr>
        <w:t>2017 Five-Year Review of the 2012 Recreational Water Quality Criteria.</w:t>
      </w:r>
    </w:p>
    <w:p w14:paraId="05C6B524" w14:textId="64D6EF8C" w:rsidR="004F5B31" w:rsidRPr="00397A3E" w:rsidRDefault="00171C91" w:rsidP="005B31C6">
      <w:pPr>
        <w:rPr>
          <w:noProof w:val="0"/>
        </w:rPr>
      </w:pPr>
      <w:r w:rsidRPr="00397A3E">
        <w:rPr>
          <w:noProof w:val="0"/>
        </w:rPr>
        <w:t xml:space="preserve">Relevant </w:t>
      </w:r>
      <w:r w:rsidR="005B31C6" w:rsidRPr="00397A3E">
        <w:rPr>
          <w:noProof w:val="0"/>
        </w:rPr>
        <w:t>findings</w:t>
      </w:r>
      <w:r w:rsidRPr="00397A3E">
        <w:rPr>
          <w:noProof w:val="0"/>
        </w:rPr>
        <w:t xml:space="preserve"> under the Science Review component described by </w:t>
      </w:r>
      <w:r w:rsidRPr="00397A3E">
        <w:rPr>
          <w:noProof w:val="0"/>
        </w:rPr>
        <w:fldChar w:fldCharType="begin"/>
      </w:r>
      <w:r w:rsidR="00F84CE9" w:rsidRPr="00397A3E">
        <w:rPr>
          <w:noProof w:val="0"/>
        </w:rPr>
        <w:instrText xml:space="preserve"> ADDIN ZOTERO_ITEM CSL_CITATION {"citationID":"lrOVvdZV","properties":{"custom":"US EPA (2017)","formattedCitation":"US EPA (2017)","plainCitation":"US EPA (2017)","noteIndex":0},"citationItems":[{"id":15763,"uris":["http://zotero.org/users/148142/items/BR87QUJ3"],"uri":["http://zotero.org/users/148142/items/BR87QUJ3"],"itemData":{"id":15763,"type":"report","event-place":"Washington, DC, United States","number":"Office of Water 823-R-18-001","publisher":"US Environmental Protection Agency, Office of Water, Office of Science and Technology","publisher-place":"Washington, DC, United States","title":"2017 Five-Year Review of the 2012 Recreational Water Quality Criteria","URL":"https://www.epa.gov/sites/production/files/2018-05/documents/2017-5year-review-rwqc.pdf","author":[{"literal":"US EPA"}],"issued":{"date-parts":[["2017"]]}}}],"schema":"https://github.com/citation-style-language/schema/raw/master/csl-citation.json"} </w:instrText>
      </w:r>
      <w:r w:rsidRPr="00397A3E">
        <w:rPr>
          <w:noProof w:val="0"/>
        </w:rPr>
        <w:fldChar w:fldCharType="separate"/>
      </w:r>
      <w:r w:rsidRPr="00397A3E">
        <w:rPr>
          <w:noProof w:val="0"/>
        </w:rPr>
        <w:t>US EPA (2017)</w:t>
      </w:r>
      <w:r w:rsidRPr="00397A3E">
        <w:rPr>
          <w:noProof w:val="0"/>
        </w:rPr>
        <w:fldChar w:fldCharType="end"/>
      </w:r>
      <w:r w:rsidRPr="00397A3E">
        <w:rPr>
          <w:noProof w:val="0"/>
        </w:rPr>
        <w:t xml:space="preserve"> to the secondary research question (1) were:</w:t>
      </w:r>
    </w:p>
    <w:p w14:paraId="695CBD93" w14:textId="016EE2A1" w:rsidR="004F5B31" w:rsidRPr="00397A3E" w:rsidRDefault="00171C91" w:rsidP="00764500">
      <w:pPr>
        <w:pStyle w:val="ListParagraph"/>
        <w:numPr>
          <w:ilvl w:val="0"/>
          <w:numId w:val="32"/>
        </w:numPr>
        <w:rPr>
          <w:noProof w:val="0"/>
          <w:lang w:val="en-AU"/>
        </w:rPr>
      </w:pPr>
      <w:r w:rsidRPr="00397A3E">
        <w:rPr>
          <w:i/>
          <w:iCs/>
          <w:noProof w:val="0"/>
          <w:lang w:val="en-AU"/>
        </w:rPr>
        <w:t>Coliphage as an indicator:</w:t>
      </w:r>
      <w:r w:rsidRPr="00397A3E">
        <w:rPr>
          <w:noProof w:val="0"/>
          <w:lang w:val="en-AU"/>
        </w:rPr>
        <w:t xml:space="preserve"> Because evidence strongly suggests most illnesses in recreational waters are due to enteric viruses, development and implementation of viral indicators, such as coliphage, may yield advances in public health protection.</w:t>
      </w:r>
    </w:p>
    <w:p w14:paraId="5941D587" w14:textId="0F074556" w:rsidR="004F5B31" w:rsidRPr="00397A3E" w:rsidRDefault="00171C91" w:rsidP="00764500">
      <w:pPr>
        <w:pStyle w:val="ListParagraph"/>
        <w:numPr>
          <w:ilvl w:val="0"/>
          <w:numId w:val="32"/>
        </w:numPr>
        <w:rPr>
          <w:noProof w:val="0"/>
          <w:lang w:val="en-AU"/>
        </w:rPr>
      </w:pPr>
      <w:r w:rsidRPr="00397A3E">
        <w:rPr>
          <w:i/>
          <w:iCs/>
          <w:noProof w:val="0"/>
          <w:lang w:val="en-AU"/>
        </w:rPr>
        <w:t>Indicators and Performance of qPCR Methods</w:t>
      </w:r>
      <w:r w:rsidR="005B31C6" w:rsidRPr="00397A3E">
        <w:rPr>
          <w:noProof w:val="0"/>
          <w:lang w:val="en-AU"/>
        </w:rPr>
        <w:t>:</w:t>
      </w:r>
      <w:r w:rsidRPr="00397A3E">
        <w:rPr>
          <w:noProof w:val="0"/>
          <w:lang w:val="en-AU"/>
        </w:rPr>
        <w:t xml:space="preserve"> The advances in qPCR methodology since 2010 have brought greater reliability and utility to beach monitoring programs where they have been implemented, yet opportunities remain for further refinement of qPCR methodologies.</w:t>
      </w:r>
    </w:p>
    <w:p w14:paraId="7DA85C65" w14:textId="77777777" w:rsidR="004F5B31" w:rsidRPr="00397A3E" w:rsidRDefault="00171C91" w:rsidP="005B31C6">
      <w:pPr>
        <w:ind w:left="720"/>
        <w:rPr>
          <w:noProof w:val="0"/>
        </w:rPr>
      </w:pPr>
      <w:r w:rsidRPr="00397A3E">
        <w:rPr>
          <w:noProof w:val="0"/>
        </w:rPr>
        <w:t>Enterococcus spp. measured by qPCR is a better predictor of swimming-associated GI illness and more timely than current culturable bacterial indicators. These factors coupled with a greater distribution of qPCR-capable laboratories in the future could lead to enhanced public health protection if implemented under the current criteria.</w:t>
      </w:r>
    </w:p>
    <w:p w14:paraId="7DFB3140" w14:textId="171C1ED7" w:rsidR="00762511" w:rsidRPr="00397A3E" w:rsidRDefault="00171C91" w:rsidP="00701D6C">
      <w:pPr>
        <w:rPr>
          <w:noProof w:val="0"/>
        </w:rPr>
      </w:pPr>
      <w:r w:rsidRPr="00397A3E">
        <w:rPr>
          <w:noProof w:val="0"/>
        </w:rPr>
        <w:t xml:space="preserve">A further conclusion drawing on </w:t>
      </w:r>
      <w:r w:rsidR="005B31C6" w:rsidRPr="00397A3E">
        <w:rPr>
          <w:noProof w:val="0"/>
        </w:rPr>
        <w:t xml:space="preserve">the review undertaken for the US EPA by </w:t>
      </w:r>
      <w:r w:rsidRPr="00397A3E">
        <w:rPr>
          <w:noProof w:val="0"/>
        </w:rPr>
        <w:t>Dr</w:t>
      </w:r>
      <w:r w:rsidR="005B31C6" w:rsidRPr="00397A3E">
        <w:rPr>
          <w:noProof w:val="0"/>
        </w:rPr>
        <w:t xml:space="preserve"> Graham</w:t>
      </w:r>
      <w:r w:rsidRPr="00397A3E">
        <w:rPr>
          <w:noProof w:val="0"/>
        </w:rPr>
        <w:t xml:space="preserve"> McBride </w:t>
      </w:r>
      <w:r w:rsidR="005B31C6" w:rsidRPr="00397A3E">
        <w:rPr>
          <w:noProof w:val="0"/>
        </w:rPr>
        <w:t>(</w:t>
      </w:r>
      <w:r w:rsidRPr="00397A3E">
        <w:rPr>
          <w:noProof w:val="0"/>
        </w:rPr>
        <w:t xml:space="preserve">elaborated in the text </w:t>
      </w:r>
      <w:r w:rsidR="005B31C6" w:rsidRPr="00397A3E">
        <w:rPr>
          <w:noProof w:val="0"/>
        </w:rPr>
        <w:t xml:space="preserve">in </w:t>
      </w:r>
      <w:r w:rsidRPr="00397A3E">
        <w:rPr>
          <w:noProof w:val="0"/>
        </w:rPr>
        <w:t>section IV, A, 4: Health Relationships and Alternative Indicators) noted that although observations show that development and use of alternative faecal indicators is a rich and evolving field, no strong case was made for changing the indicators currently.  However, alternative method-indicator combinations might be supported in certain situations and warrant further study especially in specific settings, such as tropical waters.</w:t>
      </w:r>
    </w:p>
    <w:p w14:paraId="7C30B0A4" w14:textId="77777777" w:rsidR="00B95B24" w:rsidRPr="00397A3E" w:rsidRDefault="00B95B24" w:rsidP="00767ADF">
      <w:pPr>
        <w:rPr>
          <w:noProof w:val="0"/>
        </w:rPr>
      </w:pPr>
    </w:p>
    <w:p w14:paraId="30C5614E" w14:textId="0925AF7F" w:rsidR="00762511" w:rsidRPr="00397A3E" w:rsidRDefault="00171C91" w:rsidP="00762511">
      <w:pPr>
        <w:rPr>
          <w:b/>
          <w:bCs/>
          <w:noProof w:val="0"/>
        </w:rPr>
      </w:pPr>
      <w:r w:rsidRPr="00397A3E">
        <w:rPr>
          <w:b/>
          <w:bCs/>
          <w:noProof w:val="0"/>
        </w:rPr>
        <w:t xml:space="preserve">G16: </w:t>
      </w:r>
      <w:r w:rsidRPr="00397A3E">
        <w:rPr>
          <w:b/>
          <w:bCs/>
          <w:noProof w:val="0"/>
        </w:rPr>
        <w:fldChar w:fldCharType="begin"/>
      </w:r>
      <w:r w:rsidR="00F84CE9" w:rsidRPr="00397A3E">
        <w:rPr>
          <w:b/>
          <w:bCs/>
          <w:noProof w:val="0"/>
        </w:rPr>
        <w:instrText xml:space="preserve"> ADDIN ZOTERO_ITEM CSL_CITATION {"citationID":"xUlAexzH","properties":{"custom":"WHO (2018b)","formattedCitation":"WHO (2018b)","plainCitation":"WHO (2018b)","noteIndex":0},"citationItems":[{"id":16342,"uris":["http://zotero.org/users/148142/items/FAQ5QAH6"],"uri":["http://zotero.org/users/148142/items/FAQ5QAH6"],"itemData":{"id":16342,"type":"report","publisher":"World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schema":"https://github.com/citation-style-language/schema/raw/master/csl-citation.json"} </w:instrText>
      </w:r>
      <w:r w:rsidRPr="00397A3E">
        <w:rPr>
          <w:b/>
          <w:bCs/>
          <w:noProof w:val="0"/>
        </w:rPr>
        <w:fldChar w:fldCharType="separate"/>
      </w:r>
      <w:r w:rsidRPr="00397A3E">
        <w:rPr>
          <w:b/>
          <w:bCs/>
          <w:noProof w:val="0"/>
        </w:rPr>
        <w:t>WHO (2018)</w:t>
      </w:r>
      <w:r w:rsidRPr="00397A3E">
        <w:rPr>
          <w:b/>
          <w:bCs/>
          <w:noProof w:val="0"/>
        </w:rPr>
        <w:fldChar w:fldCharType="end"/>
      </w:r>
      <w:r w:rsidRPr="00397A3E">
        <w:rPr>
          <w:b/>
          <w:bCs/>
          <w:noProof w:val="0"/>
        </w:rPr>
        <w:t xml:space="preserve">. </w:t>
      </w:r>
      <w:r w:rsidRPr="00B455AF">
        <w:rPr>
          <w:b/>
          <w:bCs/>
          <w:i/>
          <w:iCs/>
          <w:noProof w:val="0"/>
        </w:rPr>
        <w:t xml:space="preserve">WHO recommendations on scientific, </w:t>
      </w:r>
      <w:r w:rsidR="00767ADF" w:rsidRPr="00B455AF">
        <w:rPr>
          <w:b/>
          <w:bCs/>
          <w:i/>
          <w:iCs/>
          <w:noProof w:val="0"/>
        </w:rPr>
        <w:t>analytical,</w:t>
      </w:r>
      <w:r w:rsidRPr="00B455AF">
        <w:rPr>
          <w:b/>
          <w:bCs/>
          <w:i/>
          <w:iCs/>
          <w:noProof w:val="0"/>
        </w:rPr>
        <w:t xml:space="preserve"> and epidemiological developments relevant to the parameters for bathing water quality in the Bathing Water Directive (2006/7/EC)</w:t>
      </w:r>
      <w:r w:rsidRPr="00397A3E">
        <w:rPr>
          <w:b/>
          <w:bCs/>
          <w:noProof w:val="0"/>
        </w:rPr>
        <w:t>.</w:t>
      </w:r>
    </w:p>
    <w:p w14:paraId="2B43D0C7" w14:textId="1E065BF9" w:rsidR="00BF4C99" w:rsidRPr="00397A3E" w:rsidRDefault="00171C91" w:rsidP="00BF4C99">
      <w:pPr>
        <w:rPr>
          <w:noProof w:val="0"/>
        </w:rPr>
      </w:pPr>
      <w:r w:rsidRPr="00397A3E">
        <w:rPr>
          <w:noProof w:val="0"/>
        </w:rPr>
        <w:t xml:space="preserve">With respect to the secondary research question (1), </w:t>
      </w:r>
      <w:r w:rsidR="00DC5814">
        <w:rPr>
          <w:noProof w:val="0"/>
        </w:rPr>
        <w:t xml:space="preserve">the </w:t>
      </w:r>
      <w:r w:rsidRPr="00397A3E">
        <w:rPr>
          <w:noProof w:val="0"/>
        </w:rPr>
        <w:t>WHO general recommendations were:</w:t>
      </w:r>
    </w:p>
    <w:p w14:paraId="7445D789" w14:textId="7F20E7FE" w:rsidR="004F5B31" w:rsidRPr="00397A3E" w:rsidRDefault="00171C91" w:rsidP="00764500">
      <w:pPr>
        <w:pStyle w:val="ListParagraph"/>
        <w:numPr>
          <w:ilvl w:val="0"/>
          <w:numId w:val="34"/>
        </w:numPr>
        <w:ind w:hanging="360"/>
        <w:contextualSpacing/>
        <w:rPr>
          <w:noProof w:val="0"/>
          <w:lang w:val="en-AU"/>
        </w:rPr>
      </w:pPr>
      <w:r w:rsidRPr="00397A3E">
        <w:rPr>
          <w:noProof w:val="0"/>
          <w:lang w:val="en-AU"/>
        </w:rPr>
        <w:t>Current evidence does not support the inclusion of a viral indicator (or viral pathogen) as a regulatory parameter within the BWD.</w:t>
      </w:r>
    </w:p>
    <w:p w14:paraId="34F51107" w14:textId="75031015" w:rsidR="004F5B31" w:rsidRPr="00397A3E" w:rsidRDefault="00171C91" w:rsidP="00701D6C">
      <w:pPr>
        <w:rPr>
          <w:noProof w:val="0"/>
        </w:rPr>
      </w:pPr>
      <w:r w:rsidRPr="00397A3E">
        <w:rPr>
          <w:noProof w:val="0"/>
        </w:rPr>
        <w:t>Under g</w:t>
      </w:r>
      <w:r w:rsidR="001E61B1" w:rsidRPr="00397A3E">
        <w:rPr>
          <w:noProof w:val="0"/>
        </w:rPr>
        <w:t>ood practice and research</w:t>
      </w:r>
      <w:r w:rsidRPr="00397A3E">
        <w:rPr>
          <w:noProof w:val="0"/>
        </w:rPr>
        <w:t xml:space="preserve">, </w:t>
      </w:r>
      <w:r w:rsidR="00DC5814">
        <w:rPr>
          <w:noProof w:val="0"/>
        </w:rPr>
        <w:t xml:space="preserve">the </w:t>
      </w:r>
      <w:r w:rsidRPr="00397A3E">
        <w:rPr>
          <w:noProof w:val="0"/>
        </w:rPr>
        <w:t>WHO recommendations were:</w:t>
      </w:r>
    </w:p>
    <w:p w14:paraId="304C07E3" w14:textId="7AD482F6" w:rsidR="004F5B31" w:rsidRPr="00397A3E" w:rsidRDefault="00171C91" w:rsidP="00764500">
      <w:pPr>
        <w:pStyle w:val="ListParagraph"/>
        <w:numPr>
          <w:ilvl w:val="0"/>
          <w:numId w:val="34"/>
        </w:numPr>
        <w:ind w:hanging="360"/>
        <w:contextualSpacing/>
        <w:rPr>
          <w:noProof w:val="0"/>
          <w:lang w:val="en-AU"/>
        </w:rPr>
      </w:pPr>
      <w:r w:rsidRPr="00397A3E">
        <w:rPr>
          <w:noProof w:val="0"/>
          <w:lang w:val="en-AU"/>
        </w:rPr>
        <w:t>Viruses have a valuable role to play in microbial source tracking investigations and also quantitative microbial risk assessment, and it is suggested that these tools should be considered more widely in bathing water profiling</w:t>
      </w:r>
    </w:p>
    <w:p w14:paraId="375D5C52" w14:textId="736A7BE0" w:rsidR="00762511" w:rsidRPr="00397A3E" w:rsidRDefault="00171C91" w:rsidP="00764500">
      <w:pPr>
        <w:pStyle w:val="ListParagraph"/>
        <w:numPr>
          <w:ilvl w:val="0"/>
          <w:numId w:val="34"/>
        </w:numPr>
        <w:ind w:hanging="360"/>
        <w:contextualSpacing/>
        <w:rPr>
          <w:noProof w:val="0"/>
          <w:lang w:val="en-AU"/>
        </w:rPr>
      </w:pPr>
      <w:r w:rsidRPr="00397A3E">
        <w:rPr>
          <w:noProof w:val="0"/>
          <w:lang w:val="en-AU"/>
        </w:rPr>
        <w:t>Research needs to include the identification of suitable candidate viral organisms and the development of standard methods suitable for bathing water use.</w:t>
      </w:r>
    </w:p>
    <w:p w14:paraId="7571EAEF" w14:textId="77777777" w:rsidR="006C0C5F" w:rsidRPr="00397A3E" w:rsidRDefault="006C0C5F" w:rsidP="00BF4C99">
      <w:pPr>
        <w:rPr>
          <w:noProof w:val="0"/>
        </w:rPr>
      </w:pPr>
    </w:p>
    <w:p w14:paraId="54F90F94" w14:textId="72820F73" w:rsidR="009B14B1" w:rsidRPr="00397A3E" w:rsidRDefault="00171C91" w:rsidP="009B14B1">
      <w:pPr>
        <w:pStyle w:val="Caption"/>
        <w:rPr>
          <w:iCs/>
          <w:noProof w:val="0"/>
        </w:rPr>
      </w:pPr>
      <w:bookmarkStart w:id="372" w:name="_Ref77090410"/>
      <w:bookmarkStart w:id="373" w:name="_Toc106964869"/>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6</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2</w:t>
      </w:r>
      <w:r w:rsidR="00F178D7">
        <w:rPr>
          <w:noProof w:val="0"/>
        </w:rPr>
        <w:fldChar w:fldCharType="end"/>
      </w:r>
      <w:bookmarkEnd w:id="372"/>
      <w:r w:rsidRPr="00397A3E">
        <w:rPr>
          <w:noProof w:val="0"/>
        </w:rPr>
        <w:t>. Summary of guideline review results for Secondary Research Question 1:</w:t>
      </w:r>
      <w:r w:rsidR="003E6CF2" w:rsidRPr="00397A3E">
        <w:rPr>
          <w:rFonts w:cs="Arial"/>
          <w:iCs/>
          <w:noProof w:val="0"/>
          <w:szCs w:val="20"/>
        </w:rPr>
        <w:t xml:space="preserve"> What are the indicators/surrogates of this/these risk/s</w:t>
      </w:r>
      <w:r w:rsidR="003E6CF2" w:rsidRPr="00397A3E">
        <w:rPr>
          <w:rFonts w:cs="Arial"/>
          <w:i w:val="0"/>
          <w:iCs/>
          <w:noProof w:val="0"/>
          <w:szCs w:val="20"/>
        </w:rPr>
        <w:t xml:space="preserve"> (of microbial contamination from diffuse and point sources in recreational waters)</w:t>
      </w:r>
      <w:r w:rsidR="003E6CF2" w:rsidRPr="00397A3E">
        <w:rPr>
          <w:rFonts w:cs="Arial"/>
          <w:iCs/>
          <w:noProof w:val="0"/>
          <w:szCs w:val="20"/>
        </w:rPr>
        <w:t>?</w:t>
      </w:r>
      <w:bookmarkEnd w:id="373"/>
    </w:p>
    <w:tbl>
      <w:tblPr>
        <w:tblW w:w="0" w:type="auto"/>
        <w:tblBorders>
          <w:top w:val="single" w:sz="8" w:space="0" w:color="B5DDDC"/>
          <w:left w:val="single" w:sz="8" w:space="0" w:color="B5DDDC"/>
          <w:bottom w:val="single" w:sz="8" w:space="0" w:color="B5DDDC"/>
          <w:right w:val="single" w:sz="8" w:space="0" w:color="B5DDDC"/>
          <w:insideH w:val="single" w:sz="8" w:space="0" w:color="B5DDDC"/>
          <w:insideV w:val="single" w:sz="8" w:space="0" w:color="B5DDDC"/>
        </w:tblBorders>
        <w:tblCellMar>
          <w:left w:w="0" w:type="dxa"/>
          <w:right w:w="0" w:type="dxa"/>
        </w:tblCellMar>
        <w:tblLook w:val="04A0" w:firstRow="1" w:lastRow="0" w:firstColumn="1" w:lastColumn="0" w:noHBand="0" w:noVBand="1"/>
      </w:tblPr>
      <w:tblGrid>
        <w:gridCol w:w="1408"/>
        <w:gridCol w:w="6225"/>
      </w:tblGrid>
      <w:tr w:rsidR="00785848" w14:paraId="76DF8387" w14:textId="77777777" w:rsidTr="00366144">
        <w:trPr>
          <w:tblHeader/>
        </w:trPr>
        <w:tc>
          <w:tcPr>
            <w:tcW w:w="1408" w:type="dxa"/>
            <w:shd w:val="clear" w:color="auto" w:fill="B5DDDC"/>
            <w:tcMar>
              <w:top w:w="80" w:type="dxa"/>
              <w:left w:w="80" w:type="dxa"/>
              <w:bottom w:w="80" w:type="dxa"/>
              <w:right w:w="80" w:type="dxa"/>
            </w:tcMar>
            <w:hideMark/>
          </w:tcPr>
          <w:p w14:paraId="64DA4CCB" w14:textId="77777777" w:rsidR="00AD04B1" w:rsidRPr="00397A3E" w:rsidRDefault="00171C91" w:rsidP="00AD04B1">
            <w:pPr>
              <w:pStyle w:val="TableText"/>
              <w:rPr>
                <w:b/>
                <w:bCs/>
                <w:noProof w:val="0"/>
                <w:color w:val="008000"/>
                <w:lang w:val="en-AU"/>
              </w:rPr>
            </w:pPr>
            <w:r w:rsidRPr="00397A3E">
              <w:rPr>
                <w:b/>
                <w:bCs/>
                <w:noProof w:val="0"/>
                <w:color w:val="008000"/>
                <w:lang w:val="en-AU"/>
              </w:rPr>
              <w:t>ID</w:t>
            </w:r>
          </w:p>
        </w:tc>
        <w:tc>
          <w:tcPr>
            <w:tcW w:w="6225" w:type="dxa"/>
            <w:shd w:val="clear" w:color="auto" w:fill="B5DDDC"/>
            <w:tcMar>
              <w:top w:w="80" w:type="dxa"/>
              <w:left w:w="80" w:type="dxa"/>
              <w:bottom w:w="80" w:type="dxa"/>
              <w:right w:w="80" w:type="dxa"/>
            </w:tcMar>
            <w:hideMark/>
          </w:tcPr>
          <w:p w14:paraId="25C0F764" w14:textId="77777777" w:rsidR="00AD04B1" w:rsidRPr="00397A3E" w:rsidRDefault="00171C91" w:rsidP="00AD04B1">
            <w:pPr>
              <w:pStyle w:val="TableText"/>
              <w:rPr>
                <w:b/>
                <w:bCs/>
                <w:noProof w:val="0"/>
                <w:color w:val="008000"/>
                <w:lang w:val="en-AU"/>
              </w:rPr>
            </w:pPr>
            <w:r w:rsidRPr="00397A3E">
              <w:rPr>
                <w:b/>
                <w:bCs/>
                <w:noProof w:val="0"/>
                <w:color w:val="008000"/>
                <w:lang w:val="en-AU"/>
              </w:rPr>
              <w:t>Summary</w:t>
            </w:r>
          </w:p>
        </w:tc>
      </w:tr>
      <w:tr w:rsidR="00785848" w14:paraId="24C0A69B" w14:textId="77777777" w:rsidTr="00E04E07">
        <w:tc>
          <w:tcPr>
            <w:tcW w:w="1408" w:type="dxa"/>
            <w:shd w:val="clear" w:color="auto" w:fill="D6EAEB"/>
            <w:tcMar>
              <w:top w:w="80" w:type="dxa"/>
              <w:left w:w="80" w:type="dxa"/>
              <w:bottom w:w="80" w:type="dxa"/>
              <w:right w:w="80" w:type="dxa"/>
            </w:tcMar>
            <w:vAlign w:val="center"/>
            <w:hideMark/>
          </w:tcPr>
          <w:p w14:paraId="77C5C7D4" w14:textId="272502B7" w:rsidR="00AD04B1" w:rsidRPr="00397A3E" w:rsidRDefault="00171C91" w:rsidP="00AD04B1">
            <w:pPr>
              <w:pStyle w:val="TableText"/>
              <w:rPr>
                <w:noProof w:val="0"/>
                <w:lang w:val="en-AU"/>
              </w:rPr>
            </w:pPr>
            <w:r w:rsidRPr="00397A3E">
              <w:rPr>
                <w:rFonts w:cs="Calibri"/>
                <w:noProof w:val="0"/>
                <w:color w:val="000000"/>
                <w:szCs w:val="16"/>
                <w:lang w:val="en-AU"/>
              </w:rPr>
              <w:t xml:space="preserve">G3: </w:t>
            </w:r>
            <w:r w:rsidRPr="00397A3E">
              <w:rPr>
                <w:rFonts w:cs="Calibri"/>
                <w:noProof w:val="0"/>
                <w:color w:val="000000"/>
                <w:szCs w:val="16"/>
                <w:lang w:val="en-AU"/>
              </w:rPr>
              <w:fldChar w:fldCharType="begin"/>
            </w:r>
            <w:r w:rsidRPr="00397A3E">
              <w:rPr>
                <w:rFonts w:cs="Calibri"/>
                <w:noProof w:val="0"/>
                <w:color w:val="000000"/>
                <w:szCs w:val="16"/>
                <w:lang w:val="en-AU"/>
              </w:rPr>
              <w:instrText xml:space="preserve"> ADDIN ZOTERO_ITEM CSL_CITATION {"citationID":"Odads0fe","properties":{"custom":"EPA Victoria (2021)","formattedCitation":"EPA Victoria (2021)","plainCitation":"EPA Victoria (2021)","noteIndex":0},"citationItems":[{"id":17578,"uris":["http://zotero.org/users/148142/items/HPITMMGC"],"uri":["http://zotero.org/users/148142/items/HPITMMGC"],"itemData":{"id":17578,"type":"report","publisher":"Environment Protection Authority, Victoria","title":"Quantitative Microbial Risk Assessment (QMRA) for assessing risks to recreational users in Port Phillip Bay. EPA Publication 2007, June 2021","author":[{"literal":"EPA Victoria"}],"issued":{"date-parts":[["2021"]]}}}],"schema":"https://github.com/citation-style-language/schema/raw/master/csl-citation.json"} </w:instrText>
            </w:r>
            <w:r w:rsidRPr="00397A3E">
              <w:rPr>
                <w:rFonts w:cs="Calibri"/>
                <w:noProof w:val="0"/>
                <w:color w:val="000000"/>
                <w:szCs w:val="16"/>
                <w:lang w:val="en-AU"/>
              </w:rPr>
              <w:fldChar w:fldCharType="separate"/>
            </w:r>
            <w:r w:rsidRPr="00397A3E">
              <w:rPr>
                <w:rFonts w:cs="Calibri"/>
                <w:noProof w:val="0"/>
                <w:lang w:val="en-AU"/>
              </w:rPr>
              <w:t>EPA Victoria (2021)</w:t>
            </w:r>
            <w:r w:rsidRPr="00397A3E">
              <w:rPr>
                <w:rFonts w:cs="Calibri"/>
                <w:noProof w:val="0"/>
                <w:color w:val="000000"/>
                <w:szCs w:val="16"/>
                <w:lang w:val="en-AU"/>
              </w:rPr>
              <w:fldChar w:fldCharType="end"/>
            </w:r>
          </w:p>
        </w:tc>
        <w:tc>
          <w:tcPr>
            <w:tcW w:w="6225" w:type="dxa"/>
            <w:tcMar>
              <w:top w:w="80" w:type="dxa"/>
              <w:left w:w="80" w:type="dxa"/>
              <w:bottom w:w="80" w:type="dxa"/>
              <w:right w:w="80" w:type="dxa"/>
            </w:tcMar>
            <w:hideMark/>
          </w:tcPr>
          <w:p w14:paraId="798FFE88" w14:textId="49272971" w:rsidR="00AD04B1" w:rsidRPr="00397A3E" w:rsidRDefault="00171C91" w:rsidP="00AD04B1">
            <w:pPr>
              <w:pStyle w:val="TableText"/>
              <w:rPr>
                <w:noProof w:val="0"/>
                <w:lang w:val="en-AU"/>
              </w:rPr>
            </w:pPr>
            <w:r w:rsidRPr="00397A3E">
              <w:rPr>
                <w:noProof w:val="0"/>
                <w:lang w:val="en-AU"/>
              </w:rPr>
              <w:t>EPA Victoria (2021) used microbial source tracking (MST) techniques to identify human sewage, canine and avian sources of microbial contamination and assess risks to recreational waters</w:t>
            </w:r>
            <w:r w:rsidR="004D1ED5">
              <w:rPr>
                <w:noProof w:val="0"/>
                <w:lang w:val="en-AU"/>
              </w:rPr>
              <w:t>.</w:t>
            </w:r>
          </w:p>
          <w:p w14:paraId="2424A49D" w14:textId="77777777" w:rsidR="00AD04B1" w:rsidRPr="00397A3E" w:rsidRDefault="00171C91" w:rsidP="00AD04B1">
            <w:pPr>
              <w:pStyle w:val="TableText"/>
              <w:rPr>
                <w:noProof w:val="0"/>
                <w:lang w:val="en-AU"/>
              </w:rPr>
            </w:pPr>
            <w:r w:rsidRPr="00397A3E">
              <w:rPr>
                <w:noProof w:val="0"/>
                <w:lang w:val="en-AU"/>
              </w:rPr>
              <w:t>The study measured qPCR marker Bacteroides HF183/BacR287 as an indicator of human sewage and enterococci concentrations and found a significant correlation between proportion of the microbial communities were like human sewage microbial communities and the qPCR marker (p=0.008) and enterococci (P&lt;0.001).</w:t>
            </w:r>
          </w:p>
          <w:p w14:paraId="2CCBE298" w14:textId="77777777" w:rsidR="00AD04B1" w:rsidRPr="00397A3E" w:rsidRDefault="00171C91" w:rsidP="00AD04B1">
            <w:pPr>
              <w:pStyle w:val="TableText"/>
              <w:rPr>
                <w:noProof w:val="0"/>
                <w:lang w:val="en-AU"/>
              </w:rPr>
            </w:pPr>
            <w:r w:rsidRPr="00397A3E">
              <w:rPr>
                <w:noProof w:val="0"/>
                <w:lang w:val="en-AU"/>
              </w:rPr>
              <w:t>Similarly a significant relationship was reported between enterococci concentrations and the total proportion of faecal microbial communities (p&lt;0.001), perhaps confirming that enterococci provide an estimate of the overall level of faecal contamination.</w:t>
            </w:r>
          </w:p>
        </w:tc>
      </w:tr>
      <w:tr w:rsidR="00785848" w14:paraId="3C51525C" w14:textId="77777777" w:rsidTr="00E04E07">
        <w:tc>
          <w:tcPr>
            <w:tcW w:w="1408" w:type="dxa"/>
            <w:shd w:val="clear" w:color="auto" w:fill="D6EAEB"/>
            <w:tcMar>
              <w:top w:w="80" w:type="dxa"/>
              <w:left w:w="80" w:type="dxa"/>
              <w:bottom w:w="80" w:type="dxa"/>
              <w:right w:w="80" w:type="dxa"/>
            </w:tcMar>
            <w:vAlign w:val="center"/>
            <w:hideMark/>
          </w:tcPr>
          <w:p w14:paraId="0DC4436E" w14:textId="7A9C7586" w:rsidR="00AD04B1" w:rsidRPr="00397A3E" w:rsidRDefault="00171C91" w:rsidP="00AD04B1">
            <w:pPr>
              <w:pStyle w:val="TableText"/>
              <w:rPr>
                <w:noProof w:val="0"/>
                <w:lang w:val="en-AU"/>
              </w:rPr>
            </w:pPr>
            <w:r w:rsidRPr="00397A3E">
              <w:rPr>
                <w:rFonts w:cs="Calibri"/>
                <w:noProof w:val="0"/>
                <w:color w:val="000000"/>
                <w:szCs w:val="16"/>
                <w:lang w:val="en-AU"/>
              </w:rPr>
              <w:t xml:space="preserve">G4: </w:t>
            </w:r>
            <w:r w:rsidRPr="00397A3E">
              <w:rPr>
                <w:bCs/>
                <w:noProof w:val="0"/>
                <w:color w:val="000000"/>
                <w:szCs w:val="16"/>
                <w:lang w:val="en-AU"/>
              </w:rPr>
              <w:fldChar w:fldCharType="begin"/>
            </w:r>
            <w:r w:rsidRPr="00397A3E">
              <w:rPr>
                <w:bCs/>
                <w:noProof w:val="0"/>
                <w:color w:val="000000"/>
                <w:szCs w:val="16"/>
                <w:lang w:val="en-AU"/>
              </w:rPr>
              <w:instrText xml:space="preserve"> ADDIN ZOTERO_ITEM CSL_CITATION {"citationID":"a6CHViTK","properties":{"custom":"King et al. (2014)","formattedCitation":"King et al. (2014)","plainCitation":"King et al. (2014)","noteIndex":0},"citationItems":[{"id":15773,"uris":["http://zotero.org/users/148142/items/LATIBYWS"],"uri":["http://zotero.org/users/148142/items/LATIBYWS"],"itemData":{"id":15773,"type":"report","event-place":"United Kingdom","publisher":"Department of Environment, Food and Rural Affairs (DEFRA)","publisher-place":"United Kingdom","title":"The health risks of bathing in recreational waters. A rapid evidence assessment of water quality and gastrointestinal illness. Final report WT1530. A report of research carried out by RAND Europe, on behalf of the UK Department for Environment, Farming and Rural Affairs (DEFRA)","URL":"https://www.rand.org/content/dam/rand/pubs/research_reports/RR600/RR698/RAND_RR698.pdf","author":[{"family":"King","given":"Sarah"},{"family":"Exley","given":"Josephine"},{"family":"Winpenny","given":"Eleanor"},{"family":"Alves","given":"Lottie"},{"family":"Henham","given":"Marie-Louise"},{"family":"Larkin","given":"Jody"}],"issued":{"date-parts":[["2014"]]}}}],"schema":"https://github.com/citation-style-language/schema/raw/master/csl-citation.json"} </w:instrText>
            </w:r>
            <w:r w:rsidRPr="00397A3E">
              <w:rPr>
                <w:bCs/>
                <w:noProof w:val="0"/>
                <w:color w:val="000000"/>
                <w:szCs w:val="16"/>
                <w:lang w:val="en-AU"/>
              </w:rPr>
              <w:fldChar w:fldCharType="separate"/>
            </w:r>
            <w:r w:rsidRPr="00397A3E">
              <w:rPr>
                <w:rFonts w:cs="Calibri"/>
                <w:noProof w:val="0"/>
                <w:lang w:val="en-AU"/>
              </w:rPr>
              <w:t>King et al. (2014)</w:t>
            </w:r>
            <w:r w:rsidRPr="00397A3E">
              <w:rPr>
                <w:bCs/>
                <w:noProof w:val="0"/>
                <w:color w:val="000000"/>
                <w:szCs w:val="16"/>
                <w:lang w:val="en-AU"/>
              </w:rPr>
              <w:fldChar w:fldCharType="end"/>
            </w:r>
          </w:p>
        </w:tc>
        <w:tc>
          <w:tcPr>
            <w:tcW w:w="6225" w:type="dxa"/>
            <w:tcMar>
              <w:top w:w="80" w:type="dxa"/>
              <w:left w:w="80" w:type="dxa"/>
              <w:bottom w:w="80" w:type="dxa"/>
              <w:right w:w="80" w:type="dxa"/>
            </w:tcMar>
            <w:hideMark/>
          </w:tcPr>
          <w:p w14:paraId="3D5B9280" w14:textId="77777777" w:rsidR="00AD04B1" w:rsidRPr="00397A3E" w:rsidRDefault="00171C91" w:rsidP="00AD04B1">
            <w:pPr>
              <w:pStyle w:val="TableText"/>
              <w:rPr>
                <w:noProof w:val="0"/>
                <w:lang w:val="en-AU"/>
              </w:rPr>
            </w:pPr>
            <w:r w:rsidRPr="00397A3E">
              <w:rPr>
                <w:noProof w:val="0"/>
                <w:lang w:val="en-AU"/>
              </w:rPr>
              <w:t>King et al. (2014) found that:</w:t>
            </w:r>
          </w:p>
          <w:p w14:paraId="7D101389" w14:textId="77777777" w:rsidR="00AD04B1" w:rsidRPr="00397A3E" w:rsidRDefault="00171C91" w:rsidP="00764500">
            <w:pPr>
              <w:pStyle w:val="TableText"/>
              <w:numPr>
                <w:ilvl w:val="0"/>
                <w:numId w:val="44"/>
              </w:numPr>
              <w:ind w:left="483" w:hanging="142"/>
              <w:rPr>
                <w:noProof w:val="0"/>
                <w:lang w:val="en-AU"/>
              </w:rPr>
            </w:pPr>
            <w:r w:rsidRPr="00397A3E">
              <w:rPr>
                <w:noProof w:val="0"/>
                <w:lang w:val="en-AU"/>
              </w:rPr>
              <w:t>There is little evidence for a significant dose-response between faecal indicator organisms and GI in marine water.</w:t>
            </w:r>
          </w:p>
          <w:p w14:paraId="6CCA6335" w14:textId="77777777" w:rsidR="00AD04B1" w:rsidRPr="00397A3E" w:rsidRDefault="00171C91" w:rsidP="00764500">
            <w:pPr>
              <w:pStyle w:val="TableText"/>
              <w:numPr>
                <w:ilvl w:val="0"/>
                <w:numId w:val="44"/>
              </w:numPr>
              <w:ind w:left="483" w:hanging="142"/>
              <w:rPr>
                <w:noProof w:val="0"/>
                <w:lang w:val="en-AU"/>
              </w:rPr>
            </w:pPr>
            <w:r w:rsidRPr="00397A3E">
              <w:rPr>
                <w:noProof w:val="0"/>
                <w:lang w:val="en-AU"/>
              </w:rPr>
              <w:t>There appears to be a significant dose-response between faecal indicator organisms and GI in fresh water.</w:t>
            </w:r>
          </w:p>
          <w:p w14:paraId="2B4CCC96" w14:textId="77777777" w:rsidR="00AD04B1" w:rsidRPr="00397A3E" w:rsidRDefault="00171C91" w:rsidP="00764500">
            <w:pPr>
              <w:pStyle w:val="TableText"/>
              <w:numPr>
                <w:ilvl w:val="0"/>
                <w:numId w:val="44"/>
              </w:numPr>
              <w:ind w:left="483" w:hanging="142"/>
              <w:rPr>
                <w:noProof w:val="0"/>
                <w:lang w:val="en-AU"/>
              </w:rPr>
            </w:pPr>
            <w:r w:rsidRPr="00397A3E">
              <w:rPr>
                <w:noProof w:val="0"/>
                <w:lang w:val="en-AU"/>
              </w:rPr>
              <w:t>Very high levels of pollution due to heavy rainfall and urban run-off or sewage contamination are associated with increased GI.</w:t>
            </w:r>
          </w:p>
        </w:tc>
      </w:tr>
      <w:tr w:rsidR="00785848" w14:paraId="0E588428" w14:textId="77777777" w:rsidTr="00E04E07">
        <w:tc>
          <w:tcPr>
            <w:tcW w:w="1408" w:type="dxa"/>
            <w:shd w:val="clear" w:color="auto" w:fill="D6EAEB"/>
            <w:tcMar>
              <w:top w:w="80" w:type="dxa"/>
              <w:left w:w="80" w:type="dxa"/>
              <w:bottom w:w="80" w:type="dxa"/>
              <w:right w:w="80" w:type="dxa"/>
            </w:tcMar>
            <w:vAlign w:val="center"/>
            <w:hideMark/>
          </w:tcPr>
          <w:p w14:paraId="16D17249" w14:textId="72A8A228" w:rsidR="00AD04B1" w:rsidRPr="00397A3E" w:rsidRDefault="00171C91" w:rsidP="00AD04B1">
            <w:pPr>
              <w:pStyle w:val="TableText"/>
              <w:rPr>
                <w:noProof w:val="0"/>
                <w:lang w:val="en-AU"/>
              </w:rPr>
            </w:pPr>
            <w:r w:rsidRPr="00397A3E">
              <w:rPr>
                <w:rFonts w:cs="Calibri"/>
                <w:noProof w:val="0"/>
                <w:color w:val="000000"/>
                <w:szCs w:val="16"/>
                <w:lang w:val="en-AU"/>
              </w:rPr>
              <w:t xml:space="preserve">G8: </w:t>
            </w:r>
            <w:r w:rsidRPr="00397A3E">
              <w:rPr>
                <w:bCs/>
                <w:noProof w:val="0"/>
                <w:color w:val="000000"/>
                <w:szCs w:val="16"/>
                <w:lang w:val="en-AU"/>
              </w:rPr>
              <w:fldChar w:fldCharType="begin"/>
            </w:r>
            <w:r w:rsidRPr="00397A3E">
              <w:rPr>
                <w:bCs/>
                <w:noProof w:val="0"/>
                <w:color w:val="000000"/>
                <w:szCs w:val="16"/>
                <w:lang w:val="en-AU"/>
              </w:rPr>
              <w:instrText xml:space="preserve"> ADDIN ZOTERO_ITEM CSL_CITATION {"citationID":"loCOQWEv","properties":{"custom":"NHMRC (2008)","formattedCitation":"NHMRC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397A3E">
              <w:rPr>
                <w:bCs/>
                <w:noProof w:val="0"/>
                <w:color w:val="000000"/>
                <w:szCs w:val="16"/>
                <w:lang w:val="en-AU"/>
              </w:rPr>
              <w:fldChar w:fldCharType="separate"/>
            </w:r>
            <w:r w:rsidRPr="00397A3E">
              <w:rPr>
                <w:rFonts w:cs="Calibri"/>
                <w:noProof w:val="0"/>
                <w:lang w:val="en-AU"/>
              </w:rPr>
              <w:t>NHMRC (2008)</w:t>
            </w:r>
            <w:r w:rsidRPr="00397A3E">
              <w:rPr>
                <w:bCs/>
                <w:noProof w:val="0"/>
                <w:color w:val="000000"/>
                <w:szCs w:val="16"/>
                <w:lang w:val="en-AU"/>
              </w:rPr>
              <w:fldChar w:fldCharType="end"/>
            </w:r>
          </w:p>
        </w:tc>
        <w:tc>
          <w:tcPr>
            <w:tcW w:w="6225" w:type="dxa"/>
            <w:tcMar>
              <w:top w:w="80" w:type="dxa"/>
              <w:left w:w="80" w:type="dxa"/>
              <w:bottom w:w="80" w:type="dxa"/>
              <w:right w:w="80" w:type="dxa"/>
            </w:tcMar>
            <w:hideMark/>
          </w:tcPr>
          <w:p w14:paraId="7C1A0C58" w14:textId="77777777" w:rsidR="00AD04B1" w:rsidRPr="00397A3E" w:rsidRDefault="00171C91" w:rsidP="00AD04B1">
            <w:pPr>
              <w:pStyle w:val="TableText"/>
              <w:rPr>
                <w:noProof w:val="0"/>
                <w:lang w:val="en-AU"/>
              </w:rPr>
            </w:pPr>
            <w:r w:rsidRPr="00397A3E">
              <w:rPr>
                <w:noProof w:val="0"/>
                <w:lang w:val="en-AU"/>
              </w:rPr>
              <w:t>The guidelines contained no evidence to support a response to this question.</w:t>
            </w:r>
          </w:p>
        </w:tc>
      </w:tr>
      <w:tr w:rsidR="00785848" w14:paraId="02C8D2EB" w14:textId="77777777" w:rsidTr="00E04E07">
        <w:tc>
          <w:tcPr>
            <w:tcW w:w="1408" w:type="dxa"/>
            <w:shd w:val="clear" w:color="auto" w:fill="D6EAEB"/>
            <w:tcMar>
              <w:top w:w="80" w:type="dxa"/>
              <w:left w:w="80" w:type="dxa"/>
              <w:bottom w:w="80" w:type="dxa"/>
              <w:right w:w="80" w:type="dxa"/>
            </w:tcMar>
            <w:vAlign w:val="center"/>
            <w:hideMark/>
          </w:tcPr>
          <w:p w14:paraId="74D2B37E" w14:textId="25E72014" w:rsidR="00AD04B1" w:rsidRPr="00397A3E" w:rsidRDefault="00171C91" w:rsidP="00AD04B1">
            <w:pPr>
              <w:pStyle w:val="TableText"/>
              <w:rPr>
                <w:noProof w:val="0"/>
                <w:lang w:val="en-AU"/>
              </w:rPr>
            </w:pPr>
            <w:r w:rsidRPr="00397A3E">
              <w:rPr>
                <w:rFonts w:cs="Calibri"/>
                <w:noProof w:val="0"/>
                <w:color w:val="000000"/>
                <w:szCs w:val="16"/>
                <w:lang w:val="en-AU"/>
              </w:rPr>
              <w:t xml:space="preserve">G11: </w:t>
            </w:r>
            <w:r w:rsidRPr="00397A3E">
              <w:rPr>
                <w:bCs/>
                <w:noProof w:val="0"/>
                <w:color w:val="000000"/>
                <w:szCs w:val="16"/>
                <w:lang w:val="en-AU"/>
              </w:rPr>
              <w:fldChar w:fldCharType="begin"/>
            </w:r>
            <w:r w:rsidRPr="00397A3E">
              <w:rPr>
                <w:bCs/>
                <w:noProof w:val="0"/>
                <w:color w:val="000000"/>
                <w:szCs w:val="16"/>
                <w:lang w:val="en-AU"/>
              </w:rPr>
              <w:instrText xml:space="preserve"> ADDIN ZOTERO_ITEM CSL_CITATION {"citationID":"IzwFmxxk","properties":{"custom":"NSW DPIE (2020)","formattedCitation":"NSW DPIE (2020)","plainCitation":"NSW DPIE (2020)","noteIndex":0},"citationItems":[{"id":16395,"uris":["http://zotero.org/users/148142/items/22QWBZGS"],"uri":["http://zotero.org/users/148142/items/22QWBZGS"],"itemData":{"id":16395,"type":"report","page":"88","title":"Protocol for Assessment and Management of Microbial Risks in Recreational Waters. NSW Department of Planning, Industry &amp; Environment","URL":"https://www.environment.nsw.gov.au/research-and-publications/publications-search/protocol-for-assessment-and-management-of-microbial-risks-in-recreational-waters.","author":[{"literal":"NSW DPIE"}],"issued":{"date-parts":[["2020"]]}}}],"schema":"https://github.com/citation-style-language/schema/raw/master/csl-citation.json"} </w:instrText>
            </w:r>
            <w:r w:rsidRPr="00397A3E">
              <w:rPr>
                <w:bCs/>
                <w:noProof w:val="0"/>
                <w:color w:val="000000"/>
                <w:szCs w:val="16"/>
                <w:lang w:val="en-AU"/>
              </w:rPr>
              <w:fldChar w:fldCharType="separate"/>
            </w:r>
            <w:r w:rsidRPr="00397A3E">
              <w:rPr>
                <w:rFonts w:cs="Calibri"/>
                <w:noProof w:val="0"/>
                <w:lang w:val="en-AU"/>
              </w:rPr>
              <w:t>NSW DPIE (2020)</w:t>
            </w:r>
            <w:r w:rsidRPr="00397A3E">
              <w:rPr>
                <w:bCs/>
                <w:noProof w:val="0"/>
                <w:color w:val="000000"/>
                <w:szCs w:val="16"/>
                <w:lang w:val="en-AU"/>
              </w:rPr>
              <w:fldChar w:fldCharType="end"/>
            </w:r>
          </w:p>
        </w:tc>
        <w:tc>
          <w:tcPr>
            <w:tcW w:w="6225" w:type="dxa"/>
            <w:tcMar>
              <w:top w:w="80" w:type="dxa"/>
              <w:left w:w="80" w:type="dxa"/>
              <w:bottom w:w="80" w:type="dxa"/>
              <w:right w:w="80" w:type="dxa"/>
            </w:tcMar>
            <w:hideMark/>
          </w:tcPr>
          <w:p w14:paraId="523CD51E" w14:textId="118CF16A" w:rsidR="00AD04B1" w:rsidRPr="00397A3E" w:rsidRDefault="00171C91" w:rsidP="0041641B">
            <w:pPr>
              <w:pStyle w:val="TableText"/>
              <w:rPr>
                <w:noProof w:val="0"/>
                <w:lang w:val="en-AU"/>
              </w:rPr>
            </w:pPr>
            <w:r w:rsidRPr="00397A3E">
              <w:rPr>
                <w:noProof w:val="0"/>
                <w:lang w:val="en-AU"/>
              </w:rPr>
              <w:t xml:space="preserve">The Protocol adopts the </w:t>
            </w:r>
            <w:r w:rsidR="0041641B">
              <w:rPr>
                <w:noProof w:val="0"/>
                <w:lang w:val="en-AU"/>
              </w:rPr>
              <w:t xml:space="preserve">2008 </w:t>
            </w:r>
            <w:r w:rsidRPr="00397A3E">
              <w:rPr>
                <w:noProof w:val="0"/>
                <w:lang w:val="en-AU"/>
              </w:rPr>
              <w:t xml:space="preserve">NHMRC </w:t>
            </w:r>
            <w:r w:rsidR="0041641B">
              <w:rPr>
                <w:noProof w:val="0"/>
                <w:lang w:val="en-AU"/>
              </w:rPr>
              <w:t>Guidelines</w:t>
            </w:r>
            <w:r w:rsidR="0041641B" w:rsidRPr="00397A3E">
              <w:rPr>
                <w:noProof w:val="0"/>
                <w:lang w:val="en-AU"/>
              </w:rPr>
              <w:t xml:space="preserve"> </w:t>
            </w:r>
            <w:r w:rsidRPr="00397A3E">
              <w:rPr>
                <w:noProof w:val="0"/>
                <w:lang w:val="en-AU"/>
              </w:rPr>
              <w:t>recommended approach for the use of enterococci as the indicator organism for assessing risks from microbial contamination in recreational waters.</w:t>
            </w:r>
          </w:p>
        </w:tc>
      </w:tr>
      <w:tr w:rsidR="00785848" w14:paraId="234DDD98" w14:textId="77777777" w:rsidTr="00E04E07">
        <w:tc>
          <w:tcPr>
            <w:tcW w:w="1408" w:type="dxa"/>
            <w:shd w:val="clear" w:color="auto" w:fill="D6EAEB"/>
            <w:tcMar>
              <w:top w:w="80" w:type="dxa"/>
              <w:left w:w="80" w:type="dxa"/>
              <w:bottom w:w="80" w:type="dxa"/>
              <w:right w:w="80" w:type="dxa"/>
            </w:tcMar>
            <w:vAlign w:val="center"/>
            <w:hideMark/>
          </w:tcPr>
          <w:p w14:paraId="6D502DE0" w14:textId="0CF60B72" w:rsidR="00AD04B1" w:rsidRPr="00397A3E" w:rsidRDefault="00171C91" w:rsidP="00AD04B1">
            <w:pPr>
              <w:pStyle w:val="TableText"/>
              <w:rPr>
                <w:noProof w:val="0"/>
                <w:lang w:val="en-AU"/>
              </w:rPr>
            </w:pPr>
            <w:r w:rsidRPr="00397A3E">
              <w:rPr>
                <w:rFonts w:cs="Calibri"/>
                <w:noProof w:val="0"/>
                <w:color w:val="000000"/>
                <w:szCs w:val="16"/>
                <w:lang w:val="en-AU"/>
              </w:rPr>
              <w:t xml:space="preserve">G13: </w:t>
            </w:r>
            <w:r w:rsidRPr="00397A3E">
              <w:rPr>
                <w:bCs/>
                <w:noProof w:val="0"/>
                <w:color w:val="000000"/>
                <w:szCs w:val="16"/>
                <w:lang w:val="en-AU"/>
              </w:rPr>
              <w:fldChar w:fldCharType="begin"/>
            </w:r>
            <w:r w:rsidRPr="00397A3E">
              <w:rPr>
                <w:bCs/>
                <w:noProof w:val="0"/>
                <w:color w:val="000000"/>
                <w:szCs w:val="16"/>
                <w:lang w:val="en-AU"/>
              </w:rPr>
              <w:instrText xml:space="preserve"> ADDIN ZOTERO_ITEM CSL_CITATION {"citationID":"i8z7GUEo","properties":{"custom":"US EPA (2017)","formattedCitation":"US EPA (2017)","plainCitation":"US EPA (2017)","noteIndex":0},"citationItems":[{"id":15763,"uris":["http://zotero.org/users/148142/items/BR87QUJ3"],"uri":["http://zotero.org/users/148142/items/BR87QUJ3"],"itemData":{"id":15763,"type":"report","event-place":"Washington, DC, United States","number":"Office of Water 823-R-18-001","publisher":"US Environmental Protection Agency, Office of Water, Office of Science and Technology","publisher-place":"Washington, DC, United States","title":"2017 Five-Year Review of the 2012 Recreational Water Quality Criteria","URL":"https://www.epa.gov/sites/production/files/2018-05/documents/2017-5year-review-rwqc.pdf","author":[{"literal":"US EPA"}],"issued":{"date-parts":[["2017"]]}}}],"schema":"https://github.com/citation-style-language/schema/raw/master/csl-citation.json"} </w:instrText>
            </w:r>
            <w:r w:rsidRPr="00397A3E">
              <w:rPr>
                <w:bCs/>
                <w:noProof w:val="0"/>
                <w:color w:val="000000"/>
                <w:szCs w:val="16"/>
                <w:lang w:val="en-AU"/>
              </w:rPr>
              <w:fldChar w:fldCharType="separate"/>
            </w:r>
            <w:r w:rsidRPr="00397A3E">
              <w:rPr>
                <w:rFonts w:cs="Calibri"/>
                <w:noProof w:val="0"/>
                <w:lang w:val="en-AU"/>
              </w:rPr>
              <w:t>US EPA (2017)</w:t>
            </w:r>
            <w:r w:rsidRPr="00397A3E">
              <w:rPr>
                <w:bCs/>
                <w:noProof w:val="0"/>
                <w:color w:val="000000"/>
                <w:szCs w:val="16"/>
                <w:lang w:val="en-AU"/>
              </w:rPr>
              <w:fldChar w:fldCharType="end"/>
            </w:r>
          </w:p>
        </w:tc>
        <w:tc>
          <w:tcPr>
            <w:tcW w:w="6225" w:type="dxa"/>
            <w:tcMar>
              <w:top w:w="80" w:type="dxa"/>
              <w:left w:w="80" w:type="dxa"/>
              <w:bottom w:w="80" w:type="dxa"/>
              <w:right w:w="80" w:type="dxa"/>
            </w:tcMar>
            <w:hideMark/>
          </w:tcPr>
          <w:p w14:paraId="37FCE689" w14:textId="77777777" w:rsidR="00AD04B1" w:rsidRPr="00397A3E" w:rsidRDefault="00171C91" w:rsidP="00AD04B1">
            <w:pPr>
              <w:pStyle w:val="TableText"/>
              <w:rPr>
                <w:noProof w:val="0"/>
                <w:lang w:val="en-AU"/>
              </w:rPr>
            </w:pPr>
            <w:bookmarkStart w:id="374" w:name="_Hlk94103182"/>
            <w:r w:rsidRPr="00397A3E">
              <w:rPr>
                <w:noProof w:val="0"/>
                <w:lang w:val="en-AU"/>
              </w:rPr>
              <w:t>Under the Science Review component US EPA (2017) conclusions were:</w:t>
            </w:r>
          </w:p>
          <w:p w14:paraId="7C24DF6C" w14:textId="77777777" w:rsidR="00AD04B1" w:rsidRPr="00397A3E" w:rsidRDefault="00171C91" w:rsidP="00764500">
            <w:pPr>
              <w:pStyle w:val="TableText"/>
              <w:numPr>
                <w:ilvl w:val="0"/>
                <w:numId w:val="44"/>
              </w:numPr>
              <w:ind w:left="483" w:hanging="142"/>
              <w:rPr>
                <w:noProof w:val="0"/>
                <w:lang w:val="en-AU"/>
              </w:rPr>
            </w:pPr>
            <w:r w:rsidRPr="00397A3E">
              <w:rPr>
                <w:i/>
                <w:iCs/>
                <w:noProof w:val="0"/>
                <w:lang w:val="en-AU"/>
              </w:rPr>
              <w:t>Coliphage as an indicator:</w:t>
            </w:r>
            <w:r w:rsidRPr="00397A3E">
              <w:rPr>
                <w:noProof w:val="0"/>
                <w:lang w:val="en-AU"/>
              </w:rPr>
              <w:t xml:space="preserve"> Because evidence strongly suggests most illnesses in recreational waters are due to enteric viruses, development and implementation of viral indicators, such as coliphage, may yield advances in public health protection.</w:t>
            </w:r>
          </w:p>
          <w:p w14:paraId="2D9C2148" w14:textId="77777777" w:rsidR="00AD04B1" w:rsidRPr="00397A3E" w:rsidRDefault="00171C91" w:rsidP="00764500">
            <w:pPr>
              <w:pStyle w:val="TableText"/>
              <w:numPr>
                <w:ilvl w:val="0"/>
                <w:numId w:val="44"/>
              </w:numPr>
              <w:ind w:left="483" w:hanging="142"/>
              <w:rPr>
                <w:noProof w:val="0"/>
                <w:lang w:val="en-AU"/>
              </w:rPr>
            </w:pPr>
            <w:r w:rsidRPr="00397A3E">
              <w:rPr>
                <w:i/>
                <w:iCs/>
                <w:noProof w:val="0"/>
                <w:lang w:val="en-AU"/>
              </w:rPr>
              <w:t>Indicators and Performance of qPCR Methods</w:t>
            </w:r>
            <w:r w:rsidRPr="00397A3E">
              <w:rPr>
                <w:noProof w:val="0"/>
                <w:lang w:val="en-AU"/>
              </w:rPr>
              <w:t xml:space="preserve">:  qPCR methods have contributed to improved beach monitoring programs where implemented, yet opportunities remain for further refinement of qPCR methodologies. </w:t>
            </w:r>
            <w:r w:rsidRPr="00397A3E">
              <w:rPr>
                <w:i/>
                <w:iCs/>
                <w:noProof w:val="0"/>
                <w:lang w:val="en-AU"/>
              </w:rPr>
              <w:t>Enterococcus</w:t>
            </w:r>
            <w:r w:rsidRPr="00397A3E">
              <w:rPr>
                <w:noProof w:val="0"/>
                <w:lang w:val="en-AU"/>
              </w:rPr>
              <w:t xml:space="preserve"> spp. measured by qPCR is a better predictor of swimming-associated GI illness and more timely than current culturable bacterial indicators. </w:t>
            </w:r>
          </w:p>
          <w:p w14:paraId="59B58220" w14:textId="77777777" w:rsidR="00AD04B1" w:rsidRPr="00397A3E" w:rsidRDefault="00171C91" w:rsidP="00AD04B1">
            <w:pPr>
              <w:pStyle w:val="TableText"/>
              <w:rPr>
                <w:noProof w:val="0"/>
                <w:lang w:val="en-AU"/>
              </w:rPr>
            </w:pPr>
            <w:r w:rsidRPr="00397A3E">
              <w:rPr>
                <w:noProof w:val="0"/>
                <w:lang w:val="en-AU"/>
              </w:rPr>
              <w:t xml:space="preserve">Although observations show that development and use of alternative faecal indicators is a rich and evolving field, no strong case was made for changing the indicators currently. </w:t>
            </w:r>
            <w:bookmarkEnd w:id="374"/>
          </w:p>
        </w:tc>
      </w:tr>
      <w:tr w:rsidR="00785848" w14:paraId="4BCAC714" w14:textId="77777777" w:rsidTr="00E04E07">
        <w:tc>
          <w:tcPr>
            <w:tcW w:w="1408" w:type="dxa"/>
            <w:shd w:val="clear" w:color="auto" w:fill="D6EAEB"/>
            <w:tcMar>
              <w:top w:w="80" w:type="dxa"/>
              <w:left w:w="80" w:type="dxa"/>
              <w:bottom w:w="80" w:type="dxa"/>
              <w:right w:w="80" w:type="dxa"/>
            </w:tcMar>
            <w:vAlign w:val="center"/>
            <w:hideMark/>
          </w:tcPr>
          <w:p w14:paraId="7D3ACD22" w14:textId="05CA3F42" w:rsidR="00AD04B1" w:rsidRPr="00397A3E" w:rsidRDefault="00171C91" w:rsidP="00AD04B1">
            <w:pPr>
              <w:pStyle w:val="TableText"/>
              <w:rPr>
                <w:noProof w:val="0"/>
                <w:lang w:val="en-AU"/>
              </w:rPr>
            </w:pPr>
            <w:r w:rsidRPr="00397A3E">
              <w:rPr>
                <w:rFonts w:cs="Calibri"/>
                <w:noProof w:val="0"/>
                <w:color w:val="000000"/>
                <w:szCs w:val="16"/>
                <w:lang w:val="en-AU"/>
              </w:rPr>
              <w:t xml:space="preserve">G16: </w:t>
            </w:r>
            <w:r w:rsidRPr="00397A3E">
              <w:rPr>
                <w:bCs/>
                <w:noProof w:val="0"/>
                <w:color w:val="000000"/>
                <w:szCs w:val="16"/>
                <w:lang w:val="en-AU"/>
              </w:rPr>
              <w:fldChar w:fldCharType="begin"/>
            </w:r>
            <w:r w:rsidRPr="00397A3E">
              <w:rPr>
                <w:bCs/>
                <w:noProof w:val="0"/>
                <w:color w:val="000000"/>
                <w:szCs w:val="16"/>
                <w:lang w:val="en-AU"/>
              </w:rPr>
              <w:instrText xml:space="preserve"> ADDIN ZOTERO_ITEM CSL_CITATION {"citationID":"MJScu63G","properties":{"custom":"WHO (2018b)","formattedCitation":"WHO (2018b)","plainCitation":"WHO (2018b)","noteIndex":0},"citationItems":[{"id":16342,"uris":["http://zotero.org/users/148142/items/FAQ5QAH6"],"uri":["http://zotero.org/users/148142/items/FAQ5QAH6"],"itemData":{"id":16342,"type":"report","publisher":"World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schema":"https://github.com/citation-style-language/schema/raw/master/csl-citation.json"} </w:instrText>
            </w:r>
            <w:r w:rsidRPr="00397A3E">
              <w:rPr>
                <w:bCs/>
                <w:noProof w:val="0"/>
                <w:color w:val="000000"/>
                <w:szCs w:val="16"/>
                <w:lang w:val="en-AU"/>
              </w:rPr>
              <w:fldChar w:fldCharType="separate"/>
            </w:r>
            <w:r w:rsidRPr="00397A3E">
              <w:rPr>
                <w:rFonts w:cs="Calibri"/>
                <w:noProof w:val="0"/>
                <w:lang w:val="en-AU"/>
              </w:rPr>
              <w:t>WHO (2018)</w:t>
            </w:r>
            <w:r w:rsidRPr="00397A3E">
              <w:rPr>
                <w:bCs/>
                <w:noProof w:val="0"/>
                <w:color w:val="000000"/>
                <w:szCs w:val="16"/>
                <w:lang w:val="en-AU"/>
              </w:rPr>
              <w:fldChar w:fldCharType="end"/>
            </w:r>
          </w:p>
        </w:tc>
        <w:tc>
          <w:tcPr>
            <w:tcW w:w="6225" w:type="dxa"/>
            <w:tcMar>
              <w:top w:w="80" w:type="dxa"/>
              <w:left w:w="80" w:type="dxa"/>
              <w:bottom w:w="80" w:type="dxa"/>
              <w:right w:w="80" w:type="dxa"/>
            </w:tcMar>
            <w:hideMark/>
          </w:tcPr>
          <w:p w14:paraId="53DC850A" w14:textId="62A51E55" w:rsidR="00AD04B1" w:rsidRPr="00397A3E" w:rsidRDefault="00C775CE" w:rsidP="00AD04B1">
            <w:pPr>
              <w:pStyle w:val="TableText"/>
              <w:rPr>
                <w:noProof w:val="0"/>
                <w:lang w:val="en-AU"/>
              </w:rPr>
            </w:pPr>
            <w:r>
              <w:rPr>
                <w:noProof w:val="0"/>
                <w:lang w:val="en-AU"/>
              </w:rPr>
              <w:t xml:space="preserve">The findings from the </w:t>
            </w:r>
            <w:r w:rsidR="00171C91" w:rsidRPr="00397A3E">
              <w:rPr>
                <w:noProof w:val="0"/>
                <w:lang w:val="en-AU"/>
              </w:rPr>
              <w:t>WHO’s general recommendations were:</w:t>
            </w:r>
          </w:p>
          <w:p w14:paraId="4DE8BBDB" w14:textId="77777777" w:rsidR="00AD04B1" w:rsidRPr="00397A3E" w:rsidRDefault="00171C91" w:rsidP="00764500">
            <w:pPr>
              <w:pStyle w:val="TableText"/>
              <w:numPr>
                <w:ilvl w:val="0"/>
                <w:numId w:val="45"/>
              </w:numPr>
              <w:ind w:left="483" w:hanging="142"/>
              <w:rPr>
                <w:noProof w:val="0"/>
                <w:lang w:val="en-AU"/>
              </w:rPr>
            </w:pPr>
            <w:r w:rsidRPr="00397A3E">
              <w:rPr>
                <w:noProof w:val="0"/>
                <w:lang w:val="en-AU"/>
              </w:rPr>
              <w:t>Current evidence does not support the inclusion of a viral indicator (or viral pathogen) as a regulatory parameter within the European Bathing Water Directive.</w:t>
            </w:r>
          </w:p>
          <w:p w14:paraId="747B979F" w14:textId="77777777" w:rsidR="00AD04B1" w:rsidRPr="00397A3E" w:rsidRDefault="00171C91" w:rsidP="00764500">
            <w:pPr>
              <w:pStyle w:val="TableText"/>
              <w:numPr>
                <w:ilvl w:val="0"/>
                <w:numId w:val="45"/>
              </w:numPr>
              <w:ind w:left="483" w:hanging="142"/>
              <w:rPr>
                <w:noProof w:val="0"/>
                <w:lang w:val="en-AU"/>
              </w:rPr>
            </w:pPr>
            <w:r w:rsidRPr="00397A3E">
              <w:rPr>
                <w:noProof w:val="0"/>
                <w:lang w:val="en-AU"/>
              </w:rPr>
              <w:t>Viruses are important in MST investigations and QMRA and these tools should be considered more widely in bathing water profiling</w:t>
            </w:r>
          </w:p>
          <w:p w14:paraId="4474B183" w14:textId="77777777" w:rsidR="00AD04B1" w:rsidRPr="00397A3E" w:rsidRDefault="00171C91" w:rsidP="00764500">
            <w:pPr>
              <w:pStyle w:val="TableText"/>
              <w:numPr>
                <w:ilvl w:val="0"/>
                <w:numId w:val="45"/>
              </w:numPr>
              <w:ind w:left="483" w:hanging="142"/>
              <w:rPr>
                <w:noProof w:val="0"/>
                <w:lang w:val="en-AU"/>
              </w:rPr>
            </w:pPr>
            <w:r w:rsidRPr="00397A3E">
              <w:rPr>
                <w:noProof w:val="0"/>
                <w:lang w:val="en-AU"/>
              </w:rPr>
              <w:t>Research needs to include the identification of suitable candidate viral organisms and the development of standard methods suitable for bathing water use.</w:t>
            </w:r>
          </w:p>
        </w:tc>
      </w:tr>
    </w:tbl>
    <w:p w14:paraId="738ED254" w14:textId="5B73B94B" w:rsidR="00AD04B1" w:rsidRPr="00397A3E" w:rsidRDefault="00AD04B1" w:rsidP="00701D6C">
      <w:pPr>
        <w:rPr>
          <w:noProof w:val="0"/>
        </w:rPr>
      </w:pPr>
    </w:p>
    <w:p w14:paraId="4F2B0F08" w14:textId="2B7A16B4" w:rsidR="00E652B2" w:rsidRPr="00397A3E" w:rsidRDefault="00171C91" w:rsidP="00E652B2">
      <w:pPr>
        <w:pStyle w:val="Heading3"/>
        <w:rPr>
          <w:noProof w:val="0"/>
          <w:color w:val="auto"/>
        </w:rPr>
      </w:pPr>
      <w:bookmarkStart w:id="375" w:name="_Toc106964840"/>
      <w:r w:rsidRPr="00397A3E">
        <w:rPr>
          <w:noProof w:val="0"/>
          <w:color w:val="auto"/>
        </w:rPr>
        <w:t>Secondary research question (2)</w:t>
      </w:r>
      <w:bookmarkEnd w:id="375"/>
    </w:p>
    <w:p w14:paraId="5C396463" w14:textId="2746177A" w:rsidR="00500224" w:rsidRPr="00397A3E" w:rsidRDefault="00171C91" w:rsidP="008341EF">
      <w:pPr>
        <w:spacing w:after="0" w:line="276" w:lineRule="auto"/>
        <w:ind w:left="360"/>
        <w:textAlignment w:val="center"/>
        <w:rPr>
          <w:rFonts w:cs="Arial"/>
          <w:i/>
          <w:iCs/>
          <w:noProof w:val="0"/>
          <w:szCs w:val="20"/>
        </w:rPr>
      </w:pPr>
      <w:bookmarkStart w:id="376" w:name="_Hlk72425817"/>
      <w:r w:rsidRPr="00397A3E">
        <w:rPr>
          <w:rFonts w:cs="Arial"/>
          <w:i/>
          <w:iCs/>
          <w:noProof w:val="0"/>
          <w:szCs w:val="20"/>
        </w:rPr>
        <w:t xml:space="preserve">2. </w:t>
      </w:r>
      <w:r w:rsidR="004923A6" w:rsidRPr="00397A3E">
        <w:rPr>
          <w:rFonts w:cs="Arial"/>
          <w:i/>
          <w:iCs/>
          <w:noProof w:val="0"/>
          <w:szCs w:val="20"/>
        </w:rPr>
        <w:t>What are the current practices to minimise or manage this/these risk/s</w:t>
      </w:r>
      <w:r w:rsidR="00FF64AF" w:rsidRPr="00397A3E">
        <w:rPr>
          <w:rFonts w:cs="Arial"/>
          <w:i/>
          <w:iCs/>
          <w:noProof w:val="0"/>
          <w:szCs w:val="20"/>
        </w:rPr>
        <w:t xml:space="preserve"> (of microbial contamination from diffuse and point sources in recreational waters)</w:t>
      </w:r>
      <w:r w:rsidRPr="00397A3E">
        <w:rPr>
          <w:rFonts w:cs="Arial"/>
          <w:i/>
          <w:iCs/>
          <w:noProof w:val="0"/>
          <w:szCs w:val="20"/>
        </w:rPr>
        <w:t>?</w:t>
      </w:r>
    </w:p>
    <w:p w14:paraId="46FF62C9" w14:textId="56BCDA48" w:rsidR="006C0C5F" w:rsidRPr="00397A3E" w:rsidRDefault="006C0C5F" w:rsidP="00571347">
      <w:pPr>
        <w:rPr>
          <w:noProof w:val="0"/>
        </w:rPr>
      </w:pPr>
    </w:p>
    <w:p w14:paraId="06961C26" w14:textId="2ECEB646" w:rsidR="00762511" w:rsidRPr="00397A3E" w:rsidRDefault="00171C91" w:rsidP="00762511">
      <w:pPr>
        <w:rPr>
          <w:b/>
          <w:bCs/>
          <w:noProof w:val="0"/>
        </w:rPr>
      </w:pPr>
      <w:r w:rsidRPr="00397A3E">
        <w:rPr>
          <w:b/>
          <w:bCs/>
          <w:noProof w:val="0"/>
        </w:rPr>
        <w:t xml:space="preserve">G3: </w:t>
      </w:r>
      <w:r w:rsidRPr="00397A3E">
        <w:rPr>
          <w:b/>
          <w:bCs/>
          <w:noProof w:val="0"/>
        </w:rPr>
        <w:fldChar w:fldCharType="begin"/>
      </w:r>
      <w:r w:rsidR="00F84CE9" w:rsidRPr="00397A3E">
        <w:rPr>
          <w:b/>
          <w:bCs/>
          <w:noProof w:val="0"/>
        </w:rPr>
        <w:instrText xml:space="preserve"> ADDIN ZOTERO_ITEM CSL_CITATION {"citationID":"uNyt1Yud","properties":{"custom":"EPA Victoria (2021)","formattedCitation":"EPA Victoria (2021)","plainCitation":"EPA Victoria (2021)","noteIndex":0},"citationItems":[{"id":17578,"uris":["http://zotero.org/users/148142/items/HPITMMGC"],"uri":["http://zotero.org/users/148142/items/HPITMMGC"],"itemData":{"id":17578,"type":"report","publisher":"Environment Protection Authority, Victoria","title":"Quantitative Microbial Risk Assessment (QMRA) for assessing risks to recreational users in Port Phillip Bay. EPA Publication 2007, June 2021","author":[{"literal":"EPA Victoria"}],"issued":{"date-parts":[["2021"]]}}}],"schema":"https://github.com/citation-style-language/schema/raw/master/csl-citation.json"} </w:instrText>
      </w:r>
      <w:r w:rsidRPr="00397A3E">
        <w:rPr>
          <w:b/>
          <w:bCs/>
          <w:noProof w:val="0"/>
        </w:rPr>
        <w:fldChar w:fldCharType="separate"/>
      </w:r>
      <w:r w:rsidRPr="00397A3E">
        <w:rPr>
          <w:b/>
          <w:bCs/>
          <w:noProof w:val="0"/>
        </w:rPr>
        <w:t>EPA Victoria (2021)</w:t>
      </w:r>
      <w:r w:rsidRPr="00397A3E">
        <w:rPr>
          <w:b/>
          <w:bCs/>
          <w:noProof w:val="0"/>
        </w:rPr>
        <w:fldChar w:fldCharType="end"/>
      </w:r>
      <w:r w:rsidRPr="00397A3E">
        <w:rPr>
          <w:b/>
          <w:bCs/>
          <w:noProof w:val="0"/>
        </w:rPr>
        <w:t xml:space="preserve">. </w:t>
      </w:r>
      <w:r w:rsidRPr="00397A3E">
        <w:rPr>
          <w:b/>
          <w:bCs/>
          <w:i/>
          <w:iCs/>
          <w:noProof w:val="0"/>
        </w:rPr>
        <w:t>Quantitative Microbial Risk Assessment (QMRA) for assessing risks to recreational users in Port Phillip Bay</w:t>
      </w:r>
    </w:p>
    <w:p w14:paraId="7B777C58" w14:textId="2CE78C8B" w:rsidR="00852BE1" w:rsidRPr="00397A3E" w:rsidRDefault="00171C91" w:rsidP="00852BE1">
      <w:pPr>
        <w:rPr>
          <w:noProof w:val="0"/>
        </w:rPr>
      </w:pPr>
      <w:r w:rsidRPr="00397A3E">
        <w:rPr>
          <w:noProof w:val="0"/>
        </w:rPr>
        <w:fldChar w:fldCharType="begin"/>
      </w:r>
      <w:r w:rsidR="00F84CE9" w:rsidRPr="00397A3E">
        <w:rPr>
          <w:noProof w:val="0"/>
        </w:rPr>
        <w:instrText xml:space="preserve"> ADDIN ZOTERO_ITEM CSL_CITATION {"citationID":"XzflcVzF","properties":{"custom":"EPA Victoria (2021)","formattedCitation":"EPA Victoria (2021)","plainCitation":"EPA Victoria (2021)","noteIndex":0},"citationItems":[{"id":17578,"uris":["http://zotero.org/users/148142/items/HPITMMGC"],"uri":["http://zotero.org/users/148142/items/HPITMMGC"],"itemData":{"id":17578,"type":"report","publisher":"Environment Protection Authority, Victoria","title":"Quantitative Microbial Risk Assessment (QMRA) for assessing risks to recreational users in Port Phillip Bay. EPA Publication 2007, June 2021","author":[{"literal":"EPA Victoria"}],"issued":{"date-parts":[["2021"]]}}}],"schema":"https://github.com/citation-style-language/schema/raw/master/csl-citation.json"} </w:instrText>
      </w:r>
      <w:r w:rsidRPr="00397A3E">
        <w:rPr>
          <w:noProof w:val="0"/>
        </w:rPr>
        <w:fldChar w:fldCharType="separate"/>
      </w:r>
      <w:r w:rsidRPr="00397A3E">
        <w:rPr>
          <w:noProof w:val="0"/>
        </w:rPr>
        <w:t>EPA Victoria (2021)</w:t>
      </w:r>
      <w:r w:rsidRPr="00397A3E">
        <w:rPr>
          <w:noProof w:val="0"/>
        </w:rPr>
        <w:fldChar w:fldCharType="end"/>
      </w:r>
      <w:r w:rsidRPr="00397A3E">
        <w:rPr>
          <w:noProof w:val="0"/>
        </w:rPr>
        <w:t xml:space="preserve"> noted that i</w:t>
      </w:r>
      <w:r w:rsidR="00DD6172" w:rsidRPr="00397A3E">
        <w:rPr>
          <w:noProof w:val="0"/>
        </w:rPr>
        <w:t xml:space="preserve">ndicator organism testing </w:t>
      </w:r>
      <w:r w:rsidRPr="00397A3E">
        <w:rPr>
          <w:noProof w:val="0"/>
        </w:rPr>
        <w:t xml:space="preserve">typically </w:t>
      </w:r>
      <w:r w:rsidR="00DD6172" w:rsidRPr="00397A3E">
        <w:rPr>
          <w:noProof w:val="0"/>
        </w:rPr>
        <w:t>assumes that 100% of the faecal material is of human origin.  However, th</w:t>
      </w:r>
      <w:r w:rsidRPr="00397A3E">
        <w:rPr>
          <w:noProof w:val="0"/>
        </w:rPr>
        <w:t>e</w:t>
      </w:r>
      <w:r w:rsidR="00DD6172" w:rsidRPr="00397A3E">
        <w:rPr>
          <w:noProof w:val="0"/>
        </w:rPr>
        <w:t xml:space="preserve"> source tracking study showed that human faeces only contributed an average of 13% of the total faecal contamination and the main contributors to faecal contamination were of avian and canine origin</w:t>
      </w:r>
      <w:r w:rsidR="00C672C1" w:rsidRPr="00397A3E">
        <w:rPr>
          <w:noProof w:val="0"/>
        </w:rPr>
        <w:t xml:space="preserve"> (contributions not quantified in report)</w:t>
      </w:r>
      <w:r w:rsidR="00DD6172" w:rsidRPr="00397A3E">
        <w:rPr>
          <w:noProof w:val="0"/>
        </w:rPr>
        <w:t xml:space="preserve">. </w:t>
      </w:r>
      <w:r w:rsidR="00C672C1" w:rsidRPr="00397A3E">
        <w:rPr>
          <w:noProof w:val="0"/>
        </w:rPr>
        <w:t>The latter sources</w:t>
      </w:r>
      <w:r w:rsidR="00DD6172" w:rsidRPr="00397A3E">
        <w:rPr>
          <w:noProof w:val="0"/>
        </w:rPr>
        <w:t xml:space="preserve"> carry comparatively lower risks to human health. This suggests that considering the origin of the contamination should be a primary factor in assessing risks of water-based recreation in Port Phillip Bay, since it can significantly impact the outcome of the risk assessment. </w:t>
      </w:r>
      <w:r w:rsidR="00C672C1" w:rsidRPr="00397A3E">
        <w:rPr>
          <w:noProof w:val="0"/>
        </w:rPr>
        <w:t xml:space="preserve"> For example, h</w:t>
      </w:r>
      <w:r w:rsidRPr="00397A3E">
        <w:rPr>
          <w:noProof w:val="0"/>
        </w:rPr>
        <w:t xml:space="preserve">uman sources identified during the sanitary survey included bather shedding (release), toilet facilities, sewage treatment plant (STP) outfalls, STP by-passes, sewage overflows, sewage chokes, and boats.  </w:t>
      </w:r>
    </w:p>
    <w:p w14:paraId="4DC96A78" w14:textId="38264592" w:rsidR="00DD6172" w:rsidRPr="00397A3E" w:rsidRDefault="00171C91" w:rsidP="00762511">
      <w:pPr>
        <w:rPr>
          <w:noProof w:val="0"/>
        </w:rPr>
      </w:pPr>
      <w:r w:rsidRPr="00397A3E">
        <w:rPr>
          <w:noProof w:val="0"/>
        </w:rPr>
        <w:t>[Reviewers note: The use of QMRA provided additional detail to support monitoring and sanitary assessment.]</w:t>
      </w:r>
    </w:p>
    <w:p w14:paraId="5E0EDE6A" w14:textId="77777777" w:rsidR="00852BE1" w:rsidRPr="00397A3E" w:rsidRDefault="00852BE1" w:rsidP="000E7768">
      <w:pPr>
        <w:rPr>
          <w:noProof w:val="0"/>
        </w:rPr>
      </w:pPr>
    </w:p>
    <w:p w14:paraId="10DE8B37" w14:textId="551C7E93" w:rsidR="00762511" w:rsidRPr="00397A3E" w:rsidRDefault="00171C91" w:rsidP="00762511">
      <w:pPr>
        <w:rPr>
          <w:b/>
          <w:noProof w:val="0"/>
        </w:rPr>
      </w:pPr>
      <w:r w:rsidRPr="00397A3E">
        <w:rPr>
          <w:b/>
          <w:noProof w:val="0"/>
        </w:rPr>
        <w:t xml:space="preserve">G4: </w:t>
      </w:r>
      <w:r w:rsidRPr="00397A3E">
        <w:rPr>
          <w:b/>
          <w:noProof w:val="0"/>
        </w:rPr>
        <w:fldChar w:fldCharType="begin"/>
      </w:r>
      <w:r w:rsidR="00F84CE9" w:rsidRPr="00397A3E">
        <w:rPr>
          <w:b/>
          <w:noProof w:val="0"/>
        </w:rPr>
        <w:instrText xml:space="preserve"> ADDIN ZOTERO_ITEM CSL_CITATION {"citationID":"mUX43SgF","properties":{"custom":"King et al. (2014)","formattedCitation":"King et al. (2014)","plainCitation":"King et al. (2014)","noteIndex":0},"citationItems":[{"id":15773,"uris":["http://zotero.org/users/148142/items/LATIBYWS"],"uri":["http://zotero.org/users/148142/items/LATIBYWS"],"itemData":{"id":15773,"type":"report","event-place":"United Kingdom","publisher":"Department of Environment, Food and Rural Affairs (DEFRA)","publisher-place":"United Kingdom","title":"The health risks of bathing in recreational waters. A rapid evidence assessment of water quality and gastrointestinal illness. Final report WT1530. A report of research carried out by RAND Europe, on behalf of the UK Department for Environment, Farming and Rural Affairs (DEFRA)","URL":"https://www.rand.org/content/dam/rand/pubs/research_reports/RR600/RR698/RAND_RR698.pdf","author":[{"family":"King","given":"Sarah"},{"family":"Exley","given":"Josephine"},{"family":"Winpenny","given":"Eleanor"},{"family":"Alves","given":"Lottie"},{"family":"Henham","given":"Marie-Louise"},{"family":"Larkin","given":"Jody"}],"issued":{"date-parts":[["2014"]]}}}],"schema":"https://github.com/citation-style-language/schema/raw/master/csl-citation.json"} </w:instrText>
      </w:r>
      <w:r w:rsidRPr="00397A3E">
        <w:rPr>
          <w:b/>
          <w:noProof w:val="0"/>
        </w:rPr>
        <w:fldChar w:fldCharType="separate"/>
      </w:r>
      <w:r w:rsidRPr="00397A3E">
        <w:rPr>
          <w:b/>
          <w:noProof w:val="0"/>
        </w:rPr>
        <w:t>King et al. (2014)</w:t>
      </w:r>
      <w:r w:rsidRPr="00397A3E">
        <w:rPr>
          <w:b/>
          <w:noProof w:val="0"/>
        </w:rPr>
        <w:fldChar w:fldCharType="end"/>
      </w:r>
      <w:r w:rsidRPr="00397A3E">
        <w:rPr>
          <w:b/>
          <w:noProof w:val="0"/>
        </w:rPr>
        <w:t xml:space="preserve">. </w:t>
      </w:r>
      <w:r w:rsidRPr="00397A3E">
        <w:rPr>
          <w:b/>
          <w:i/>
          <w:iCs/>
          <w:noProof w:val="0"/>
        </w:rPr>
        <w:t>The health risks of bathing in recreational waters. A rapid evidence assessment of water quality and gastrointestinal illness.</w:t>
      </w:r>
    </w:p>
    <w:p w14:paraId="5C017E7D" w14:textId="4646DF86" w:rsidR="000E7768" w:rsidRPr="00397A3E" w:rsidRDefault="00171C91" w:rsidP="000E7768">
      <w:pPr>
        <w:rPr>
          <w:noProof w:val="0"/>
        </w:rPr>
      </w:pPr>
      <w:r w:rsidRPr="00397A3E">
        <w:rPr>
          <w:noProof w:val="0"/>
        </w:rPr>
        <w:t>The review contained no evidence to support a response to secondary research question (2).</w:t>
      </w:r>
    </w:p>
    <w:p w14:paraId="4845F727" w14:textId="77777777" w:rsidR="00B63648" w:rsidRPr="00397A3E" w:rsidRDefault="00B63648" w:rsidP="000E7768">
      <w:pPr>
        <w:rPr>
          <w:noProof w:val="0"/>
        </w:rPr>
      </w:pPr>
    </w:p>
    <w:p w14:paraId="50161070" w14:textId="4790F4EA" w:rsidR="00762511" w:rsidRPr="00397A3E" w:rsidRDefault="00171C91" w:rsidP="00762511">
      <w:pPr>
        <w:rPr>
          <w:b/>
          <w:bCs/>
          <w:noProof w:val="0"/>
        </w:rPr>
      </w:pPr>
      <w:r w:rsidRPr="00397A3E">
        <w:rPr>
          <w:b/>
          <w:bCs/>
          <w:noProof w:val="0"/>
        </w:rPr>
        <w:t xml:space="preserve">G8: </w:t>
      </w:r>
      <w:r w:rsidRPr="00397A3E">
        <w:rPr>
          <w:b/>
          <w:bCs/>
          <w:noProof w:val="0"/>
        </w:rPr>
        <w:fldChar w:fldCharType="begin"/>
      </w:r>
      <w:r w:rsidR="00F84CE9" w:rsidRPr="00397A3E">
        <w:rPr>
          <w:b/>
          <w:bCs/>
          <w:noProof w:val="0"/>
        </w:rPr>
        <w:instrText xml:space="preserve"> ADDIN ZOTERO_ITEM CSL_CITATION {"citationID":"N5a6Dj30","properties":{"custom":"NHMRC (2008)","formattedCitation":"NHMRC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397A3E">
        <w:rPr>
          <w:b/>
          <w:bCs/>
          <w:noProof w:val="0"/>
        </w:rPr>
        <w:fldChar w:fldCharType="separate"/>
      </w:r>
      <w:r w:rsidRPr="00397A3E">
        <w:rPr>
          <w:b/>
          <w:bCs/>
          <w:noProof w:val="0"/>
        </w:rPr>
        <w:t>NHMRC (2008)</w:t>
      </w:r>
      <w:r w:rsidRPr="00397A3E">
        <w:rPr>
          <w:b/>
          <w:bCs/>
          <w:noProof w:val="0"/>
        </w:rPr>
        <w:fldChar w:fldCharType="end"/>
      </w:r>
      <w:r w:rsidRPr="00397A3E">
        <w:rPr>
          <w:b/>
          <w:bCs/>
          <w:noProof w:val="0"/>
        </w:rPr>
        <w:t xml:space="preserve">. </w:t>
      </w:r>
      <w:r w:rsidRPr="00397A3E">
        <w:rPr>
          <w:b/>
          <w:bCs/>
          <w:i/>
          <w:iCs/>
          <w:noProof w:val="0"/>
        </w:rPr>
        <w:t>Guidelines for managing risks in recreational water</w:t>
      </w:r>
      <w:r w:rsidRPr="00397A3E">
        <w:rPr>
          <w:b/>
          <w:bCs/>
          <w:noProof w:val="0"/>
        </w:rPr>
        <w:t>.</w:t>
      </w:r>
    </w:p>
    <w:p w14:paraId="2368F8EC" w14:textId="7764F6CE" w:rsidR="000E7768" w:rsidRPr="00397A3E" w:rsidRDefault="00171C91" w:rsidP="000E7768">
      <w:pPr>
        <w:rPr>
          <w:noProof w:val="0"/>
        </w:rPr>
      </w:pPr>
      <w:r w:rsidRPr="00397A3E">
        <w:rPr>
          <w:noProof w:val="0"/>
        </w:rPr>
        <w:t>The guidelines contained no evidence to support a response to secondary research question (2).</w:t>
      </w:r>
    </w:p>
    <w:p w14:paraId="43EF7CF4" w14:textId="77777777" w:rsidR="00B95B24" w:rsidRPr="00397A3E" w:rsidRDefault="00B95B24" w:rsidP="000E7768">
      <w:pPr>
        <w:rPr>
          <w:noProof w:val="0"/>
        </w:rPr>
      </w:pPr>
    </w:p>
    <w:p w14:paraId="79972E3C" w14:textId="2F4E0B23" w:rsidR="00762511" w:rsidRPr="00397A3E" w:rsidRDefault="00171C91" w:rsidP="00762511">
      <w:pPr>
        <w:rPr>
          <w:b/>
          <w:bCs/>
          <w:noProof w:val="0"/>
        </w:rPr>
      </w:pPr>
      <w:r w:rsidRPr="00397A3E">
        <w:rPr>
          <w:b/>
          <w:bCs/>
          <w:noProof w:val="0"/>
        </w:rPr>
        <w:t xml:space="preserve">G11: </w:t>
      </w:r>
      <w:r w:rsidRPr="00397A3E">
        <w:rPr>
          <w:b/>
          <w:bCs/>
          <w:noProof w:val="0"/>
        </w:rPr>
        <w:fldChar w:fldCharType="begin"/>
      </w:r>
      <w:r w:rsidR="00F84CE9" w:rsidRPr="00397A3E">
        <w:rPr>
          <w:b/>
          <w:bCs/>
          <w:noProof w:val="0"/>
        </w:rPr>
        <w:instrText xml:space="preserve"> ADDIN ZOTERO_ITEM CSL_CITATION {"citationID":"qKzqFKWb","properties":{"custom":"NSW DPIE (2020)","formattedCitation":"NSW DPIE (2020)","plainCitation":"NSW DPIE (2020)","noteIndex":0},"citationItems":[{"id":16395,"uris":["http://zotero.org/users/148142/items/22QWBZGS"],"uri":["http://zotero.org/users/148142/items/22QWBZGS"],"itemData":{"id":16395,"type":"report","page":"88","title":"Protocol for Assessment and Management of Microbial Risks in Recreational Waters. NSW Department of Planning, Industry &amp; Environment","URL":"https://www.environment.nsw.gov.au/research-and-publications/publications-search/protocol-for-assessment-and-management-of-microbial-risks-in-recreational-waters.","author":[{"literal":"NSW DPIE"}],"issued":{"date-parts":[["2020"]]}}}],"schema":"https://github.com/citation-style-language/schema/raw/master/csl-citation.json"} </w:instrText>
      </w:r>
      <w:r w:rsidRPr="00397A3E">
        <w:rPr>
          <w:b/>
          <w:bCs/>
          <w:noProof w:val="0"/>
        </w:rPr>
        <w:fldChar w:fldCharType="separate"/>
      </w:r>
      <w:r w:rsidRPr="00397A3E">
        <w:rPr>
          <w:b/>
          <w:bCs/>
          <w:noProof w:val="0"/>
        </w:rPr>
        <w:t>NSW DPIE (2020)</w:t>
      </w:r>
      <w:r w:rsidRPr="00397A3E">
        <w:rPr>
          <w:b/>
          <w:bCs/>
          <w:noProof w:val="0"/>
        </w:rPr>
        <w:fldChar w:fldCharType="end"/>
      </w:r>
      <w:r w:rsidRPr="00397A3E">
        <w:rPr>
          <w:b/>
          <w:bCs/>
          <w:noProof w:val="0"/>
        </w:rPr>
        <w:t xml:space="preserve">. </w:t>
      </w:r>
      <w:r w:rsidRPr="00397A3E">
        <w:rPr>
          <w:b/>
          <w:bCs/>
          <w:i/>
          <w:iCs/>
          <w:noProof w:val="0"/>
        </w:rPr>
        <w:t>Protocol for Assessment and Management of Microbial Risks in Recreational Waters</w:t>
      </w:r>
      <w:r w:rsidRPr="00397A3E">
        <w:rPr>
          <w:b/>
          <w:bCs/>
          <w:noProof w:val="0"/>
        </w:rPr>
        <w:t>.</w:t>
      </w:r>
    </w:p>
    <w:p w14:paraId="219CBCC2" w14:textId="77777777" w:rsidR="00CB7B2C" w:rsidRPr="00397A3E" w:rsidRDefault="00171C91" w:rsidP="00CB7B2C">
      <w:pPr>
        <w:rPr>
          <w:noProof w:val="0"/>
        </w:rPr>
      </w:pPr>
      <w:bookmarkStart w:id="377" w:name="_Hlk94110715"/>
      <w:r w:rsidRPr="00397A3E">
        <w:rPr>
          <w:noProof w:val="0"/>
        </w:rPr>
        <w:t>Part 7 of the 7-part management framework for managing microbial risks in recreational water lists generic management actions to reduce the microbial risks to recreational water quality.  Risk management recommendations are classified as follows</w:t>
      </w:r>
      <w:bookmarkEnd w:id="377"/>
      <w:r w:rsidRPr="00397A3E">
        <w:rPr>
          <w:noProof w:val="0"/>
        </w:rPr>
        <w:t>:</w:t>
      </w:r>
    </w:p>
    <w:p w14:paraId="15021148" w14:textId="1BE174F2" w:rsidR="00CB7B2C" w:rsidRPr="00397A3E" w:rsidRDefault="00171C91" w:rsidP="00764500">
      <w:pPr>
        <w:pStyle w:val="ListParagraph"/>
        <w:numPr>
          <w:ilvl w:val="0"/>
          <w:numId w:val="31"/>
        </w:numPr>
        <w:ind w:left="714" w:hanging="357"/>
        <w:contextualSpacing/>
        <w:rPr>
          <w:noProof w:val="0"/>
          <w:lang w:val="en-AU"/>
        </w:rPr>
      </w:pPr>
      <w:r w:rsidRPr="00397A3E">
        <w:rPr>
          <w:noProof w:val="0"/>
          <w:lang w:val="en-AU"/>
        </w:rPr>
        <w:t>Actions to reduce likelihood</w:t>
      </w:r>
    </w:p>
    <w:p w14:paraId="0B5DB07B" w14:textId="77777777" w:rsidR="00CB7B2C" w:rsidRPr="00397A3E" w:rsidRDefault="00171C91" w:rsidP="00764500">
      <w:pPr>
        <w:pStyle w:val="ListParagraph"/>
        <w:numPr>
          <w:ilvl w:val="1"/>
          <w:numId w:val="31"/>
        </w:numPr>
        <w:contextualSpacing/>
        <w:rPr>
          <w:noProof w:val="0"/>
          <w:lang w:val="en-AU"/>
        </w:rPr>
      </w:pPr>
      <w:r w:rsidRPr="00397A3E">
        <w:rPr>
          <w:noProof w:val="0"/>
          <w:lang w:val="en-AU"/>
        </w:rPr>
        <w:t>Pollution abatement sewage and stormwater controls</w:t>
      </w:r>
    </w:p>
    <w:p w14:paraId="24481070" w14:textId="77777777" w:rsidR="00CB7B2C" w:rsidRPr="00397A3E" w:rsidRDefault="00171C91" w:rsidP="00764500">
      <w:pPr>
        <w:pStyle w:val="ListParagraph"/>
        <w:numPr>
          <w:ilvl w:val="1"/>
          <w:numId w:val="31"/>
        </w:numPr>
        <w:contextualSpacing/>
        <w:rPr>
          <w:noProof w:val="0"/>
          <w:lang w:val="en-AU"/>
        </w:rPr>
      </w:pPr>
      <w:r w:rsidRPr="00397A3E">
        <w:rPr>
          <w:noProof w:val="0"/>
          <w:lang w:val="en-AU"/>
        </w:rPr>
        <w:t>Use of microbial source tracking (MST) to assist in identifying sources and thus appropriate source controls</w:t>
      </w:r>
    </w:p>
    <w:p w14:paraId="7BAB638A" w14:textId="33501EB0" w:rsidR="00CB7B2C" w:rsidRPr="00397A3E" w:rsidRDefault="00171C91" w:rsidP="00764500">
      <w:pPr>
        <w:pStyle w:val="ListParagraph"/>
        <w:numPr>
          <w:ilvl w:val="0"/>
          <w:numId w:val="31"/>
        </w:numPr>
        <w:ind w:left="714" w:hanging="357"/>
        <w:contextualSpacing/>
        <w:rPr>
          <w:noProof w:val="0"/>
          <w:lang w:val="en-AU"/>
        </w:rPr>
      </w:pPr>
      <w:r w:rsidRPr="00397A3E">
        <w:rPr>
          <w:noProof w:val="0"/>
          <w:lang w:val="en-AU"/>
        </w:rPr>
        <w:t>Actions to reduce consequence</w:t>
      </w:r>
    </w:p>
    <w:p w14:paraId="79169094" w14:textId="77777777" w:rsidR="00CB7B2C" w:rsidRPr="00397A3E" w:rsidRDefault="00171C91" w:rsidP="00764500">
      <w:pPr>
        <w:pStyle w:val="ListParagraph"/>
        <w:numPr>
          <w:ilvl w:val="1"/>
          <w:numId w:val="31"/>
        </w:numPr>
        <w:contextualSpacing/>
        <w:rPr>
          <w:noProof w:val="0"/>
          <w:lang w:val="en-AU"/>
        </w:rPr>
      </w:pPr>
      <w:r w:rsidRPr="00397A3E">
        <w:rPr>
          <w:noProof w:val="0"/>
          <w:lang w:val="en-AU"/>
        </w:rPr>
        <w:t>Beach closures</w:t>
      </w:r>
    </w:p>
    <w:p w14:paraId="71B569E2" w14:textId="77777777" w:rsidR="00CB7B2C" w:rsidRPr="00397A3E" w:rsidRDefault="00171C91" w:rsidP="00764500">
      <w:pPr>
        <w:pStyle w:val="ListParagraph"/>
        <w:numPr>
          <w:ilvl w:val="1"/>
          <w:numId w:val="31"/>
        </w:numPr>
        <w:contextualSpacing/>
        <w:rPr>
          <w:noProof w:val="0"/>
          <w:lang w:val="en-AU"/>
        </w:rPr>
      </w:pPr>
      <w:r w:rsidRPr="00397A3E">
        <w:rPr>
          <w:noProof w:val="0"/>
          <w:lang w:val="en-AU"/>
        </w:rPr>
        <w:t>Informed personal choice based on media advisories</w:t>
      </w:r>
    </w:p>
    <w:p w14:paraId="57AC0780" w14:textId="23B61750" w:rsidR="00CB7B2C" w:rsidRPr="00397A3E" w:rsidRDefault="00171C91" w:rsidP="00764500">
      <w:pPr>
        <w:pStyle w:val="ListParagraph"/>
        <w:numPr>
          <w:ilvl w:val="0"/>
          <w:numId w:val="31"/>
        </w:numPr>
        <w:ind w:left="714" w:hanging="357"/>
        <w:contextualSpacing/>
        <w:rPr>
          <w:noProof w:val="0"/>
          <w:lang w:val="en-AU"/>
        </w:rPr>
      </w:pPr>
      <w:r w:rsidRPr="00397A3E">
        <w:rPr>
          <w:noProof w:val="0"/>
          <w:lang w:val="en-AU"/>
        </w:rPr>
        <w:t>Triggers for management actions</w:t>
      </w:r>
    </w:p>
    <w:p w14:paraId="7DA891D6" w14:textId="77777777" w:rsidR="00CB7B2C" w:rsidRPr="00397A3E" w:rsidRDefault="00171C91" w:rsidP="00764500">
      <w:pPr>
        <w:pStyle w:val="ListParagraph"/>
        <w:numPr>
          <w:ilvl w:val="1"/>
          <w:numId w:val="31"/>
        </w:numPr>
        <w:contextualSpacing/>
        <w:rPr>
          <w:noProof w:val="0"/>
          <w:lang w:val="en-AU"/>
        </w:rPr>
      </w:pPr>
      <w:r w:rsidRPr="00397A3E">
        <w:rPr>
          <w:noProof w:val="0"/>
          <w:lang w:val="en-AU"/>
        </w:rPr>
        <w:t>Water quality monitoring (based on enterococci)</w:t>
      </w:r>
    </w:p>
    <w:p w14:paraId="46EFC4DD" w14:textId="77777777" w:rsidR="00CB7B2C" w:rsidRPr="00397A3E" w:rsidRDefault="00171C91" w:rsidP="00764500">
      <w:pPr>
        <w:pStyle w:val="ListParagraph"/>
        <w:numPr>
          <w:ilvl w:val="1"/>
          <w:numId w:val="31"/>
        </w:numPr>
        <w:contextualSpacing/>
        <w:rPr>
          <w:noProof w:val="0"/>
          <w:lang w:val="en-AU"/>
        </w:rPr>
      </w:pPr>
      <w:r w:rsidRPr="00397A3E">
        <w:rPr>
          <w:noProof w:val="0"/>
          <w:lang w:val="en-AU"/>
        </w:rPr>
        <w:t>Rapid responses to spill incidents (e.g. sewer overflows)</w:t>
      </w:r>
    </w:p>
    <w:p w14:paraId="0BC6D9A1" w14:textId="77777777" w:rsidR="00B95B24" w:rsidRPr="00397A3E" w:rsidRDefault="00B95B24" w:rsidP="00BE3769">
      <w:pPr>
        <w:rPr>
          <w:noProof w:val="0"/>
        </w:rPr>
      </w:pPr>
    </w:p>
    <w:p w14:paraId="18C3DFA7" w14:textId="598577F6" w:rsidR="00762511" w:rsidRPr="00397A3E" w:rsidRDefault="00171C91" w:rsidP="00762511">
      <w:pPr>
        <w:rPr>
          <w:b/>
          <w:bCs/>
          <w:noProof w:val="0"/>
        </w:rPr>
      </w:pPr>
      <w:r w:rsidRPr="00397A3E">
        <w:rPr>
          <w:b/>
          <w:bCs/>
          <w:noProof w:val="0"/>
        </w:rPr>
        <w:t xml:space="preserve">G13: </w:t>
      </w:r>
      <w:r w:rsidRPr="00397A3E">
        <w:rPr>
          <w:b/>
          <w:bCs/>
          <w:noProof w:val="0"/>
        </w:rPr>
        <w:fldChar w:fldCharType="begin"/>
      </w:r>
      <w:r w:rsidR="00F84CE9" w:rsidRPr="00397A3E">
        <w:rPr>
          <w:b/>
          <w:bCs/>
          <w:noProof w:val="0"/>
        </w:rPr>
        <w:instrText xml:space="preserve"> ADDIN ZOTERO_ITEM CSL_CITATION {"citationID":"QdArWCh7","properties":{"custom":"US EPA (2017)","formattedCitation":"US EPA (2017)","plainCitation":"US EPA (2017)","noteIndex":0},"citationItems":[{"id":15763,"uris":["http://zotero.org/users/148142/items/BR87QUJ3"],"uri":["http://zotero.org/users/148142/items/BR87QUJ3"],"itemData":{"id":15763,"type":"report","event-place":"Washington, DC, United States","number":"Office of Water 823-R-18-001","publisher":"US Environmental Protection Agency, Office of Water, Office of Science and Technology","publisher-place":"Washington, DC, United States","title":"2017 Five-Year Review of the 2012 Recreational Water Quality Criteria","URL":"https://www.epa.gov/sites/production/files/2018-05/documents/2017-5year-review-rwqc.pdf","author":[{"literal":"US EPA"}],"issued":{"date-parts":[["2017"]]}}}],"schema":"https://github.com/citation-style-language/schema/raw/master/csl-citation.json"} </w:instrText>
      </w:r>
      <w:r w:rsidRPr="00397A3E">
        <w:rPr>
          <w:b/>
          <w:bCs/>
          <w:noProof w:val="0"/>
        </w:rPr>
        <w:fldChar w:fldCharType="separate"/>
      </w:r>
      <w:r w:rsidRPr="00397A3E">
        <w:rPr>
          <w:b/>
          <w:bCs/>
          <w:noProof w:val="0"/>
        </w:rPr>
        <w:t>US EPA (2017)</w:t>
      </w:r>
      <w:r w:rsidRPr="00397A3E">
        <w:rPr>
          <w:b/>
          <w:bCs/>
          <w:noProof w:val="0"/>
        </w:rPr>
        <w:fldChar w:fldCharType="end"/>
      </w:r>
      <w:r w:rsidRPr="00397A3E">
        <w:rPr>
          <w:b/>
          <w:bCs/>
          <w:noProof w:val="0"/>
        </w:rPr>
        <w:t>.  2017 Five-Year Review of the 2012 Recreational Water Quality Criteria.</w:t>
      </w:r>
    </w:p>
    <w:p w14:paraId="0EFA8753" w14:textId="22173C21" w:rsidR="004F5B31" w:rsidRPr="00397A3E" w:rsidRDefault="00171C91" w:rsidP="00022FFC">
      <w:pPr>
        <w:rPr>
          <w:noProof w:val="0"/>
        </w:rPr>
      </w:pPr>
      <w:r w:rsidRPr="00397A3E">
        <w:rPr>
          <w:noProof w:val="0"/>
        </w:rPr>
        <w:t xml:space="preserve">Under the </w:t>
      </w:r>
      <w:r w:rsidR="00F5797A" w:rsidRPr="00397A3E">
        <w:rPr>
          <w:noProof w:val="0"/>
        </w:rPr>
        <w:t>Science Review</w:t>
      </w:r>
      <w:r w:rsidRPr="00397A3E">
        <w:rPr>
          <w:noProof w:val="0"/>
        </w:rPr>
        <w:t xml:space="preserve"> component, the US EPA considered a</w:t>
      </w:r>
      <w:r w:rsidR="00F5797A" w:rsidRPr="00397A3E">
        <w:rPr>
          <w:noProof w:val="0"/>
        </w:rPr>
        <w:t>ccurate and reliable MST technologies could markedly improve future water quality management in the U.S., possibly allowing for the development of alternative site-specific criteria based on pollution sources present, strategic remediation planning based on faecal pollution levels from human sources.</w:t>
      </w:r>
    </w:p>
    <w:p w14:paraId="41D14E66" w14:textId="6642C448" w:rsidR="00571347" w:rsidRPr="00397A3E" w:rsidRDefault="00171C91" w:rsidP="00571347">
      <w:pPr>
        <w:rPr>
          <w:noProof w:val="0"/>
        </w:rPr>
      </w:pPr>
      <w:r w:rsidRPr="00397A3E">
        <w:rPr>
          <w:noProof w:val="0"/>
        </w:rPr>
        <w:t xml:space="preserve">Relevant findings under the Implementation Review component described by </w:t>
      </w:r>
      <w:r w:rsidRPr="00397A3E">
        <w:rPr>
          <w:noProof w:val="0"/>
        </w:rPr>
        <w:fldChar w:fldCharType="begin"/>
      </w:r>
      <w:r w:rsidR="00F84CE9" w:rsidRPr="00397A3E">
        <w:rPr>
          <w:noProof w:val="0"/>
        </w:rPr>
        <w:instrText xml:space="preserve"> ADDIN ZOTERO_ITEM CSL_CITATION {"citationID":"S1ORX4xZ","properties":{"custom":"US EPA (2017)","formattedCitation":"US EPA (2017)","plainCitation":"US EPA (2017)","noteIndex":0},"citationItems":[{"id":15763,"uris":["http://zotero.org/users/148142/items/BR87QUJ3"],"uri":["http://zotero.org/users/148142/items/BR87QUJ3"],"itemData":{"id":15763,"type":"report","event-place":"Washington, DC, United States","number":"Office of Water 823-R-18-001","publisher":"US Environmental Protection Agency, Office of Water, Office of Science and Technology","publisher-place":"Washington, DC, United States","title":"2017 Five-Year Review of the 2012 Recreational Water Quality Criteria","URL":"https://www.epa.gov/sites/production/files/2018-05/documents/2017-5year-review-rwqc.pdf","author":[{"literal":"US EPA"}],"issued":{"date-parts":[["2017"]]}}}],"schema":"https://github.com/citation-style-language/schema/raw/master/csl-citation.json"} </w:instrText>
      </w:r>
      <w:r w:rsidRPr="00397A3E">
        <w:rPr>
          <w:noProof w:val="0"/>
        </w:rPr>
        <w:fldChar w:fldCharType="separate"/>
      </w:r>
      <w:r w:rsidRPr="00397A3E">
        <w:rPr>
          <w:noProof w:val="0"/>
        </w:rPr>
        <w:t>US EPA (2017)</w:t>
      </w:r>
      <w:r w:rsidRPr="00397A3E">
        <w:rPr>
          <w:noProof w:val="0"/>
        </w:rPr>
        <w:fldChar w:fldCharType="end"/>
      </w:r>
      <w:r w:rsidRPr="00397A3E">
        <w:rPr>
          <w:noProof w:val="0"/>
        </w:rPr>
        <w:t xml:space="preserve"> to the secondary research question (2) were:</w:t>
      </w:r>
    </w:p>
    <w:p w14:paraId="4A08A3DC" w14:textId="7071D130" w:rsidR="004F5B31" w:rsidRPr="00397A3E" w:rsidRDefault="00171C91" w:rsidP="00764500">
      <w:pPr>
        <w:pStyle w:val="ListParagraph"/>
        <w:numPr>
          <w:ilvl w:val="0"/>
          <w:numId w:val="32"/>
        </w:numPr>
        <w:rPr>
          <w:noProof w:val="0"/>
          <w:lang w:val="en-AU"/>
        </w:rPr>
      </w:pPr>
      <w:r w:rsidRPr="00397A3E">
        <w:rPr>
          <w:i/>
          <w:iCs/>
          <w:noProof w:val="0"/>
          <w:lang w:val="en-AU"/>
        </w:rPr>
        <w:t>Sanitary Surveys</w:t>
      </w:r>
      <w:r w:rsidR="00571347" w:rsidRPr="00397A3E">
        <w:rPr>
          <w:i/>
          <w:iCs/>
          <w:noProof w:val="0"/>
          <w:lang w:val="en-AU"/>
        </w:rPr>
        <w:t>:</w:t>
      </w:r>
      <w:r w:rsidRPr="00397A3E">
        <w:rPr>
          <w:noProof w:val="0"/>
          <w:lang w:val="en-AU"/>
        </w:rPr>
        <w:t xml:space="preserve"> Sanitary Surveys continue to serve as an important tool for informing site remediation, characterizing waters for QMRA and site-specific criteria development, and can be linked with integrated environmental modelling.</w:t>
      </w:r>
    </w:p>
    <w:p w14:paraId="66EB2763" w14:textId="79D99069" w:rsidR="004F5B31" w:rsidRPr="00397A3E" w:rsidRDefault="00171C91" w:rsidP="00764500">
      <w:pPr>
        <w:pStyle w:val="ListParagraph"/>
        <w:numPr>
          <w:ilvl w:val="0"/>
          <w:numId w:val="32"/>
        </w:numPr>
        <w:rPr>
          <w:noProof w:val="0"/>
          <w:lang w:val="en-AU"/>
        </w:rPr>
      </w:pPr>
      <w:r w:rsidRPr="00397A3E">
        <w:rPr>
          <w:i/>
          <w:iCs/>
          <w:noProof w:val="0"/>
          <w:lang w:val="en-AU"/>
        </w:rPr>
        <w:t>Predictive/Statistical Mode</w:t>
      </w:r>
      <w:r w:rsidR="00DC5814">
        <w:rPr>
          <w:i/>
          <w:iCs/>
          <w:noProof w:val="0"/>
          <w:lang w:val="en-AU"/>
        </w:rPr>
        <w:t>l</w:t>
      </w:r>
      <w:r w:rsidRPr="00397A3E">
        <w:rPr>
          <w:i/>
          <w:iCs/>
          <w:noProof w:val="0"/>
          <w:lang w:val="en-AU"/>
        </w:rPr>
        <w:t>ling</w:t>
      </w:r>
      <w:r w:rsidR="00571347" w:rsidRPr="00397A3E">
        <w:rPr>
          <w:i/>
          <w:iCs/>
          <w:noProof w:val="0"/>
          <w:lang w:val="en-AU"/>
        </w:rPr>
        <w:t>:</w:t>
      </w:r>
      <w:r w:rsidRPr="00397A3E">
        <w:rPr>
          <w:noProof w:val="0"/>
          <w:lang w:val="en-AU"/>
        </w:rPr>
        <w:t xml:space="preserve"> Predictive models offer an alternative for same-day notification and resulting public health protection with lower capital investment and unit costs than other rapid methods.</w:t>
      </w:r>
    </w:p>
    <w:p w14:paraId="2D67BC2C" w14:textId="555F649C" w:rsidR="00762511" w:rsidRPr="00397A3E" w:rsidRDefault="00171C91" w:rsidP="00764500">
      <w:pPr>
        <w:pStyle w:val="ListParagraph"/>
        <w:numPr>
          <w:ilvl w:val="0"/>
          <w:numId w:val="32"/>
        </w:numPr>
        <w:rPr>
          <w:noProof w:val="0"/>
          <w:lang w:val="en-AU"/>
        </w:rPr>
      </w:pPr>
      <w:r w:rsidRPr="00397A3E">
        <w:rPr>
          <w:i/>
          <w:iCs/>
          <w:noProof w:val="0"/>
          <w:lang w:val="en-AU"/>
        </w:rPr>
        <w:t>Deterministic Process Mode</w:t>
      </w:r>
      <w:r w:rsidR="00DC5814">
        <w:rPr>
          <w:i/>
          <w:iCs/>
          <w:noProof w:val="0"/>
          <w:lang w:val="en-AU"/>
        </w:rPr>
        <w:t>l</w:t>
      </w:r>
      <w:r w:rsidRPr="00397A3E">
        <w:rPr>
          <w:i/>
          <w:iCs/>
          <w:noProof w:val="0"/>
          <w:lang w:val="en-AU"/>
        </w:rPr>
        <w:t>ling for Recreational Beach Site Assessment and Enhancement/Remediation</w:t>
      </w:r>
      <w:r w:rsidR="00571347" w:rsidRPr="00397A3E">
        <w:rPr>
          <w:i/>
          <w:iCs/>
          <w:noProof w:val="0"/>
          <w:lang w:val="en-AU"/>
        </w:rPr>
        <w:t>:</w:t>
      </w:r>
      <w:r w:rsidRPr="00397A3E">
        <w:rPr>
          <w:noProof w:val="0"/>
          <w:lang w:val="en-AU"/>
        </w:rPr>
        <w:t xml:space="preserve"> These models provide a means of understanding physical forces influencing the movement of contaminants for problem definition and remediation and can include QMRA health-based models to develop site-specific criteria or evaluate remediation.</w:t>
      </w:r>
    </w:p>
    <w:p w14:paraId="6B84F055" w14:textId="77777777" w:rsidR="00267636" w:rsidRPr="00397A3E" w:rsidRDefault="00267636" w:rsidP="00250E88">
      <w:pPr>
        <w:rPr>
          <w:noProof w:val="0"/>
        </w:rPr>
      </w:pPr>
    </w:p>
    <w:p w14:paraId="7FAAA7CA" w14:textId="3AE96938" w:rsidR="00762511" w:rsidRPr="00397A3E" w:rsidRDefault="00171C91" w:rsidP="00762511">
      <w:pPr>
        <w:rPr>
          <w:b/>
          <w:bCs/>
          <w:noProof w:val="0"/>
        </w:rPr>
      </w:pPr>
      <w:r w:rsidRPr="00397A3E">
        <w:rPr>
          <w:b/>
          <w:bCs/>
          <w:noProof w:val="0"/>
        </w:rPr>
        <w:t xml:space="preserve">G16: </w:t>
      </w:r>
      <w:r w:rsidRPr="00397A3E">
        <w:rPr>
          <w:b/>
          <w:bCs/>
          <w:noProof w:val="0"/>
        </w:rPr>
        <w:fldChar w:fldCharType="begin"/>
      </w:r>
      <w:r w:rsidR="00F84CE9" w:rsidRPr="00397A3E">
        <w:rPr>
          <w:b/>
          <w:bCs/>
          <w:noProof w:val="0"/>
        </w:rPr>
        <w:instrText xml:space="preserve"> ADDIN ZOTERO_ITEM CSL_CITATION {"citationID":"dqz6qKiO","properties":{"custom":"WHO (2018b)","formattedCitation":"WHO (2018b)","plainCitation":"WHO (2018b)","noteIndex":0},"citationItems":[{"id":16342,"uris":["http://zotero.org/users/148142/items/FAQ5QAH6"],"uri":["http://zotero.org/users/148142/items/FAQ5QAH6"],"itemData":{"id":16342,"type":"report","publisher":"World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schema":"https://github.com/citation-style-language/schema/raw/master/csl-citation.json"} </w:instrText>
      </w:r>
      <w:r w:rsidRPr="00397A3E">
        <w:rPr>
          <w:b/>
          <w:bCs/>
          <w:noProof w:val="0"/>
        </w:rPr>
        <w:fldChar w:fldCharType="separate"/>
      </w:r>
      <w:r w:rsidRPr="00397A3E">
        <w:rPr>
          <w:b/>
          <w:bCs/>
          <w:noProof w:val="0"/>
        </w:rPr>
        <w:t>WHO (2018)</w:t>
      </w:r>
      <w:r w:rsidRPr="00397A3E">
        <w:rPr>
          <w:b/>
          <w:bCs/>
          <w:noProof w:val="0"/>
        </w:rPr>
        <w:fldChar w:fldCharType="end"/>
      </w:r>
      <w:r w:rsidRPr="00397A3E">
        <w:rPr>
          <w:b/>
          <w:bCs/>
          <w:noProof w:val="0"/>
        </w:rPr>
        <w:t>. WHO recommendations on scientific, analytical and epidemiological developments relevant to the parameters for bathing water quality in the Bathing Water Directive (2006/7/EC).</w:t>
      </w:r>
    </w:p>
    <w:p w14:paraId="17F0B0D9" w14:textId="5793BD3A" w:rsidR="004F5B31" w:rsidRPr="00397A3E" w:rsidRDefault="00171C91" w:rsidP="006C0C5F">
      <w:pPr>
        <w:rPr>
          <w:noProof w:val="0"/>
        </w:rPr>
      </w:pPr>
      <w:r w:rsidRPr="00397A3E">
        <w:rPr>
          <w:noProof w:val="0"/>
        </w:rPr>
        <w:t>With respect to the secondary research question (2), u</w:t>
      </w:r>
      <w:r w:rsidR="001E61B1" w:rsidRPr="00397A3E">
        <w:rPr>
          <w:noProof w:val="0"/>
        </w:rPr>
        <w:t>nder the heading of "Wider/Emerging Issues", the WHO recommend</w:t>
      </w:r>
      <w:r w:rsidRPr="00397A3E">
        <w:rPr>
          <w:noProof w:val="0"/>
        </w:rPr>
        <w:t>ed</w:t>
      </w:r>
      <w:r w:rsidR="001E61B1" w:rsidRPr="00397A3E">
        <w:rPr>
          <w:noProof w:val="0"/>
        </w:rPr>
        <w:t>:</w:t>
      </w:r>
    </w:p>
    <w:p w14:paraId="02FEBF7D" w14:textId="1B0F2394" w:rsidR="004F5B31" w:rsidRPr="00397A3E" w:rsidRDefault="00171C91" w:rsidP="00764500">
      <w:pPr>
        <w:pStyle w:val="ListParagraph"/>
        <w:numPr>
          <w:ilvl w:val="0"/>
          <w:numId w:val="47"/>
        </w:numPr>
        <w:ind w:hanging="360"/>
        <w:contextualSpacing/>
        <w:rPr>
          <w:noProof w:val="0"/>
          <w:lang w:val="en-AU"/>
        </w:rPr>
      </w:pPr>
      <w:r w:rsidRPr="00397A3E">
        <w:rPr>
          <w:noProof w:val="0"/>
          <w:lang w:val="en-AU"/>
        </w:rPr>
        <w:t>At locations where swimmer’s itch is known to occur, this should be included in the bathing water profile and information provided to members of the public.</w:t>
      </w:r>
    </w:p>
    <w:p w14:paraId="260EF0E5" w14:textId="1F5327B3" w:rsidR="006C0C5F" w:rsidRPr="00397A3E" w:rsidRDefault="00171C91" w:rsidP="00764500">
      <w:pPr>
        <w:pStyle w:val="ListParagraph"/>
        <w:numPr>
          <w:ilvl w:val="0"/>
          <w:numId w:val="47"/>
        </w:numPr>
        <w:ind w:hanging="360"/>
        <w:contextualSpacing/>
        <w:rPr>
          <w:noProof w:val="0"/>
          <w:lang w:val="en-AU"/>
        </w:rPr>
      </w:pPr>
      <w:r w:rsidRPr="00397A3E">
        <w:rPr>
          <w:noProof w:val="0"/>
          <w:lang w:val="en-AU"/>
        </w:rPr>
        <w:t xml:space="preserve">Where cases of wound infection (e.g. caused by </w:t>
      </w:r>
      <w:r w:rsidRPr="00397A3E">
        <w:rPr>
          <w:i/>
          <w:iCs/>
          <w:noProof w:val="0"/>
          <w:lang w:val="en-AU"/>
        </w:rPr>
        <w:t>Vibrio</w:t>
      </w:r>
      <w:r w:rsidRPr="00397A3E">
        <w:rPr>
          <w:noProof w:val="0"/>
          <w:lang w:val="en-AU"/>
        </w:rPr>
        <w:t xml:space="preserve"> spp.) have resulted from a recreational water exposure, this information should be communicated in the bathing water profile. In addition, on-site information should be provided including advice on bather hygiene measures to minimise risk and actions to take if a wound is sustained while bathing.</w:t>
      </w:r>
    </w:p>
    <w:p w14:paraId="77AB3711" w14:textId="13D932E6" w:rsidR="009B14B1" w:rsidRPr="00397A3E" w:rsidRDefault="00171C91" w:rsidP="009B14B1">
      <w:pPr>
        <w:pStyle w:val="Caption"/>
        <w:rPr>
          <w:iCs/>
          <w:noProof w:val="0"/>
        </w:rPr>
      </w:pPr>
      <w:bookmarkStart w:id="378" w:name="_Ref77090505"/>
      <w:bookmarkStart w:id="379" w:name="_Toc106964870"/>
      <w:bookmarkEnd w:id="376"/>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6</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3</w:t>
      </w:r>
      <w:r w:rsidR="00F178D7">
        <w:rPr>
          <w:noProof w:val="0"/>
        </w:rPr>
        <w:fldChar w:fldCharType="end"/>
      </w:r>
      <w:bookmarkEnd w:id="378"/>
      <w:r w:rsidRPr="00397A3E">
        <w:rPr>
          <w:noProof w:val="0"/>
        </w:rPr>
        <w:t xml:space="preserve">. Summary of guideline review results for Secondary Research Question 2: </w:t>
      </w:r>
      <w:r w:rsidR="003E6CF2" w:rsidRPr="00397A3E">
        <w:rPr>
          <w:noProof w:val="0"/>
        </w:rPr>
        <w:t>What are the current practices to minimise or manage this/these risk/s (of microbial contamination from diffuse and point sources in recreational waters)?</w:t>
      </w:r>
      <w:bookmarkEnd w:id="379"/>
    </w:p>
    <w:tbl>
      <w:tblPr>
        <w:tblW w:w="0" w:type="auto"/>
        <w:tblBorders>
          <w:top w:val="single" w:sz="8" w:space="0" w:color="B5DDDC"/>
          <w:left w:val="single" w:sz="8" w:space="0" w:color="B5DDDC"/>
          <w:bottom w:val="single" w:sz="8" w:space="0" w:color="B5DDDC"/>
          <w:right w:val="single" w:sz="8" w:space="0" w:color="B5DDDC"/>
          <w:insideH w:val="single" w:sz="8" w:space="0" w:color="B5DDDC"/>
          <w:insideV w:val="single" w:sz="8" w:space="0" w:color="B5DDDC"/>
        </w:tblBorders>
        <w:tblCellMar>
          <w:left w:w="0" w:type="dxa"/>
          <w:right w:w="0" w:type="dxa"/>
        </w:tblCellMar>
        <w:tblLook w:val="04A0" w:firstRow="1" w:lastRow="0" w:firstColumn="1" w:lastColumn="0" w:noHBand="0" w:noVBand="1"/>
      </w:tblPr>
      <w:tblGrid>
        <w:gridCol w:w="1550"/>
        <w:gridCol w:w="6083"/>
      </w:tblGrid>
      <w:tr w:rsidR="00785848" w14:paraId="7F2F6F8D" w14:textId="77777777" w:rsidTr="00366144">
        <w:trPr>
          <w:tblHeader/>
        </w:trPr>
        <w:tc>
          <w:tcPr>
            <w:tcW w:w="1550" w:type="dxa"/>
            <w:shd w:val="clear" w:color="auto" w:fill="B5DDDC"/>
            <w:tcMar>
              <w:top w:w="80" w:type="dxa"/>
              <w:left w:w="80" w:type="dxa"/>
              <w:bottom w:w="80" w:type="dxa"/>
              <w:right w:w="80" w:type="dxa"/>
            </w:tcMar>
            <w:hideMark/>
          </w:tcPr>
          <w:p w14:paraId="65C434A0" w14:textId="77777777" w:rsidR="00F44BA9" w:rsidRPr="00397A3E" w:rsidRDefault="00171C91" w:rsidP="00F44BA9">
            <w:pPr>
              <w:pStyle w:val="TableText"/>
              <w:rPr>
                <w:b/>
                <w:bCs/>
                <w:noProof w:val="0"/>
                <w:color w:val="008000"/>
                <w:lang w:val="en-AU"/>
              </w:rPr>
            </w:pPr>
            <w:r w:rsidRPr="00397A3E">
              <w:rPr>
                <w:b/>
                <w:bCs/>
                <w:noProof w:val="0"/>
                <w:color w:val="008000"/>
                <w:lang w:val="en-AU"/>
              </w:rPr>
              <w:t>ID</w:t>
            </w:r>
          </w:p>
        </w:tc>
        <w:tc>
          <w:tcPr>
            <w:tcW w:w="6083" w:type="dxa"/>
            <w:shd w:val="clear" w:color="auto" w:fill="B5DDDC"/>
            <w:tcMar>
              <w:top w:w="80" w:type="dxa"/>
              <w:left w:w="80" w:type="dxa"/>
              <w:bottom w:w="80" w:type="dxa"/>
              <w:right w:w="80" w:type="dxa"/>
            </w:tcMar>
            <w:hideMark/>
          </w:tcPr>
          <w:p w14:paraId="3323CAFF" w14:textId="77777777" w:rsidR="00F44BA9" w:rsidRPr="00397A3E" w:rsidRDefault="00171C91" w:rsidP="00F44BA9">
            <w:pPr>
              <w:pStyle w:val="TableText"/>
              <w:rPr>
                <w:b/>
                <w:bCs/>
                <w:noProof w:val="0"/>
                <w:color w:val="008000"/>
                <w:lang w:val="en-AU"/>
              </w:rPr>
            </w:pPr>
            <w:r w:rsidRPr="00397A3E">
              <w:rPr>
                <w:b/>
                <w:bCs/>
                <w:noProof w:val="0"/>
                <w:color w:val="008000"/>
                <w:lang w:val="en-AU"/>
              </w:rPr>
              <w:t>Summary</w:t>
            </w:r>
          </w:p>
        </w:tc>
      </w:tr>
      <w:tr w:rsidR="00785848" w14:paraId="757A6FF1" w14:textId="77777777" w:rsidTr="00F44BA9">
        <w:tc>
          <w:tcPr>
            <w:tcW w:w="1550" w:type="dxa"/>
            <w:shd w:val="clear" w:color="auto" w:fill="D6EAEB"/>
            <w:tcMar>
              <w:top w:w="80" w:type="dxa"/>
              <w:left w:w="80" w:type="dxa"/>
              <w:bottom w:w="80" w:type="dxa"/>
              <w:right w:w="80" w:type="dxa"/>
            </w:tcMar>
            <w:vAlign w:val="center"/>
            <w:hideMark/>
          </w:tcPr>
          <w:p w14:paraId="59D76909" w14:textId="62674DD4" w:rsidR="00F44BA9" w:rsidRPr="00397A3E" w:rsidRDefault="00171C91" w:rsidP="00F44BA9">
            <w:pPr>
              <w:pStyle w:val="TableText"/>
              <w:rPr>
                <w:noProof w:val="0"/>
                <w:color w:val="000000"/>
                <w:lang w:val="en-AU"/>
              </w:rPr>
            </w:pPr>
            <w:r w:rsidRPr="00397A3E">
              <w:rPr>
                <w:rFonts w:cs="Calibri"/>
                <w:noProof w:val="0"/>
                <w:color w:val="000000"/>
                <w:szCs w:val="16"/>
                <w:lang w:val="en-AU"/>
              </w:rPr>
              <w:t xml:space="preserve">G3: </w:t>
            </w:r>
            <w:r w:rsidRPr="00397A3E">
              <w:rPr>
                <w:rFonts w:cs="Calibri"/>
                <w:noProof w:val="0"/>
                <w:color w:val="000000"/>
                <w:szCs w:val="16"/>
                <w:lang w:val="en-AU"/>
              </w:rPr>
              <w:fldChar w:fldCharType="begin"/>
            </w:r>
            <w:r w:rsidRPr="00397A3E">
              <w:rPr>
                <w:rFonts w:cs="Calibri"/>
                <w:noProof w:val="0"/>
                <w:color w:val="000000"/>
                <w:szCs w:val="16"/>
                <w:lang w:val="en-AU"/>
              </w:rPr>
              <w:instrText xml:space="preserve"> ADDIN ZOTERO_ITEM CSL_CITATION {"citationID":"wVhz4Oc7","properties":{"custom":"EPA Victoria (2021)","formattedCitation":"EPA Victoria (2021)","plainCitation":"EPA Victoria (2021)","noteIndex":0},"citationItems":[{"id":17578,"uris":["http://zotero.org/users/148142/items/HPITMMGC"],"uri":["http://zotero.org/users/148142/items/HPITMMGC"],"itemData":{"id":17578,"type":"report","publisher":"Environment Protection Authority, Victoria","title":"Quantitative Microbial Risk Assessment (QMRA) for assessing risks to recreational users in Port Phillip Bay. EPA Publication 2007, June 2021","author":[{"literal":"EPA Victoria"}],"issued":{"date-parts":[["2021"]]}}}],"schema":"https://github.com/citation-style-language/schema/raw/master/csl-citation.json"} </w:instrText>
            </w:r>
            <w:r w:rsidRPr="00397A3E">
              <w:rPr>
                <w:rFonts w:cs="Calibri"/>
                <w:noProof w:val="0"/>
                <w:color w:val="000000"/>
                <w:szCs w:val="16"/>
                <w:lang w:val="en-AU"/>
              </w:rPr>
              <w:fldChar w:fldCharType="separate"/>
            </w:r>
            <w:r w:rsidRPr="00397A3E">
              <w:rPr>
                <w:rFonts w:cs="Calibri"/>
                <w:noProof w:val="0"/>
                <w:lang w:val="en-AU"/>
              </w:rPr>
              <w:t>EPA Victoria (2021)</w:t>
            </w:r>
            <w:r w:rsidRPr="00397A3E">
              <w:rPr>
                <w:rFonts w:cs="Calibri"/>
                <w:noProof w:val="0"/>
                <w:color w:val="000000"/>
                <w:szCs w:val="16"/>
                <w:lang w:val="en-AU"/>
              </w:rPr>
              <w:fldChar w:fldCharType="end"/>
            </w:r>
          </w:p>
        </w:tc>
        <w:tc>
          <w:tcPr>
            <w:tcW w:w="6083" w:type="dxa"/>
            <w:tcMar>
              <w:top w:w="80" w:type="dxa"/>
              <w:left w:w="80" w:type="dxa"/>
              <w:bottom w:w="80" w:type="dxa"/>
              <w:right w:w="80" w:type="dxa"/>
            </w:tcMar>
            <w:hideMark/>
          </w:tcPr>
          <w:p w14:paraId="37E55F01" w14:textId="7DEA7DEE" w:rsidR="00F44BA9" w:rsidRPr="00397A3E" w:rsidRDefault="00171C91" w:rsidP="00F44BA9">
            <w:pPr>
              <w:pStyle w:val="TableText"/>
              <w:rPr>
                <w:noProof w:val="0"/>
                <w:color w:val="000000"/>
                <w:lang w:val="en-AU"/>
              </w:rPr>
            </w:pPr>
            <w:r w:rsidRPr="00397A3E">
              <w:rPr>
                <w:noProof w:val="0"/>
                <w:color w:val="000000"/>
                <w:lang w:val="en-AU"/>
              </w:rPr>
              <w:t xml:space="preserve">EPA Victoria's MST study of </w:t>
            </w:r>
            <w:r w:rsidR="005D6B66">
              <w:rPr>
                <w:noProof w:val="0"/>
                <w:color w:val="000000"/>
                <w:lang w:val="en-AU"/>
              </w:rPr>
              <w:t xml:space="preserve">three </w:t>
            </w:r>
            <w:r w:rsidRPr="00397A3E">
              <w:rPr>
                <w:noProof w:val="0"/>
                <w:color w:val="000000"/>
                <w:lang w:val="en-AU"/>
              </w:rPr>
              <w:t xml:space="preserve">Port Phillip Bay </w:t>
            </w:r>
            <w:r w:rsidR="005D6B66">
              <w:rPr>
                <w:noProof w:val="0"/>
                <w:color w:val="000000"/>
                <w:lang w:val="en-AU"/>
              </w:rPr>
              <w:t xml:space="preserve">beaches </w:t>
            </w:r>
            <w:r w:rsidRPr="00397A3E">
              <w:rPr>
                <w:noProof w:val="0"/>
                <w:color w:val="000000"/>
                <w:lang w:val="en-AU"/>
              </w:rPr>
              <w:t xml:space="preserve">showed that human faeces contributed on average of only 13% of the total faecal contamination and the main contributors to faecal contamination were of avian and canine origin which carry comparatively lower risks to human health. Human sources identified during the sanitary survey included bather shedding (release), toilet facilities, sewage treatment plant (STP) outfalls, STP by-passes, sewage overflows, sewage chokes, and boats.  To be effective, management responses would need to be tailored to each source type, thus the authors recommended that the origin of the contamination should be a primary factor in assessing risks of water-based recreation, since it can significantly impact the outcome of the risk assessment. </w:t>
            </w:r>
          </w:p>
        </w:tc>
      </w:tr>
      <w:tr w:rsidR="00785848" w14:paraId="1C54C774" w14:textId="77777777" w:rsidTr="00F44BA9">
        <w:tc>
          <w:tcPr>
            <w:tcW w:w="1550" w:type="dxa"/>
            <w:shd w:val="clear" w:color="auto" w:fill="D6EAEB"/>
            <w:tcMar>
              <w:top w:w="80" w:type="dxa"/>
              <w:left w:w="80" w:type="dxa"/>
              <w:bottom w:w="80" w:type="dxa"/>
              <w:right w:w="80" w:type="dxa"/>
            </w:tcMar>
            <w:vAlign w:val="center"/>
            <w:hideMark/>
          </w:tcPr>
          <w:p w14:paraId="752574CC" w14:textId="1785D34C" w:rsidR="00F44BA9" w:rsidRPr="00397A3E" w:rsidRDefault="00171C91" w:rsidP="00F44BA9">
            <w:pPr>
              <w:pStyle w:val="TableText"/>
              <w:rPr>
                <w:noProof w:val="0"/>
                <w:color w:val="000000"/>
                <w:lang w:val="en-AU"/>
              </w:rPr>
            </w:pPr>
            <w:r w:rsidRPr="00397A3E">
              <w:rPr>
                <w:rFonts w:cs="Calibri"/>
                <w:noProof w:val="0"/>
                <w:color w:val="000000"/>
                <w:szCs w:val="16"/>
                <w:lang w:val="en-AU"/>
              </w:rPr>
              <w:t xml:space="preserve">G4: </w:t>
            </w:r>
            <w:r w:rsidRPr="00397A3E">
              <w:rPr>
                <w:bCs/>
                <w:noProof w:val="0"/>
                <w:color w:val="000000"/>
                <w:szCs w:val="16"/>
                <w:lang w:val="en-AU"/>
              </w:rPr>
              <w:fldChar w:fldCharType="begin"/>
            </w:r>
            <w:r w:rsidRPr="00397A3E">
              <w:rPr>
                <w:bCs/>
                <w:noProof w:val="0"/>
                <w:color w:val="000000"/>
                <w:szCs w:val="16"/>
                <w:lang w:val="en-AU"/>
              </w:rPr>
              <w:instrText xml:space="preserve"> ADDIN ZOTERO_ITEM CSL_CITATION {"citationID":"noq9L3MW","properties":{"custom":"King et al. (2014)","formattedCitation":"King et al. (2014)","plainCitation":"King et al. (2014)","noteIndex":0},"citationItems":[{"id":15773,"uris":["http://zotero.org/users/148142/items/LATIBYWS"],"uri":["http://zotero.org/users/148142/items/LATIBYWS"],"itemData":{"id":15773,"type":"report","event-place":"United Kingdom","publisher":"Department of Environment, Food and Rural Affairs (DEFRA)","publisher-place":"United Kingdom","title":"The health risks of bathing in recreational waters. A rapid evidence assessment of water quality and gastrointestinal illness. Final report WT1530. A report of research carried out by RAND Europe, on behalf of the UK Department for Environment, Farming and Rural Affairs (DEFRA)","URL":"https://www.rand.org/content/dam/rand/pubs/research_reports/RR600/RR698/RAND_RR698.pdf","author":[{"family":"King","given":"Sarah"},{"family":"Exley","given":"Josephine"},{"family":"Winpenny","given":"Eleanor"},{"family":"Alves","given":"Lottie"},{"family":"Henham","given":"Marie-Louise"},{"family":"Larkin","given":"Jody"}],"issued":{"date-parts":[["2014"]]}}}],"schema":"https://github.com/citation-style-language/schema/raw/master/csl-citation.json"} </w:instrText>
            </w:r>
            <w:r w:rsidRPr="00397A3E">
              <w:rPr>
                <w:bCs/>
                <w:noProof w:val="0"/>
                <w:color w:val="000000"/>
                <w:szCs w:val="16"/>
                <w:lang w:val="en-AU"/>
              </w:rPr>
              <w:fldChar w:fldCharType="separate"/>
            </w:r>
            <w:r w:rsidRPr="00397A3E">
              <w:rPr>
                <w:rFonts w:cs="Calibri"/>
                <w:noProof w:val="0"/>
                <w:lang w:val="en-AU"/>
              </w:rPr>
              <w:t>King et al. (2014)</w:t>
            </w:r>
            <w:r w:rsidRPr="00397A3E">
              <w:rPr>
                <w:bCs/>
                <w:noProof w:val="0"/>
                <w:color w:val="000000"/>
                <w:szCs w:val="16"/>
                <w:lang w:val="en-AU"/>
              </w:rPr>
              <w:fldChar w:fldCharType="end"/>
            </w:r>
          </w:p>
        </w:tc>
        <w:tc>
          <w:tcPr>
            <w:tcW w:w="6083" w:type="dxa"/>
            <w:tcMar>
              <w:top w:w="80" w:type="dxa"/>
              <w:left w:w="80" w:type="dxa"/>
              <w:bottom w:w="80" w:type="dxa"/>
              <w:right w:w="80" w:type="dxa"/>
            </w:tcMar>
            <w:hideMark/>
          </w:tcPr>
          <w:p w14:paraId="38FEA6E1" w14:textId="31B81149" w:rsidR="00F44BA9" w:rsidRPr="00397A3E" w:rsidRDefault="00171C91" w:rsidP="00F44BA9">
            <w:pPr>
              <w:pStyle w:val="TableText"/>
              <w:rPr>
                <w:noProof w:val="0"/>
                <w:color w:val="000000"/>
                <w:lang w:val="en-AU"/>
              </w:rPr>
            </w:pPr>
            <w:r w:rsidRPr="00397A3E">
              <w:rPr>
                <w:noProof w:val="0"/>
                <w:color w:val="000000"/>
                <w:lang w:val="en-AU"/>
              </w:rPr>
              <w:t>The review contained no evidence to support a response to this question.</w:t>
            </w:r>
          </w:p>
        </w:tc>
      </w:tr>
      <w:tr w:rsidR="00785848" w14:paraId="43805846" w14:textId="77777777" w:rsidTr="00F44BA9">
        <w:tc>
          <w:tcPr>
            <w:tcW w:w="1550" w:type="dxa"/>
            <w:shd w:val="clear" w:color="auto" w:fill="D6EAEB"/>
            <w:tcMar>
              <w:top w:w="80" w:type="dxa"/>
              <w:left w:w="80" w:type="dxa"/>
              <w:bottom w:w="80" w:type="dxa"/>
              <w:right w:w="80" w:type="dxa"/>
            </w:tcMar>
            <w:vAlign w:val="center"/>
            <w:hideMark/>
          </w:tcPr>
          <w:p w14:paraId="7B746C14" w14:textId="39F14E32" w:rsidR="00F44BA9" w:rsidRPr="00397A3E" w:rsidRDefault="00171C91" w:rsidP="00F44BA9">
            <w:pPr>
              <w:pStyle w:val="TableText"/>
              <w:rPr>
                <w:noProof w:val="0"/>
                <w:color w:val="000000"/>
                <w:lang w:val="en-AU"/>
              </w:rPr>
            </w:pPr>
            <w:r w:rsidRPr="00397A3E">
              <w:rPr>
                <w:rFonts w:cs="Calibri"/>
                <w:noProof w:val="0"/>
                <w:color w:val="000000"/>
                <w:szCs w:val="16"/>
                <w:lang w:val="en-AU"/>
              </w:rPr>
              <w:t xml:space="preserve">G8: </w:t>
            </w:r>
            <w:r w:rsidRPr="00397A3E">
              <w:rPr>
                <w:bCs/>
                <w:noProof w:val="0"/>
                <w:color w:val="000000"/>
                <w:szCs w:val="16"/>
                <w:lang w:val="en-AU"/>
              </w:rPr>
              <w:fldChar w:fldCharType="begin"/>
            </w:r>
            <w:r w:rsidRPr="00397A3E">
              <w:rPr>
                <w:bCs/>
                <w:noProof w:val="0"/>
                <w:color w:val="000000"/>
                <w:szCs w:val="16"/>
                <w:lang w:val="en-AU"/>
              </w:rPr>
              <w:instrText xml:space="preserve"> ADDIN ZOTERO_ITEM CSL_CITATION {"citationID":"0UdFfL8j","properties":{"custom":"NHMRC (2008)","formattedCitation":"NHMRC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397A3E">
              <w:rPr>
                <w:bCs/>
                <w:noProof w:val="0"/>
                <w:color w:val="000000"/>
                <w:szCs w:val="16"/>
                <w:lang w:val="en-AU"/>
              </w:rPr>
              <w:fldChar w:fldCharType="separate"/>
            </w:r>
            <w:r w:rsidRPr="00397A3E">
              <w:rPr>
                <w:rFonts w:cs="Calibri"/>
                <w:noProof w:val="0"/>
                <w:lang w:val="en-AU"/>
              </w:rPr>
              <w:t>NHMRC (2008)</w:t>
            </w:r>
            <w:r w:rsidRPr="00397A3E">
              <w:rPr>
                <w:bCs/>
                <w:noProof w:val="0"/>
                <w:color w:val="000000"/>
                <w:szCs w:val="16"/>
                <w:lang w:val="en-AU"/>
              </w:rPr>
              <w:fldChar w:fldCharType="end"/>
            </w:r>
          </w:p>
        </w:tc>
        <w:tc>
          <w:tcPr>
            <w:tcW w:w="6083" w:type="dxa"/>
            <w:tcMar>
              <w:top w:w="80" w:type="dxa"/>
              <w:left w:w="80" w:type="dxa"/>
              <w:bottom w:w="80" w:type="dxa"/>
              <w:right w:w="80" w:type="dxa"/>
            </w:tcMar>
            <w:hideMark/>
          </w:tcPr>
          <w:p w14:paraId="3C632B49" w14:textId="362B2F08" w:rsidR="00F44BA9" w:rsidRPr="00397A3E" w:rsidRDefault="00171C91" w:rsidP="00F44BA9">
            <w:pPr>
              <w:pStyle w:val="TableText"/>
              <w:rPr>
                <w:noProof w:val="0"/>
                <w:color w:val="000000"/>
                <w:lang w:val="en-AU"/>
              </w:rPr>
            </w:pPr>
            <w:r w:rsidRPr="00397A3E">
              <w:rPr>
                <w:noProof w:val="0"/>
                <w:color w:val="000000"/>
                <w:lang w:val="en-AU"/>
              </w:rPr>
              <w:t>The review contained no evidence to support a response to this question.</w:t>
            </w:r>
          </w:p>
        </w:tc>
      </w:tr>
      <w:tr w:rsidR="00785848" w14:paraId="4EAA0EB2" w14:textId="77777777" w:rsidTr="00F44BA9">
        <w:tc>
          <w:tcPr>
            <w:tcW w:w="1550" w:type="dxa"/>
            <w:shd w:val="clear" w:color="auto" w:fill="D6EAEB"/>
            <w:tcMar>
              <w:top w:w="80" w:type="dxa"/>
              <w:left w:w="80" w:type="dxa"/>
              <w:bottom w:w="80" w:type="dxa"/>
              <w:right w:w="80" w:type="dxa"/>
            </w:tcMar>
            <w:vAlign w:val="center"/>
            <w:hideMark/>
          </w:tcPr>
          <w:p w14:paraId="2DC75D95" w14:textId="4E7323B0" w:rsidR="00F44BA9" w:rsidRPr="00397A3E" w:rsidRDefault="00171C91" w:rsidP="00F44BA9">
            <w:pPr>
              <w:pStyle w:val="TableText"/>
              <w:rPr>
                <w:noProof w:val="0"/>
                <w:color w:val="000000"/>
                <w:lang w:val="en-AU"/>
              </w:rPr>
            </w:pPr>
            <w:r w:rsidRPr="00397A3E">
              <w:rPr>
                <w:rFonts w:cs="Calibri"/>
                <w:noProof w:val="0"/>
                <w:color w:val="000000"/>
                <w:szCs w:val="16"/>
                <w:lang w:val="en-AU"/>
              </w:rPr>
              <w:t xml:space="preserve">G11: </w:t>
            </w:r>
            <w:r w:rsidRPr="00397A3E">
              <w:rPr>
                <w:bCs/>
                <w:noProof w:val="0"/>
                <w:color w:val="000000"/>
                <w:szCs w:val="16"/>
                <w:lang w:val="en-AU"/>
              </w:rPr>
              <w:fldChar w:fldCharType="begin"/>
            </w:r>
            <w:r w:rsidRPr="00397A3E">
              <w:rPr>
                <w:bCs/>
                <w:noProof w:val="0"/>
                <w:color w:val="000000"/>
                <w:szCs w:val="16"/>
                <w:lang w:val="en-AU"/>
              </w:rPr>
              <w:instrText xml:space="preserve"> ADDIN ZOTERO_ITEM CSL_CITATION {"citationID":"FGyX5kb8","properties":{"custom":"NSW DPIE (2020)","formattedCitation":"NSW DPIE (2020)","plainCitation":"NSW DPIE (2020)","noteIndex":0},"citationItems":[{"id":16395,"uris":["http://zotero.org/users/148142/items/22QWBZGS"],"uri":["http://zotero.org/users/148142/items/22QWBZGS"],"itemData":{"id":16395,"type":"report","page":"88","title":"Protocol for Assessment and Management of Microbial Risks in Recreational Waters. NSW Department of Planning, Industry &amp; Environment","URL":"https://www.environment.nsw.gov.au/research-and-publications/publications-search/protocol-for-assessment-and-management-of-microbial-risks-in-recreational-waters.","author":[{"literal":"NSW DPIE"}],"issued":{"date-parts":[["2020"]]}}}],"schema":"https://github.com/citation-style-language/schema/raw/master/csl-citation.json"} </w:instrText>
            </w:r>
            <w:r w:rsidRPr="00397A3E">
              <w:rPr>
                <w:bCs/>
                <w:noProof w:val="0"/>
                <w:color w:val="000000"/>
                <w:szCs w:val="16"/>
                <w:lang w:val="en-AU"/>
              </w:rPr>
              <w:fldChar w:fldCharType="separate"/>
            </w:r>
            <w:r w:rsidRPr="00397A3E">
              <w:rPr>
                <w:rFonts w:cs="Calibri"/>
                <w:noProof w:val="0"/>
                <w:lang w:val="en-AU"/>
              </w:rPr>
              <w:t>NSW DPIE (2020)</w:t>
            </w:r>
            <w:r w:rsidRPr="00397A3E">
              <w:rPr>
                <w:bCs/>
                <w:noProof w:val="0"/>
                <w:color w:val="000000"/>
                <w:szCs w:val="16"/>
                <w:lang w:val="en-AU"/>
              </w:rPr>
              <w:fldChar w:fldCharType="end"/>
            </w:r>
          </w:p>
        </w:tc>
        <w:tc>
          <w:tcPr>
            <w:tcW w:w="6083" w:type="dxa"/>
            <w:tcMar>
              <w:top w:w="80" w:type="dxa"/>
              <w:left w:w="80" w:type="dxa"/>
              <w:bottom w:w="80" w:type="dxa"/>
              <w:right w:w="80" w:type="dxa"/>
            </w:tcMar>
            <w:hideMark/>
          </w:tcPr>
          <w:p w14:paraId="545DE309" w14:textId="303A87F4" w:rsidR="00F44BA9" w:rsidRPr="00397A3E" w:rsidRDefault="00171C91" w:rsidP="00F44BA9">
            <w:pPr>
              <w:pStyle w:val="TableText"/>
              <w:rPr>
                <w:noProof w:val="0"/>
                <w:color w:val="000000"/>
                <w:lang w:val="en-AU"/>
              </w:rPr>
            </w:pPr>
            <w:r w:rsidRPr="00397A3E">
              <w:rPr>
                <w:noProof w:val="0"/>
                <w:color w:val="000000"/>
                <w:lang w:val="en-AU"/>
              </w:rPr>
              <w:t xml:space="preserve">Suggested risk management recommendations are helpfully classified </w:t>
            </w:r>
            <w:r w:rsidR="00B93B2E">
              <w:rPr>
                <w:noProof w:val="0"/>
                <w:color w:val="000000"/>
                <w:lang w:val="en-AU"/>
              </w:rPr>
              <w:t xml:space="preserve">by NSW DPIE (2020) </w:t>
            </w:r>
            <w:r w:rsidRPr="00397A3E">
              <w:rPr>
                <w:noProof w:val="0"/>
                <w:color w:val="000000"/>
                <w:lang w:val="en-AU"/>
              </w:rPr>
              <w:t>as follows:</w:t>
            </w:r>
          </w:p>
          <w:p w14:paraId="30DBBC2B" w14:textId="77777777" w:rsidR="00F44BA9" w:rsidRPr="00397A3E" w:rsidRDefault="00171C91" w:rsidP="00764500">
            <w:pPr>
              <w:pStyle w:val="TableText"/>
              <w:numPr>
                <w:ilvl w:val="0"/>
                <w:numId w:val="44"/>
              </w:numPr>
              <w:ind w:left="483" w:hanging="142"/>
              <w:rPr>
                <w:i/>
                <w:iCs/>
                <w:noProof w:val="0"/>
                <w:lang w:val="en-AU"/>
              </w:rPr>
            </w:pPr>
            <w:r w:rsidRPr="00397A3E">
              <w:rPr>
                <w:i/>
                <w:iCs/>
                <w:noProof w:val="0"/>
                <w:lang w:val="en-AU"/>
              </w:rPr>
              <w:t>Actions to reduce likelihood</w:t>
            </w:r>
          </w:p>
          <w:p w14:paraId="78CE86AC" w14:textId="77777777" w:rsidR="00F44BA9" w:rsidRPr="00397A3E" w:rsidRDefault="00171C91" w:rsidP="00764500">
            <w:pPr>
              <w:pStyle w:val="TableText"/>
              <w:numPr>
                <w:ilvl w:val="1"/>
                <w:numId w:val="44"/>
              </w:numPr>
              <w:ind w:left="709" w:hanging="142"/>
              <w:rPr>
                <w:noProof w:val="0"/>
                <w:lang w:val="en-AU"/>
              </w:rPr>
            </w:pPr>
            <w:r w:rsidRPr="00397A3E">
              <w:rPr>
                <w:noProof w:val="0"/>
                <w:lang w:val="en-AU"/>
              </w:rPr>
              <w:t>Pollution abatement sewage and stormwater controls</w:t>
            </w:r>
          </w:p>
          <w:p w14:paraId="26117883" w14:textId="77777777" w:rsidR="00F44BA9" w:rsidRPr="00397A3E" w:rsidRDefault="00171C91" w:rsidP="00764500">
            <w:pPr>
              <w:pStyle w:val="TableText"/>
              <w:numPr>
                <w:ilvl w:val="1"/>
                <w:numId w:val="44"/>
              </w:numPr>
              <w:ind w:left="709" w:hanging="142"/>
              <w:rPr>
                <w:noProof w:val="0"/>
                <w:lang w:val="en-AU"/>
              </w:rPr>
            </w:pPr>
            <w:r w:rsidRPr="00397A3E">
              <w:rPr>
                <w:noProof w:val="0"/>
                <w:lang w:val="en-AU"/>
              </w:rPr>
              <w:t>Use of microbial source tracking (MST) to assist in identifying sources and thus appropriate source controls</w:t>
            </w:r>
          </w:p>
          <w:p w14:paraId="0748EF2B" w14:textId="77777777" w:rsidR="00F44BA9" w:rsidRPr="00397A3E" w:rsidRDefault="00171C91" w:rsidP="00764500">
            <w:pPr>
              <w:pStyle w:val="TableText"/>
              <w:numPr>
                <w:ilvl w:val="0"/>
                <w:numId w:val="44"/>
              </w:numPr>
              <w:ind w:left="483" w:hanging="142"/>
              <w:rPr>
                <w:i/>
                <w:iCs/>
                <w:noProof w:val="0"/>
                <w:lang w:val="en-AU"/>
              </w:rPr>
            </w:pPr>
            <w:r w:rsidRPr="00397A3E">
              <w:rPr>
                <w:i/>
                <w:iCs/>
                <w:noProof w:val="0"/>
                <w:lang w:val="en-AU"/>
              </w:rPr>
              <w:t>Actions to reduce consequence</w:t>
            </w:r>
          </w:p>
          <w:p w14:paraId="140BF33B" w14:textId="77777777" w:rsidR="00F44BA9" w:rsidRPr="00397A3E" w:rsidRDefault="00171C91" w:rsidP="00764500">
            <w:pPr>
              <w:pStyle w:val="TableText"/>
              <w:numPr>
                <w:ilvl w:val="1"/>
                <w:numId w:val="44"/>
              </w:numPr>
              <w:ind w:left="709" w:hanging="142"/>
              <w:rPr>
                <w:noProof w:val="0"/>
                <w:lang w:val="en-AU"/>
              </w:rPr>
            </w:pPr>
            <w:r w:rsidRPr="00397A3E">
              <w:rPr>
                <w:noProof w:val="0"/>
                <w:lang w:val="en-AU"/>
              </w:rPr>
              <w:t>Beach closures</w:t>
            </w:r>
          </w:p>
          <w:p w14:paraId="297ED129" w14:textId="77777777" w:rsidR="00F44BA9" w:rsidRPr="00397A3E" w:rsidRDefault="00171C91" w:rsidP="00764500">
            <w:pPr>
              <w:pStyle w:val="TableText"/>
              <w:numPr>
                <w:ilvl w:val="1"/>
                <w:numId w:val="44"/>
              </w:numPr>
              <w:ind w:left="709" w:hanging="142"/>
              <w:rPr>
                <w:noProof w:val="0"/>
                <w:lang w:val="en-AU"/>
              </w:rPr>
            </w:pPr>
            <w:r w:rsidRPr="00397A3E">
              <w:rPr>
                <w:noProof w:val="0"/>
                <w:lang w:val="en-AU"/>
              </w:rPr>
              <w:t>Informed personal choice based on media advisories</w:t>
            </w:r>
          </w:p>
          <w:p w14:paraId="012AEA9D" w14:textId="77777777" w:rsidR="00F44BA9" w:rsidRPr="00397A3E" w:rsidRDefault="00171C91" w:rsidP="00764500">
            <w:pPr>
              <w:pStyle w:val="TableText"/>
              <w:numPr>
                <w:ilvl w:val="0"/>
                <w:numId w:val="44"/>
              </w:numPr>
              <w:ind w:left="483" w:hanging="142"/>
              <w:rPr>
                <w:i/>
                <w:iCs/>
                <w:noProof w:val="0"/>
                <w:lang w:val="en-AU"/>
              </w:rPr>
            </w:pPr>
            <w:r w:rsidRPr="00397A3E">
              <w:rPr>
                <w:i/>
                <w:iCs/>
                <w:noProof w:val="0"/>
                <w:lang w:val="en-AU"/>
              </w:rPr>
              <w:t>Triggers for management actions</w:t>
            </w:r>
          </w:p>
          <w:p w14:paraId="66773EE8" w14:textId="45D13295" w:rsidR="00F44BA9" w:rsidRPr="00397A3E" w:rsidRDefault="00171C91" w:rsidP="00764500">
            <w:pPr>
              <w:pStyle w:val="TableText"/>
              <w:numPr>
                <w:ilvl w:val="1"/>
                <w:numId w:val="44"/>
              </w:numPr>
              <w:ind w:left="709" w:hanging="142"/>
              <w:rPr>
                <w:noProof w:val="0"/>
                <w:lang w:val="en-AU"/>
              </w:rPr>
            </w:pPr>
            <w:r w:rsidRPr="00397A3E">
              <w:rPr>
                <w:noProof w:val="0"/>
                <w:lang w:val="en-AU"/>
              </w:rPr>
              <w:t>Water quality monitoring (based on enterococci)</w:t>
            </w:r>
          </w:p>
          <w:p w14:paraId="07B53B21" w14:textId="567B4382" w:rsidR="00F44BA9" w:rsidRPr="00397A3E" w:rsidRDefault="00171C91" w:rsidP="00764500">
            <w:pPr>
              <w:pStyle w:val="TableText"/>
              <w:numPr>
                <w:ilvl w:val="1"/>
                <w:numId w:val="44"/>
              </w:numPr>
              <w:ind w:left="709" w:hanging="142"/>
              <w:rPr>
                <w:rFonts w:asciiTheme="minorHAnsi" w:hAnsiTheme="minorHAnsi" w:cstheme="minorHAnsi"/>
                <w:noProof w:val="0"/>
                <w:color w:val="000000"/>
                <w:szCs w:val="16"/>
                <w:lang w:val="en-AU"/>
              </w:rPr>
            </w:pPr>
            <w:r w:rsidRPr="00397A3E">
              <w:rPr>
                <w:noProof w:val="0"/>
                <w:lang w:val="en-AU"/>
              </w:rPr>
              <w:t>Rapid responses to spill incidents (e.g. sewer overflows)</w:t>
            </w:r>
          </w:p>
        </w:tc>
      </w:tr>
      <w:tr w:rsidR="00785848" w14:paraId="03945A0D" w14:textId="77777777" w:rsidTr="00F44BA9">
        <w:tc>
          <w:tcPr>
            <w:tcW w:w="1550" w:type="dxa"/>
            <w:shd w:val="clear" w:color="auto" w:fill="D6EAEB"/>
            <w:tcMar>
              <w:top w:w="80" w:type="dxa"/>
              <w:left w:w="80" w:type="dxa"/>
              <w:bottom w:w="80" w:type="dxa"/>
              <w:right w:w="80" w:type="dxa"/>
            </w:tcMar>
            <w:vAlign w:val="center"/>
            <w:hideMark/>
          </w:tcPr>
          <w:p w14:paraId="6D0294DC" w14:textId="03683996" w:rsidR="00F44BA9" w:rsidRPr="00397A3E" w:rsidRDefault="00171C91" w:rsidP="00F44BA9">
            <w:pPr>
              <w:pStyle w:val="TableText"/>
              <w:rPr>
                <w:noProof w:val="0"/>
                <w:color w:val="000000"/>
                <w:lang w:val="en-AU"/>
              </w:rPr>
            </w:pPr>
            <w:r w:rsidRPr="00397A3E">
              <w:rPr>
                <w:rFonts w:cs="Calibri"/>
                <w:noProof w:val="0"/>
                <w:color w:val="000000"/>
                <w:szCs w:val="16"/>
                <w:lang w:val="en-AU"/>
              </w:rPr>
              <w:t xml:space="preserve">G13: </w:t>
            </w:r>
            <w:r w:rsidRPr="00397A3E">
              <w:rPr>
                <w:bCs/>
                <w:noProof w:val="0"/>
                <w:color w:val="000000"/>
                <w:szCs w:val="16"/>
                <w:lang w:val="en-AU"/>
              </w:rPr>
              <w:fldChar w:fldCharType="begin"/>
            </w:r>
            <w:r w:rsidRPr="00397A3E">
              <w:rPr>
                <w:bCs/>
                <w:noProof w:val="0"/>
                <w:color w:val="000000"/>
                <w:szCs w:val="16"/>
                <w:lang w:val="en-AU"/>
              </w:rPr>
              <w:instrText xml:space="preserve"> ADDIN ZOTERO_ITEM CSL_CITATION {"citationID":"b30fdKe9","properties":{"custom":"US EPA (2017)","formattedCitation":"US EPA (2017)","plainCitation":"US EPA (2017)","noteIndex":0},"citationItems":[{"id":15763,"uris":["http://zotero.org/users/148142/items/BR87QUJ3"],"uri":["http://zotero.org/users/148142/items/BR87QUJ3"],"itemData":{"id":15763,"type":"report","event-place":"Washington, DC, United States","number":"Office of Water 823-R-18-001","publisher":"US Environmental Protection Agency, Office of Water, Office of Science and Technology","publisher-place":"Washington, DC, United States","title":"2017 Five-Year Review of the 2012 Recreational Water Quality Criteria","URL":"https://www.epa.gov/sites/production/files/2018-05/documents/2017-5year-review-rwqc.pdf","author":[{"literal":"US EPA"}],"issued":{"date-parts":[["2017"]]}}}],"schema":"https://github.com/citation-style-language/schema/raw/master/csl-citation.json"} </w:instrText>
            </w:r>
            <w:r w:rsidRPr="00397A3E">
              <w:rPr>
                <w:bCs/>
                <w:noProof w:val="0"/>
                <w:color w:val="000000"/>
                <w:szCs w:val="16"/>
                <w:lang w:val="en-AU"/>
              </w:rPr>
              <w:fldChar w:fldCharType="separate"/>
            </w:r>
            <w:r w:rsidRPr="00397A3E">
              <w:rPr>
                <w:rFonts w:cs="Calibri"/>
                <w:noProof w:val="0"/>
                <w:lang w:val="en-AU"/>
              </w:rPr>
              <w:t>US EPA (2017)</w:t>
            </w:r>
            <w:r w:rsidRPr="00397A3E">
              <w:rPr>
                <w:bCs/>
                <w:noProof w:val="0"/>
                <w:color w:val="000000"/>
                <w:szCs w:val="16"/>
                <w:lang w:val="en-AU"/>
              </w:rPr>
              <w:fldChar w:fldCharType="end"/>
            </w:r>
          </w:p>
        </w:tc>
        <w:tc>
          <w:tcPr>
            <w:tcW w:w="6083" w:type="dxa"/>
            <w:tcMar>
              <w:top w:w="80" w:type="dxa"/>
              <w:left w:w="80" w:type="dxa"/>
              <w:bottom w:w="80" w:type="dxa"/>
              <w:right w:w="80" w:type="dxa"/>
            </w:tcMar>
            <w:hideMark/>
          </w:tcPr>
          <w:p w14:paraId="17159FBB" w14:textId="36A22A4E" w:rsidR="00F44BA9" w:rsidRPr="00397A3E" w:rsidRDefault="00AC54D2" w:rsidP="000744C3">
            <w:pPr>
              <w:pStyle w:val="TableText"/>
              <w:rPr>
                <w:noProof w:val="0"/>
                <w:lang w:val="en-AU"/>
              </w:rPr>
            </w:pPr>
            <w:r>
              <w:rPr>
                <w:noProof w:val="0"/>
                <w:lang w:val="en-AU"/>
              </w:rPr>
              <w:t>Findings from the US EPA review that are</w:t>
            </w:r>
            <w:r w:rsidRPr="00397A3E">
              <w:rPr>
                <w:noProof w:val="0"/>
                <w:lang w:val="en-AU"/>
              </w:rPr>
              <w:t xml:space="preserve"> </w:t>
            </w:r>
            <w:r w:rsidR="00171C91" w:rsidRPr="00397A3E">
              <w:rPr>
                <w:noProof w:val="0"/>
                <w:lang w:val="en-AU"/>
              </w:rPr>
              <w:t>relevant to secondary research question 2 were:</w:t>
            </w:r>
          </w:p>
          <w:p w14:paraId="339D7A50" w14:textId="77777777" w:rsidR="00F44BA9" w:rsidRPr="00397A3E" w:rsidRDefault="00171C91" w:rsidP="00764500">
            <w:pPr>
              <w:pStyle w:val="TableText"/>
              <w:numPr>
                <w:ilvl w:val="0"/>
                <w:numId w:val="44"/>
              </w:numPr>
              <w:ind w:left="483" w:hanging="142"/>
              <w:rPr>
                <w:noProof w:val="0"/>
                <w:lang w:val="en-AU"/>
              </w:rPr>
            </w:pPr>
            <w:r w:rsidRPr="00397A3E">
              <w:rPr>
                <w:i/>
                <w:iCs/>
                <w:noProof w:val="0"/>
                <w:lang w:val="en-AU"/>
              </w:rPr>
              <w:t>Further research on accurate and reliable MST technologies</w:t>
            </w:r>
            <w:r w:rsidRPr="00397A3E">
              <w:rPr>
                <w:noProof w:val="0"/>
                <w:lang w:val="en-AU"/>
              </w:rPr>
              <w:t xml:space="preserve"> should be undertaken to markedly improve future water quality management by:</w:t>
            </w:r>
          </w:p>
          <w:p w14:paraId="3B6A1D70" w14:textId="77777777" w:rsidR="00F44BA9" w:rsidRPr="00397A3E" w:rsidRDefault="00171C91" w:rsidP="00764500">
            <w:pPr>
              <w:pStyle w:val="TableText"/>
              <w:numPr>
                <w:ilvl w:val="1"/>
                <w:numId w:val="44"/>
              </w:numPr>
              <w:ind w:left="709" w:hanging="142"/>
              <w:rPr>
                <w:noProof w:val="0"/>
                <w:lang w:val="en-AU"/>
              </w:rPr>
            </w:pPr>
            <w:r w:rsidRPr="00397A3E">
              <w:rPr>
                <w:noProof w:val="0"/>
                <w:lang w:val="en-AU"/>
              </w:rPr>
              <w:t xml:space="preserve">Fostering development of alternative site-specific criteria based on local pollution sources and </w:t>
            </w:r>
          </w:p>
          <w:p w14:paraId="70F82B60" w14:textId="77777777" w:rsidR="00F44BA9" w:rsidRPr="00397A3E" w:rsidRDefault="00171C91" w:rsidP="00764500">
            <w:pPr>
              <w:pStyle w:val="TableText"/>
              <w:numPr>
                <w:ilvl w:val="1"/>
                <w:numId w:val="44"/>
              </w:numPr>
              <w:ind w:left="709" w:hanging="142"/>
              <w:rPr>
                <w:noProof w:val="0"/>
                <w:lang w:val="en-AU"/>
              </w:rPr>
            </w:pPr>
            <w:r w:rsidRPr="00397A3E">
              <w:rPr>
                <w:noProof w:val="0"/>
                <w:lang w:val="en-AU"/>
              </w:rPr>
              <w:t>Assisting strategic remediation planning to focus on faecal pollution from human sources.</w:t>
            </w:r>
          </w:p>
          <w:p w14:paraId="7BA4EBF8" w14:textId="77777777" w:rsidR="00F44BA9" w:rsidRPr="00397A3E" w:rsidRDefault="00171C91" w:rsidP="00764500">
            <w:pPr>
              <w:pStyle w:val="TableText"/>
              <w:numPr>
                <w:ilvl w:val="0"/>
                <w:numId w:val="44"/>
              </w:numPr>
              <w:ind w:left="483" w:hanging="142"/>
              <w:rPr>
                <w:noProof w:val="0"/>
                <w:lang w:val="en-AU"/>
              </w:rPr>
            </w:pPr>
            <w:r w:rsidRPr="00397A3E">
              <w:rPr>
                <w:i/>
                <w:iCs/>
                <w:noProof w:val="0"/>
                <w:lang w:val="en-AU"/>
              </w:rPr>
              <w:t>Sanitary Surveys</w:t>
            </w:r>
            <w:r w:rsidRPr="00397A3E">
              <w:rPr>
                <w:noProof w:val="0"/>
                <w:lang w:val="en-AU"/>
              </w:rPr>
              <w:t xml:space="preserve"> should continue to serve as an important tool for informing site remediation, characterizing waters for QMRA and site-specific criteria development, and can be linked with integrated environmental modelling.</w:t>
            </w:r>
          </w:p>
          <w:p w14:paraId="161F5F27" w14:textId="77777777" w:rsidR="005A513C" w:rsidRPr="00397A3E" w:rsidRDefault="00171C91" w:rsidP="00764500">
            <w:pPr>
              <w:pStyle w:val="TableText"/>
              <w:numPr>
                <w:ilvl w:val="0"/>
                <w:numId w:val="44"/>
              </w:numPr>
              <w:ind w:left="483" w:hanging="142"/>
              <w:rPr>
                <w:noProof w:val="0"/>
                <w:lang w:val="en-AU"/>
              </w:rPr>
            </w:pPr>
            <w:r w:rsidRPr="00397A3E">
              <w:rPr>
                <w:noProof w:val="0"/>
                <w:lang w:val="en-AU"/>
              </w:rPr>
              <w:t>Predictive/Statistical Models offer a cheaper alternative for same-day notification and resulting public health protection than other rapid methods.</w:t>
            </w:r>
          </w:p>
          <w:p w14:paraId="1AB3ECE9" w14:textId="446930B6" w:rsidR="00F44BA9" w:rsidRPr="00397A3E" w:rsidRDefault="00171C91" w:rsidP="00764500">
            <w:pPr>
              <w:pStyle w:val="TableText"/>
              <w:numPr>
                <w:ilvl w:val="0"/>
                <w:numId w:val="44"/>
              </w:numPr>
              <w:ind w:left="483" w:hanging="142"/>
              <w:rPr>
                <w:noProof w:val="0"/>
                <w:lang w:val="en-AU"/>
              </w:rPr>
            </w:pPr>
            <w:r w:rsidRPr="00397A3E">
              <w:rPr>
                <w:i/>
                <w:iCs/>
                <w:noProof w:val="0"/>
                <w:lang w:val="en-AU"/>
              </w:rPr>
              <w:t xml:space="preserve">Deterministic Process Models for Recreational Beach Site Assessment and Enhancement/Remediation </w:t>
            </w:r>
            <w:r w:rsidRPr="00397A3E">
              <w:rPr>
                <w:noProof w:val="0"/>
                <w:lang w:val="en-AU"/>
              </w:rPr>
              <w:t xml:space="preserve">can include QMRA health-based models and can assist </w:t>
            </w:r>
            <w:bookmarkStart w:id="380" w:name="_Hlk93939161"/>
            <w:r w:rsidRPr="00397A3E">
              <w:rPr>
                <w:noProof w:val="0"/>
                <w:lang w:val="en-AU"/>
              </w:rPr>
              <w:t>understanding of contaminant transport and development of support site-specific criteria and/or remediation options</w:t>
            </w:r>
            <w:bookmarkEnd w:id="380"/>
            <w:r w:rsidRPr="00397A3E">
              <w:rPr>
                <w:noProof w:val="0"/>
                <w:lang w:val="en-AU"/>
              </w:rPr>
              <w:t>.</w:t>
            </w:r>
          </w:p>
        </w:tc>
      </w:tr>
      <w:tr w:rsidR="00785848" w14:paraId="28223CE3" w14:textId="77777777" w:rsidTr="00F44BA9">
        <w:tc>
          <w:tcPr>
            <w:tcW w:w="1550" w:type="dxa"/>
            <w:shd w:val="clear" w:color="auto" w:fill="D6EAEB"/>
            <w:tcMar>
              <w:top w:w="80" w:type="dxa"/>
              <w:left w:w="80" w:type="dxa"/>
              <w:bottom w:w="80" w:type="dxa"/>
              <w:right w:w="80" w:type="dxa"/>
            </w:tcMar>
            <w:vAlign w:val="center"/>
            <w:hideMark/>
          </w:tcPr>
          <w:p w14:paraId="6D4F5490" w14:textId="2776638F" w:rsidR="00F44BA9" w:rsidRPr="00397A3E" w:rsidRDefault="00171C91" w:rsidP="00F44BA9">
            <w:pPr>
              <w:pStyle w:val="TableText"/>
              <w:rPr>
                <w:noProof w:val="0"/>
                <w:color w:val="000000"/>
                <w:lang w:val="en-AU"/>
              </w:rPr>
            </w:pPr>
            <w:r w:rsidRPr="00397A3E">
              <w:rPr>
                <w:rFonts w:cs="Calibri"/>
                <w:noProof w:val="0"/>
                <w:color w:val="000000"/>
                <w:szCs w:val="16"/>
                <w:lang w:val="en-AU"/>
              </w:rPr>
              <w:t xml:space="preserve">G16: </w:t>
            </w:r>
            <w:r w:rsidRPr="00397A3E">
              <w:rPr>
                <w:bCs/>
                <w:noProof w:val="0"/>
                <w:color w:val="000000"/>
                <w:szCs w:val="16"/>
                <w:lang w:val="en-AU"/>
              </w:rPr>
              <w:fldChar w:fldCharType="begin"/>
            </w:r>
            <w:r w:rsidRPr="00397A3E">
              <w:rPr>
                <w:bCs/>
                <w:noProof w:val="0"/>
                <w:color w:val="000000"/>
                <w:szCs w:val="16"/>
                <w:lang w:val="en-AU"/>
              </w:rPr>
              <w:instrText xml:space="preserve"> ADDIN ZOTERO_ITEM CSL_CITATION {"citationID":"fDRwxuds","properties":{"custom":"WHO (2018b)","formattedCitation":"WHO (2018b)","plainCitation":"WHO (2018b)","noteIndex":0},"citationItems":[{"id":16342,"uris":["http://zotero.org/users/148142/items/FAQ5QAH6"],"uri":["http://zotero.org/users/148142/items/FAQ5QAH6"],"itemData":{"id":16342,"type":"report","publisher":"World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schema":"https://github.com/citation-style-language/schema/raw/master/csl-citation.json"} </w:instrText>
            </w:r>
            <w:r w:rsidRPr="00397A3E">
              <w:rPr>
                <w:bCs/>
                <w:noProof w:val="0"/>
                <w:color w:val="000000"/>
                <w:szCs w:val="16"/>
                <w:lang w:val="en-AU"/>
              </w:rPr>
              <w:fldChar w:fldCharType="separate"/>
            </w:r>
            <w:r w:rsidRPr="00397A3E">
              <w:rPr>
                <w:rFonts w:cs="Calibri"/>
                <w:noProof w:val="0"/>
                <w:lang w:val="en-AU"/>
              </w:rPr>
              <w:t>WHO (2018)</w:t>
            </w:r>
            <w:r w:rsidRPr="00397A3E">
              <w:rPr>
                <w:bCs/>
                <w:noProof w:val="0"/>
                <w:color w:val="000000"/>
                <w:szCs w:val="16"/>
                <w:lang w:val="en-AU"/>
              </w:rPr>
              <w:fldChar w:fldCharType="end"/>
            </w:r>
          </w:p>
        </w:tc>
        <w:tc>
          <w:tcPr>
            <w:tcW w:w="6083" w:type="dxa"/>
            <w:tcMar>
              <w:top w:w="80" w:type="dxa"/>
              <w:left w:w="80" w:type="dxa"/>
              <w:bottom w:w="80" w:type="dxa"/>
              <w:right w:w="80" w:type="dxa"/>
            </w:tcMar>
            <w:hideMark/>
          </w:tcPr>
          <w:p w14:paraId="176C0479" w14:textId="3A90D657" w:rsidR="00F44BA9" w:rsidRPr="00397A3E" w:rsidRDefault="00171C91" w:rsidP="00F44BA9">
            <w:pPr>
              <w:pStyle w:val="TableText"/>
              <w:rPr>
                <w:noProof w:val="0"/>
                <w:color w:val="000000"/>
                <w:lang w:val="en-AU"/>
              </w:rPr>
            </w:pPr>
            <w:bookmarkStart w:id="381" w:name="_Hlk94108351"/>
            <w:r w:rsidRPr="00397A3E">
              <w:rPr>
                <w:noProof w:val="0"/>
                <w:color w:val="000000"/>
                <w:lang w:val="en-AU"/>
              </w:rPr>
              <w:t xml:space="preserve">With respect to the secondary research question (2) WHO recommended that information on the following </w:t>
            </w:r>
            <w:r w:rsidR="00CA52F1" w:rsidRPr="00397A3E">
              <w:rPr>
                <w:noProof w:val="0"/>
                <w:color w:val="000000"/>
                <w:lang w:val="en-AU"/>
              </w:rPr>
              <w:t xml:space="preserve">dermal </w:t>
            </w:r>
            <w:r w:rsidRPr="00397A3E">
              <w:rPr>
                <w:noProof w:val="0"/>
                <w:color w:val="000000"/>
                <w:lang w:val="en-AU"/>
              </w:rPr>
              <w:t>afflictions resulting from recreational water exposure should be conveyed to the public in the bathing water profile at sites they are known to occur:</w:t>
            </w:r>
          </w:p>
          <w:p w14:paraId="25F46442" w14:textId="77777777" w:rsidR="00F44BA9" w:rsidRPr="00397A3E" w:rsidRDefault="00171C91" w:rsidP="00764500">
            <w:pPr>
              <w:pStyle w:val="TableText"/>
              <w:numPr>
                <w:ilvl w:val="0"/>
                <w:numId w:val="46"/>
              </w:numPr>
              <w:rPr>
                <w:noProof w:val="0"/>
                <w:color w:val="000000"/>
                <w:lang w:val="en-AU"/>
              </w:rPr>
            </w:pPr>
            <w:r w:rsidRPr="00397A3E">
              <w:rPr>
                <w:noProof w:val="0"/>
                <w:color w:val="000000"/>
                <w:lang w:val="en-AU"/>
              </w:rPr>
              <w:t>Swimmer's itch;</w:t>
            </w:r>
          </w:p>
          <w:p w14:paraId="2BB70AB3" w14:textId="7E678144" w:rsidR="00F44BA9" w:rsidRPr="00397A3E" w:rsidRDefault="00171C91" w:rsidP="00764500">
            <w:pPr>
              <w:pStyle w:val="TableText"/>
              <w:numPr>
                <w:ilvl w:val="0"/>
                <w:numId w:val="46"/>
              </w:numPr>
              <w:rPr>
                <w:noProof w:val="0"/>
                <w:color w:val="000000"/>
                <w:lang w:val="en-AU"/>
              </w:rPr>
            </w:pPr>
            <w:r w:rsidRPr="00397A3E">
              <w:rPr>
                <w:noProof w:val="0"/>
                <w:color w:val="000000"/>
                <w:lang w:val="en-AU"/>
              </w:rPr>
              <w:t xml:space="preserve">Wound infection (e.g. caused by </w:t>
            </w:r>
            <w:r w:rsidRPr="00397A3E">
              <w:rPr>
                <w:i/>
                <w:iCs/>
                <w:noProof w:val="0"/>
                <w:color w:val="000000"/>
                <w:lang w:val="en-AU"/>
              </w:rPr>
              <w:t>Vibrio</w:t>
            </w:r>
            <w:r w:rsidRPr="00397A3E">
              <w:rPr>
                <w:noProof w:val="0"/>
                <w:color w:val="000000"/>
                <w:lang w:val="en-AU"/>
              </w:rPr>
              <w:t xml:space="preserve"> spp.).  In addition</w:t>
            </w:r>
            <w:r w:rsidR="00526635">
              <w:rPr>
                <w:noProof w:val="0"/>
                <w:color w:val="000000"/>
                <w:lang w:val="en-AU"/>
              </w:rPr>
              <w:t>,</w:t>
            </w:r>
            <w:r w:rsidRPr="00397A3E">
              <w:rPr>
                <w:noProof w:val="0"/>
                <w:color w:val="000000"/>
                <w:lang w:val="en-AU"/>
              </w:rPr>
              <w:t xml:space="preserve"> advice should be provided on bather hygiene measures to minimise risk and actions to take if a wound is sustained while bathing.</w:t>
            </w:r>
            <w:bookmarkEnd w:id="381"/>
          </w:p>
        </w:tc>
      </w:tr>
    </w:tbl>
    <w:p w14:paraId="37061496" w14:textId="77777777" w:rsidR="00F44BA9" w:rsidRPr="00397A3E" w:rsidRDefault="00F44BA9" w:rsidP="00001A68">
      <w:pPr>
        <w:rPr>
          <w:noProof w:val="0"/>
        </w:rPr>
      </w:pPr>
    </w:p>
    <w:p w14:paraId="614FD5F1" w14:textId="04241DE6" w:rsidR="00EB2A78" w:rsidRPr="00397A3E" w:rsidRDefault="00EB2A78" w:rsidP="006F7E5B">
      <w:pPr>
        <w:rPr>
          <w:noProof w:val="0"/>
        </w:rPr>
      </w:pPr>
    </w:p>
    <w:p w14:paraId="41B284A1" w14:textId="77777777" w:rsidR="00C246CB" w:rsidRPr="00397A3E" w:rsidRDefault="00C246CB" w:rsidP="00C246CB">
      <w:pPr>
        <w:rPr>
          <w:noProof w:val="0"/>
        </w:rPr>
        <w:sectPr w:rsidR="00C246CB" w:rsidRPr="00397A3E" w:rsidSect="00323187">
          <w:headerReference w:type="default" r:id="rId33"/>
          <w:headerReference w:type="first" r:id="rId34"/>
          <w:pgSz w:w="11906" w:h="16838"/>
          <w:pgMar w:top="1588" w:right="1418" w:bottom="1418" w:left="2835" w:header="680" w:footer="709" w:gutter="0"/>
          <w:cols w:space="708"/>
          <w:docGrid w:linePitch="360"/>
        </w:sectPr>
      </w:pPr>
    </w:p>
    <w:p w14:paraId="406CE144" w14:textId="402D9E44" w:rsidR="00A45418" w:rsidRPr="00397A3E" w:rsidRDefault="00171C91" w:rsidP="00A45418">
      <w:pPr>
        <w:pStyle w:val="Caption"/>
        <w:rPr>
          <w:noProof w:val="0"/>
        </w:rPr>
      </w:pPr>
      <w:bookmarkStart w:id="382" w:name="_Ref72146504"/>
      <w:bookmarkStart w:id="383" w:name="_Toc106964871"/>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6</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4</w:t>
      </w:r>
      <w:r w:rsidR="00F178D7">
        <w:rPr>
          <w:noProof w:val="0"/>
        </w:rPr>
        <w:fldChar w:fldCharType="end"/>
      </w:r>
      <w:bookmarkEnd w:id="382"/>
      <w:r w:rsidRPr="00397A3E">
        <w:rPr>
          <w:noProof w:val="0"/>
        </w:rPr>
        <w:t xml:space="preserve">. </w:t>
      </w:r>
      <w:r w:rsidR="005733CB" w:rsidRPr="00397A3E">
        <w:rPr>
          <w:noProof w:val="0"/>
        </w:rPr>
        <w:t>B</w:t>
      </w:r>
      <w:r w:rsidRPr="00397A3E">
        <w:rPr>
          <w:noProof w:val="0"/>
        </w:rPr>
        <w:t xml:space="preserve">ody of evidence summary for </w:t>
      </w:r>
      <w:r w:rsidR="00D8794C" w:rsidRPr="00397A3E">
        <w:rPr>
          <w:noProof w:val="0"/>
        </w:rPr>
        <w:t xml:space="preserve">included </w:t>
      </w:r>
      <w:r w:rsidR="00C93601" w:rsidRPr="00397A3E">
        <w:rPr>
          <w:noProof w:val="0"/>
        </w:rPr>
        <w:t>grey literature</w:t>
      </w:r>
      <w:bookmarkEnd w:id="383"/>
    </w:p>
    <w:tbl>
      <w:tblPr>
        <w:tblW w:w="13892" w:type="dxa"/>
        <w:tblInd w:w="-147" w:type="dxa"/>
        <w:tblLook w:val="04A0" w:firstRow="1" w:lastRow="0" w:firstColumn="1" w:lastColumn="0" w:noHBand="0" w:noVBand="1"/>
      </w:tblPr>
      <w:tblGrid>
        <w:gridCol w:w="1136"/>
        <w:gridCol w:w="1068"/>
        <w:gridCol w:w="1123"/>
        <w:gridCol w:w="1708"/>
        <w:gridCol w:w="1656"/>
        <w:gridCol w:w="2755"/>
        <w:gridCol w:w="2542"/>
        <w:gridCol w:w="1904"/>
      </w:tblGrid>
      <w:tr w:rsidR="00785848" w14:paraId="0E2C8F6B" w14:textId="77777777" w:rsidTr="005903C7">
        <w:trPr>
          <w:tblHeader/>
        </w:trPr>
        <w:tc>
          <w:tcPr>
            <w:tcW w:w="1150" w:type="dxa"/>
            <w:tcBorders>
              <w:top w:val="single" w:sz="4" w:space="0" w:color="B5DDDC"/>
              <w:left w:val="single" w:sz="4" w:space="0" w:color="B5DDDC"/>
              <w:bottom w:val="single" w:sz="4" w:space="0" w:color="B5DDDC"/>
              <w:right w:val="single" w:sz="4" w:space="0" w:color="B5DDDC"/>
            </w:tcBorders>
            <w:shd w:val="clear" w:color="000000" w:fill="B5DDDC"/>
            <w:vAlign w:val="center"/>
            <w:hideMark/>
          </w:tcPr>
          <w:p w14:paraId="34275DCA" w14:textId="77777777" w:rsidR="004A3C3A" w:rsidRPr="00397A3E" w:rsidRDefault="00171C91" w:rsidP="00753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Guideline</w:t>
            </w:r>
          </w:p>
        </w:tc>
        <w:tc>
          <w:tcPr>
            <w:tcW w:w="1068" w:type="dxa"/>
            <w:tcBorders>
              <w:top w:val="single" w:sz="4" w:space="0" w:color="B5DDDC"/>
              <w:left w:val="nil"/>
              <w:bottom w:val="single" w:sz="4" w:space="0" w:color="B5DDDC"/>
              <w:right w:val="single" w:sz="4" w:space="0" w:color="B5DDDC"/>
            </w:tcBorders>
            <w:shd w:val="clear" w:color="000000" w:fill="B5DDDC"/>
            <w:vAlign w:val="center"/>
            <w:hideMark/>
          </w:tcPr>
          <w:p w14:paraId="6545E359" w14:textId="77777777" w:rsidR="004A3C3A" w:rsidRPr="00397A3E" w:rsidRDefault="00171C91" w:rsidP="00753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Contribution to primary research question outcome?</w:t>
            </w:r>
          </w:p>
        </w:tc>
        <w:tc>
          <w:tcPr>
            <w:tcW w:w="1126" w:type="dxa"/>
            <w:tcBorders>
              <w:top w:val="single" w:sz="4" w:space="0" w:color="B5DDDC"/>
              <w:left w:val="nil"/>
              <w:bottom w:val="single" w:sz="4" w:space="0" w:color="B5DDDC"/>
              <w:right w:val="single" w:sz="4" w:space="0" w:color="B5DDDC"/>
            </w:tcBorders>
            <w:shd w:val="clear" w:color="000000" w:fill="B5DDDC"/>
            <w:vAlign w:val="center"/>
            <w:hideMark/>
          </w:tcPr>
          <w:p w14:paraId="452FCCC9" w14:textId="77777777" w:rsidR="004A3C3A" w:rsidRPr="00397A3E" w:rsidRDefault="00171C91" w:rsidP="00753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Contribution to secondary research questions outcomes?</w:t>
            </w:r>
          </w:p>
        </w:tc>
        <w:tc>
          <w:tcPr>
            <w:tcW w:w="1721" w:type="dxa"/>
            <w:tcBorders>
              <w:top w:val="single" w:sz="4" w:space="0" w:color="B5DDDC"/>
              <w:left w:val="nil"/>
              <w:bottom w:val="single" w:sz="4" w:space="0" w:color="B5DDDC"/>
              <w:right w:val="single" w:sz="4" w:space="0" w:color="B5DDDC"/>
            </w:tcBorders>
            <w:shd w:val="clear" w:color="000000" w:fill="B5DDDC"/>
            <w:vAlign w:val="center"/>
            <w:hideMark/>
          </w:tcPr>
          <w:p w14:paraId="55D013BC" w14:textId="30CA04A8" w:rsidR="004A3C3A" w:rsidRPr="00397A3E" w:rsidRDefault="00171C91" w:rsidP="00753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Outcomes relevant to Australian conditions?</w:t>
            </w:r>
          </w:p>
        </w:tc>
        <w:tc>
          <w:tcPr>
            <w:tcW w:w="1456" w:type="dxa"/>
            <w:tcBorders>
              <w:top w:val="single" w:sz="4" w:space="0" w:color="B5DDDC"/>
              <w:left w:val="nil"/>
              <w:bottom w:val="single" w:sz="4" w:space="0" w:color="B5DDDC"/>
              <w:right w:val="single" w:sz="4" w:space="0" w:color="B5DDDC"/>
            </w:tcBorders>
            <w:shd w:val="clear" w:color="000000" w:fill="B5DDDC"/>
            <w:vAlign w:val="center"/>
            <w:hideMark/>
          </w:tcPr>
          <w:p w14:paraId="2A91EF89" w14:textId="114A3E1F" w:rsidR="004A3C3A" w:rsidRPr="00397A3E" w:rsidRDefault="00171C91" w:rsidP="00753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Addresses target populations?</w:t>
            </w:r>
          </w:p>
        </w:tc>
        <w:tc>
          <w:tcPr>
            <w:tcW w:w="2822" w:type="dxa"/>
            <w:tcBorders>
              <w:top w:val="single" w:sz="4" w:space="0" w:color="B5DDDC"/>
              <w:left w:val="nil"/>
              <w:bottom w:val="single" w:sz="4" w:space="0" w:color="B5DDDC"/>
              <w:right w:val="single" w:sz="4" w:space="0" w:color="B5DDDC"/>
            </w:tcBorders>
            <w:shd w:val="clear" w:color="000000" w:fill="B5DDDC"/>
            <w:vAlign w:val="center"/>
            <w:hideMark/>
          </w:tcPr>
          <w:p w14:paraId="3B9F2540" w14:textId="6135CDD2" w:rsidR="004A3C3A" w:rsidRPr="00397A3E" w:rsidRDefault="00171C91" w:rsidP="00753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 xml:space="preserve">Identifies main factors impacting risk and its prediction? </w:t>
            </w:r>
          </w:p>
        </w:tc>
        <w:tc>
          <w:tcPr>
            <w:tcW w:w="2610" w:type="dxa"/>
            <w:tcBorders>
              <w:top w:val="single" w:sz="4" w:space="0" w:color="B5DDDC"/>
              <w:left w:val="nil"/>
              <w:bottom w:val="single" w:sz="4" w:space="0" w:color="B5DDDC"/>
              <w:right w:val="single" w:sz="4" w:space="0" w:color="B5DDDC"/>
            </w:tcBorders>
            <w:shd w:val="clear" w:color="000000" w:fill="B5DDDC"/>
            <w:vAlign w:val="center"/>
            <w:hideMark/>
          </w:tcPr>
          <w:p w14:paraId="2DAD3BC6" w14:textId="77777777" w:rsidR="004A3C3A" w:rsidRPr="00397A3E" w:rsidRDefault="00171C91" w:rsidP="00753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Reviewer’s comments</w:t>
            </w:r>
          </w:p>
        </w:tc>
        <w:tc>
          <w:tcPr>
            <w:tcW w:w="1939" w:type="dxa"/>
            <w:tcBorders>
              <w:top w:val="single" w:sz="4" w:space="0" w:color="B5DDDC"/>
              <w:left w:val="nil"/>
              <w:bottom w:val="single" w:sz="4" w:space="0" w:color="B5DDDC"/>
              <w:right w:val="single" w:sz="4" w:space="0" w:color="B5DDDC"/>
            </w:tcBorders>
            <w:shd w:val="clear" w:color="000000" w:fill="B5DDDC"/>
            <w:vAlign w:val="center"/>
            <w:hideMark/>
          </w:tcPr>
          <w:p w14:paraId="69DAE914" w14:textId="77777777" w:rsidR="004A3C3A" w:rsidRPr="00397A3E" w:rsidRDefault="00171C91" w:rsidP="00753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Overall Assessment</w:t>
            </w:r>
          </w:p>
        </w:tc>
      </w:tr>
      <w:tr w:rsidR="00785848" w14:paraId="7D4A6438" w14:textId="77777777" w:rsidTr="005903C7">
        <w:tc>
          <w:tcPr>
            <w:tcW w:w="1150" w:type="dxa"/>
            <w:tcBorders>
              <w:top w:val="nil"/>
              <w:left w:val="single" w:sz="4" w:space="0" w:color="B5DDDC"/>
              <w:bottom w:val="single" w:sz="4" w:space="0" w:color="B5DDDC"/>
              <w:right w:val="single" w:sz="4" w:space="0" w:color="B5DDDC"/>
            </w:tcBorders>
            <w:shd w:val="clear" w:color="000000" w:fill="D6EAEB"/>
            <w:vAlign w:val="center"/>
            <w:hideMark/>
          </w:tcPr>
          <w:p w14:paraId="5E86A59B" w14:textId="26890FC1" w:rsidR="00A5357B" w:rsidRPr="00397A3E" w:rsidRDefault="00171C91" w:rsidP="00A5357B">
            <w:pPr>
              <w:spacing w:before="0" w:after="0" w:line="240" w:lineRule="auto"/>
              <w:rPr>
                <w:rFonts w:ascii="Calibri" w:hAnsi="Calibri" w:cs="Calibri"/>
                <w:noProof w:val="0"/>
                <w:sz w:val="16"/>
                <w:szCs w:val="12"/>
                <w:highlight w:val="yellow"/>
              </w:rPr>
            </w:pPr>
            <w:r w:rsidRPr="00397A3E">
              <w:rPr>
                <w:rFonts w:ascii="Calibri" w:hAnsi="Calibri" w:cs="Calibri"/>
                <w:noProof w:val="0"/>
                <w:color w:val="000000"/>
                <w:sz w:val="16"/>
                <w:szCs w:val="12"/>
              </w:rPr>
              <w:t xml:space="preserve">G3: </w:t>
            </w:r>
            <w:r w:rsidRPr="00397A3E">
              <w:rPr>
                <w:rFonts w:ascii="Calibri" w:hAnsi="Calibri" w:cs="Calibri"/>
                <w:noProof w:val="0"/>
                <w:color w:val="000000"/>
                <w:sz w:val="16"/>
                <w:szCs w:val="12"/>
              </w:rPr>
              <w:fldChar w:fldCharType="begin"/>
            </w:r>
            <w:r w:rsidR="0069143F" w:rsidRPr="00397A3E">
              <w:rPr>
                <w:rFonts w:ascii="Calibri" w:hAnsi="Calibri" w:cs="Calibri"/>
                <w:noProof w:val="0"/>
                <w:color w:val="000000"/>
                <w:sz w:val="16"/>
                <w:szCs w:val="12"/>
              </w:rPr>
              <w:instrText xml:space="preserve"> ADDIN ZOTERO_ITEM CSL_CITATION {"citationID":"AGmh80CE","properties":{"custom":"EPA Victoria (2021)","formattedCitation":"EPA Victoria (2021)","plainCitation":"EPA Victoria (2021)","noteIndex":0},"citationItems":[{"id":17578,"uris":["http://zotero.org/users/148142/items/HPITMMGC"],"uri":["http://zotero.org/users/148142/items/HPITMMGC"],"itemData":{"id":17578,"type":"report","publisher":"Environment Protection Authority, Victoria","title":"Quantitative Microbial Risk Assessment (QMRA) for assessing risks to recreational users in Port Phillip Bay. EPA Publication 2007, June 2021","author":[{"literal":"EPA Victoria"}],"issued":{"date-parts":[["2021"]]}}}],"schema":"https://github.com/citation-style-language/schema/raw/master/csl-citation.json"} </w:instrText>
            </w:r>
            <w:r w:rsidRPr="00397A3E">
              <w:rPr>
                <w:rFonts w:ascii="Calibri" w:hAnsi="Calibri" w:cs="Calibri"/>
                <w:noProof w:val="0"/>
                <w:color w:val="000000"/>
                <w:sz w:val="16"/>
                <w:szCs w:val="12"/>
              </w:rPr>
              <w:fldChar w:fldCharType="separate"/>
            </w:r>
            <w:r w:rsidRPr="00397A3E">
              <w:rPr>
                <w:rFonts w:ascii="Calibri" w:hAnsi="Calibri" w:cs="Calibri"/>
                <w:noProof w:val="0"/>
                <w:sz w:val="16"/>
                <w:szCs w:val="12"/>
              </w:rPr>
              <w:t>EPA Victoria (2021)</w:t>
            </w:r>
            <w:r w:rsidRPr="00397A3E">
              <w:rPr>
                <w:rFonts w:ascii="Calibri" w:hAnsi="Calibri" w:cs="Calibri"/>
                <w:noProof w:val="0"/>
                <w:color w:val="000000"/>
                <w:sz w:val="16"/>
                <w:szCs w:val="12"/>
              </w:rPr>
              <w:fldChar w:fldCharType="end"/>
            </w:r>
          </w:p>
        </w:tc>
        <w:tc>
          <w:tcPr>
            <w:tcW w:w="1068" w:type="dxa"/>
            <w:tcBorders>
              <w:top w:val="nil"/>
              <w:left w:val="nil"/>
              <w:bottom w:val="single" w:sz="4" w:space="0" w:color="B5DDDC"/>
              <w:right w:val="single" w:sz="4" w:space="0" w:color="B5DDDC"/>
            </w:tcBorders>
          </w:tcPr>
          <w:p w14:paraId="6E8C0BD0" w14:textId="1A04C645" w:rsidR="00A5357B" w:rsidRPr="00397A3E" w:rsidRDefault="00171C91" w:rsidP="00A5357B">
            <w:pPr>
              <w:spacing w:before="0" w:after="0" w:line="240" w:lineRule="auto"/>
              <w:rPr>
                <w:rFonts w:ascii="Calibri" w:hAnsi="Calibri" w:cs="Calibri"/>
                <w:noProof w:val="0"/>
                <w:sz w:val="16"/>
                <w:szCs w:val="16"/>
              </w:rPr>
            </w:pPr>
            <w:r w:rsidRPr="00397A3E">
              <w:rPr>
                <w:rFonts w:ascii="Calibri" w:hAnsi="Calibri" w:cs="Calibri"/>
                <w:noProof w:val="0"/>
                <w:sz w:val="16"/>
                <w:szCs w:val="16"/>
              </w:rPr>
              <w:t>Yes</w:t>
            </w:r>
          </w:p>
        </w:tc>
        <w:tc>
          <w:tcPr>
            <w:tcW w:w="1126" w:type="dxa"/>
            <w:tcBorders>
              <w:top w:val="nil"/>
              <w:left w:val="nil"/>
              <w:bottom w:val="single" w:sz="4" w:space="0" w:color="B5DDDC"/>
              <w:right w:val="single" w:sz="4" w:space="0" w:color="B5DDDC"/>
            </w:tcBorders>
          </w:tcPr>
          <w:p w14:paraId="0DAE28F8" w14:textId="19B102D7" w:rsidR="00A5357B" w:rsidRPr="00397A3E" w:rsidRDefault="00171C91" w:rsidP="00A5357B">
            <w:pPr>
              <w:spacing w:before="0" w:after="0" w:line="240" w:lineRule="auto"/>
              <w:rPr>
                <w:rFonts w:ascii="Calibri" w:hAnsi="Calibri" w:cs="Calibri"/>
                <w:noProof w:val="0"/>
                <w:sz w:val="16"/>
                <w:szCs w:val="16"/>
              </w:rPr>
            </w:pPr>
            <w:r w:rsidRPr="00397A3E">
              <w:rPr>
                <w:rFonts w:ascii="Calibri" w:hAnsi="Calibri" w:cs="Calibri"/>
                <w:noProof w:val="0"/>
                <w:sz w:val="16"/>
                <w:szCs w:val="16"/>
              </w:rPr>
              <w:t>Yes</w:t>
            </w:r>
          </w:p>
        </w:tc>
        <w:tc>
          <w:tcPr>
            <w:tcW w:w="1721" w:type="dxa"/>
            <w:tcBorders>
              <w:top w:val="single" w:sz="4" w:space="0" w:color="B5DDDC"/>
              <w:left w:val="single" w:sz="4" w:space="0" w:color="B5DDDC"/>
              <w:bottom w:val="single" w:sz="4" w:space="0" w:color="B5DDDC"/>
              <w:right w:val="single" w:sz="4" w:space="0" w:color="B5DDDC"/>
            </w:tcBorders>
          </w:tcPr>
          <w:p w14:paraId="6D66760D" w14:textId="7FC08B4E" w:rsidR="00A5357B" w:rsidRPr="00397A3E" w:rsidRDefault="00171C91" w:rsidP="00A5357B">
            <w:pPr>
              <w:spacing w:before="0" w:after="0" w:line="240" w:lineRule="auto"/>
              <w:rPr>
                <w:rFonts w:ascii="Calibri" w:hAnsi="Calibri" w:cs="Calibri"/>
                <w:noProof w:val="0"/>
                <w:sz w:val="16"/>
                <w:szCs w:val="16"/>
              </w:rPr>
            </w:pPr>
            <w:r w:rsidRPr="00397A3E">
              <w:rPr>
                <w:rFonts w:ascii="Calibri" w:hAnsi="Calibri" w:cs="Calibri"/>
                <w:noProof w:val="0"/>
                <w:sz w:val="16"/>
                <w:szCs w:val="16"/>
              </w:rPr>
              <w:t>Yes, the report describes a study conducted at 3 recreational beaches in Port Phillip Bay, a large 1,930 km2 shallow estuarine embayment around which greater metropolitan Melbourne is located.</w:t>
            </w:r>
          </w:p>
        </w:tc>
        <w:tc>
          <w:tcPr>
            <w:tcW w:w="1456" w:type="dxa"/>
            <w:tcBorders>
              <w:top w:val="nil"/>
              <w:left w:val="nil"/>
              <w:bottom w:val="single" w:sz="4" w:space="0" w:color="B5DDDC"/>
              <w:right w:val="single" w:sz="4" w:space="0" w:color="B5DDDC"/>
            </w:tcBorders>
          </w:tcPr>
          <w:p w14:paraId="0ECBC743" w14:textId="2CFCA366" w:rsidR="00A5357B" w:rsidRPr="00397A3E" w:rsidRDefault="00171C91" w:rsidP="00A5357B">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No</w:t>
            </w:r>
            <w:r w:rsidR="00192401" w:rsidRPr="00397A3E">
              <w:rPr>
                <w:rFonts w:ascii="Calibri" w:hAnsi="Calibri" w:cs="Calibri"/>
                <w:noProof w:val="0"/>
                <w:sz w:val="16"/>
                <w:szCs w:val="16"/>
              </w:rPr>
              <w:t>,</w:t>
            </w:r>
            <w:r w:rsidRPr="00397A3E">
              <w:rPr>
                <w:rFonts w:ascii="Calibri" w:hAnsi="Calibri" w:cs="Calibri"/>
                <w:noProof w:val="0"/>
                <w:sz w:val="16"/>
                <w:szCs w:val="16"/>
              </w:rPr>
              <w:t xml:space="preserve"> </w:t>
            </w:r>
            <w:r w:rsidR="00192401" w:rsidRPr="00397A3E">
              <w:rPr>
                <w:rFonts w:ascii="Calibri" w:hAnsi="Calibri" w:cs="Calibri"/>
                <w:noProof w:val="0"/>
                <w:sz w:val="16"/>
                <w:szCs w:val="16"/>
              </w:rPr>
              <w:t>t</w:t>
            </w:r>
            <w:r w:rsidRPr="00397A3E">
              <w:rPr>
                <w:rFonts w:ascii="Calibri" w:hAnsi="Calibri" w:cs="Calibri"/>
                <w:noProof w:val="0"/>
                <w:sz w:val="16"/>
                <w:szCs w:val="16"/>
              </w:rPr>
              <w:t xml:space="preserve">he </w:t>
            </w:r>
            <w:r w:rsidR="00E315C6" w:rsidRPr="00397A3E">
              <w:rPr>
                <w:rFonts w:ascii="Calibri" w:hAnsi="Calibri" w:cs="Calibri"/>
                <w:noProof w:val="0"/>
                <w:sz w:val="16"/>
                <w:szCs w:val="16"/>
              </w:rPr>
              <w:t>report</w:t>
            </w:r>
            <w:r w:rsidRPr="00397A3E">
              <w:rPr>
                <w:rFonts w:ascii="Calibri" w:hAnsi="Calibri" w:cs="Calibri"/>
                <w:noProof w:val="0"/>
                <w:sz w:val="16"/>
                <w:szCs w:val="16"/>
              </w:rPr>
              <w:t xml:space="preserve"> does not address specific target populations such as children, immunocompromised or the elderly and how they may be impacted.</w:t>
            </w:r>
          </w:p>
        </w:tc>
        <w:tc>
          <w:tcPr>
            <w:tcW w:w="2822" w:type="dxa"/>
            <w:tcBorders>
              <w:top w:val="nil"/>
              <w:left w:val="nil"/>
              <w:bottom w:val="single" w:sz="4" w:space="0" w:color="B5DDDC"/>
              <w:right w:val="single" w:sz="4" w:space="0" w:color="B5DDDC"/>
            </w:tcBorders>
          </w:tcPr>
          <w:p w14:paraId="3AA8169A" w14:textId="503AFC70" w:rsidR="00A5357B" w:rsidRPr="00397A3E" w:rsidRDefault="00171C91" w:rsidP="00A5357B">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Yes. The </w:t>
            </w:r>
            <w:r w:rsidR="00B1790D" w:rsidRPr="00397A3E">
              <w:rPr>
                <w:rFonts w:ascii="Calibri" w:hAnsi="Calibri" w:cs="Calibri"/>
                <w:noProof w:val="0"/>
                <w:sz w:val="16"/>
                <w:szCs w:val="16"/>
              </w:rPr>
              <w:t>mean p(ill)</w:t>
            </w:r>
            <w:r w:rsidRPr="00397A3E">
              <w:rPr>
                <w:rFonts w:ascii="Calibri" w:hAnsi="Calibri" w:cs="Calibri"/>
                <w:noProof w:val="0"/>
                <w:sz w:val="16"/>
                <w:szCs w:val="16"/>
              </w:rPr>
              <w:t xml:space="preserve"> for primary contact recreation (P</w:t>
            </w:r>
            <w:r w:rsidR="004D645D">
              <w:rPr>
                <w:rFonts w:ascii="Calibri" w:hAnsi="Calibri" w:cs="Calibri"/>
                <w:noProof w:val="0"/>
                <w:sz w:val="16"/>
                <w:szCs w:val="16"/>
              </w:rPr>
              <w:t>r</w:t>
            </w:r>
            <w:r w:rsidRPr="00397A3E">
              <w:rPr>
                <w:rFonts w:ascii="Calibri" w:hAnsi="Calibri" w:cs="Calibri"/>
                <w:noProof w:val="0"/>
                <w:sz w:val="16"/>
                <w:szCs w:val="16"/>
              </w:rPr>
              <w:t>CR) was</w:t>
            </w:r>
            <w:r w:rsidR="00B1790D" w:rsidRPr="00397A3E">
              <w:rPr>
                <w:rFonts w:ascii="Calibri" w:hAnsi="Calibri" w:cs="Calibri"/>
                <w:noProof w:val="0"/>
                <w:sz w:val="16"/>
                <w:szCs w:val="16"/>
              </w:rPr>
              <w:t xml:space="preserve"> 0.33% [95</w:t>
            </w:r>
            <w:r w:rsidR="00B1790D" w:rsidRPr="00397A3E">
              <w:rPr>
                <w:rFonts w:ascii="Calibri" w:hAnsi="Calibri" w:cs="Calibri"/>
                <w:noProof w:val="0"/>
                <w:sz w:val="16"/>
                <w:szCs w:val="16"/>
                <w:vertAlign w:val="superscript"/>
              </w:rPr>
              <w:t>th</w:t>
            </w:r>
            <w:r w:rsidR="00B1790D" w:rsidRPr="00397A3E">
              <w:rPr>
                <w:rFonts w:ascii="Calibri" w:hAnsi="Calibri" w:cs="Calibri"/>
                <w:noProof w:val="0"/>
                <w:sz w:val="16"/>
                <w:szCs w:val="16"/>
              </w:rPr>
              <w:t xml:space="preserve"> 1.07%] per exposure event, mostly due to norovirus 0.23% [0.82%]. Adenoviruses contributed the next highest proportion of total risks at 0.07% [0.23%], whilst bacteria and protozoa had p(ill) at or below 0.01%</w:t>
            </w:r>
            <w:r w:rsidRPr="00397A3E">
              <w:rPr>
                <w:rFonts w:ascii="Calibri" w:hAnsi="Calibri" w:cs="Calibri"/>
                <w:noProof w:val="0"/>
                <w:sz w:val="16"/>
                <w:szCs w:val="16"/>
              </w:rPr>
              <w:t>.  Human sewage was identified as the most likely source of norovirus and adenovirus.</w:t>
            </w:r>
          </w:p>
        </w:tc>
        <w:tc>
          <w:tcPr>
            <w:tcW w:w="2610" w:type="dxa"/>
            <w:tcBorders>
              <w:top w:val="nil"/>
              <w:left w:val="nil"/>
              <w:bottom w:val="single" w:sz="4" w:space="0" w:color="B5DDDC"/>
              <w:right w:val="single" w:sz="4" w:space="0" w:color="B5DDDC"/>
            </w:tcBorders>
          </w:tcPr>
          <w:p w14:paraId="5DD0E1DA" w14:textId="40E77411" w:rsidR="00A5357B" w:rsidRPr="00397A3E" w:rsidRDefault="00171C91" w:rsidP="00A5357B">
            <w:pPr>
              <w:spacing w:before="0" w:after="0" w:line="240" w:lineRule="auto"/>
              <w:rPr>
                <w:rFonts w:ascii="Calibri" w:hAnsi="Calibri" w:cs="Calibri"/>
                <w:noProof w:val="0"/>
                <w:sz w:val="16"/>
                <w:szCs w:val="16"/>
              </w:rPr>
            </w:pPr>
            <w:r w:rsidRPr="00397A3E">
              <w:rPr>
                <w:rFonts w:ascii="Calibri" w:hAnsi="Calibri" w:cs="Calibri"/>
                <w:noProof w:val="0"/>
                <w:sz w:val="16"/>
                <w:szCs w:val="16"/>
              </w:rPr>
              <w:t>This was</w:t>
            </w:r>
            <w:r w:rsidR="00C44B58">
              <w:rPr>
                <w:rFonts w:ascii="Calibri" w:hAnsi="Calibri" w:cs="Calibri"/>
                <w:noProof w:val="0"/>
                <w:sz w:val="16"/>
                <w:szCs w:val="16"/>
              </w:rPr>
              <w:t xml:space="preserve"> a</w:t>
            </w:r>
            <w:r w:rsidRPr="00397A3E">
              <w:rPr>
                <w:rFonts w:ascii="Calibri" w:hAnsi="Calibri" w:cs="Calibri"/>
                <w:noProof w:val="0"/>
                <w:sz w:val="16"/>
                <w:szCs w:val="16"/>
              </w:rPr>
              <w:t xml:space="preserve"> large study with findings directly relevant to the primary and secondary research questions.  The key findings demonstrate the broad utility of MST and QMRA approaches and are also important </w:t>
            </w:r>
            <w:r w:rsidR="00E315C6" w:rsidRPr="00397A3E">
              <w:rPr>
                <w:rFonts w:ascii="Calibri" w:hAnsi="Calibri" w:cs="Calibri"/>
                <w:noProof w:val="0"/>
                <w:sz w:val="16"/>
                <w:szCs w:val="16"/>
              </w:rPr>
              <w:t xml:space="preserve">for </w:t>
            </w:r>
            <w:r w:rsidRPr="00397A3E">
              <w:rPr>
                <w:rFonts w:ascii="Calibri" w:hAnsi="Calibri" w:cs="Calibri"/>
                <w:noProof w:val="0"/>
                <w:sz w:val="16"/>
                <w:szCs w:val="16"/>
              </w:rPr>
              <w:t>informing local management responses</w:t>
            </w:r>
            <w:r w:rsidR="00F27B65" w:rsidRPr="00397A3E">
              <w:rPr>
                <w:rFonts w:ascii="Calibri" w:hAnsi="Calibri" w:cs="Calibri"/>
                <w:noProof w:val="0"/>
                <w:sz w:val="16"/>
                <w:szCs w:val="16"/>
              </w:rPr>
              <w:t>.</w:t>
            </w:r>
          </w:p>
        </w:tc>
        <w:tc>
          <w:tcPr>
            <w:tcW w:w="1939" w:type="dxa"/>
            <w:tcBorders>
              <w:top w:val="nil"/>
              <w:left w:val="nil"/>
              <w:bottom w:val="single" w:sz="4" w:space="0" w:color="B5DDDC"/>
              <w:right w:val="single" w:sz="4" w:space="0" w:color="B5DDDC"/>
            </w:tcBorders>
          </w:tcPr>
          <w:p w14:paraId="317554FE" w14:textId="36B0EA42" w:rsidR="00A5357B" w:rsidRPr="00397A3E" w:rsidRDefault="00171C91" w:rsidP="00A5357B">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I</w:t>
            </w:r>
            <w:r w:rsidR="00E315C6" w:rsidRPr="00397A3E">
              <w:rPr>
                <w:rFonts w:ascii="Calibri" w:hAnsi="Calibri" w:cs="Calibri"/>
                <w:noProof w:val="0"/>
                <w:sz w:val="16"/>
                <w:szCs w:val="16"/>
              </w:rPr>
              <w:t xml:space="preserve">mportant Australian reference </w:t>
            </w:r>
            <w:r w:rsidRPr="00397A3E">
              <w:rPr>
                <w:rFonts w:ascii="Calibri" w:hAnsi="Calibri" w:cs="Calibri"/>
                <w:noProof w:val="0"/>
                <w:sz w:val="16"/>
                <w:szCs w:val="16"/>
              </w:rPr>
              <w:t>describing new methods for MST and innovative approach to QMRA.</w:t>
            </w:r>
            <w:r w:rsidR="006A76B4" w:rsidRPr="00397A3E">
              <w:rPr>
                <w:rFonts w:ascii="Calibri" w:hAnsi="Calibri" w:cs="Calibri"/>
                <w:noProof w:val="0"/>
                <w:sz w:val="16"/>
                <w:szCs w:val="16"/>
              </w:rPr>
              <w:t xml:space="preserve">  Published report does not appear to include all </w:t>
            </w:r>
            <w:r w:rsidR="00B14140" w:rsidRPr="00397A3E">
              <w:rPr>
                <w:rFonts w:ascii="Calibri" w:hAnsi="Calibri" w:cs="Calibri"/>
                <w:noProof w:val="0"/>
                <w:sz w:val="16"/>
                <w:szCs w:val="16"/>
              </w:rPr>
              <w:t>associated</w:t>
            </w:r>
            <w:r w:rsidR="006A76B4" w:rsidRPr="00397A3E">
              <w:rPr>
                <w:rFonts w:ascii="Calibri" w:hAnsi="Calibri" w:cs="Calibri"/>
                <w:noProof w:val="0"/>
                <w:sz w:val="16"/>
                <w:szCs w:val="16"/>
              </w:rPr>
              <w:t xml:space="preserve"> research. </w:t>
            </w:r>
          </w:p>
        </w:tc>
      </w:tr>
      <w:tr w:rsidR="00785848" w14:paraId="7D27E283" w14:textId="77777777" w:rsidTr="005903C7">
        <w:tc>
          <w:tcPr>
            <w:tcW w:w="1150" w:type="dxa"/>
            <w:tcBorders>
              <w:top w:val="nil"/>
              <w:left w:val="single" w:sz="4" w:space="0" w:color="B5DDDC"/>
              <w:bottom w:val="single" w:sz="4" w:space="0" w:color="B5DDDC"/>
              <w:right w:val="single" w:sz="4" w:space="0" w:color="B5DDDC"/>
            </w:tcBorders>
            <w:shd w:val="clear" w:color="000000" w:fill="D6EAEB"/>
            <w:vAlign w:val="center"/>
            <w:hideMark/>
          </w:tcPr>
          <w:p w14:paraId="29F3B148" w14:textId="280A85E1" w:rsidR="00B10B09" w:rsidRPr="00397A3E" w:rsidRDefault="00171C91" w:rsidP="00B10B09">
            <w:pPr>
              <w:spacing w:before="0" w:after="0" w:line="240" w:lineRule="auto"/>
              <w:rPr>
                <w:rFonts w:ascii="Calibri" w:hAnsi="Calibri" w:cs="Calibri"/>
                <w:noProof w:val="0"/>
                <w:sz w:val="16"/>
                <w:szCs w:val="12"/>
                <w:highlight w:val="yellow"/>
              </w:rPr>
            </w:pPr>
            <w:r w:rsidRPr="00397A3E">
              <w:rPr>
                <w:rFonts w:ascii="Calibri" w:hAnsi="Calibri" w:cs="Calibri"/>
                <w:noProof w:val="0"/>
                <w:color w:val="000000"/>
                <w:sz w:val="16"/>
                <w:szCs w:val="12"/>
              </w:rPr>
              <w:t xml:space="preserve">G4: </w:t>
            </w:r>
            <w:r w:rsidRPr="00397A3E">
              <w:rPr>
                <w:rFonts w:ascii="Calibri" w:hAnsi="Calibri"/>
                <w:bCs/>
                <w:noProof w:val="0"/>
                <w:color w:val="000000"/>
                <w:sz w:val="16"/>
                <w:szCs w:val="12"/>
              </w:rPr>
              <w:fldChar w:fldCharType="begin"/>
            </w:r>
            <w:r w:rsidR="0069143F" w:rsidRPr="00397A3E">
              <w:rPr>
                <w:rFonts w:ascii="Calibri" w:hAnsi="Calibri"/>
                <w:bCs/>
                <w:noProof w:val="0"/>
                <w:color w:val="000000"/>
                <w:sz w:val="16"/>
                <w:szCs w:val="12"/>
              </w:rPr>
              <w:instrText xml:space="preserve"> ADDIN ZOTERO_ITEM CSL_CITATION {"citationID":"jtd0vUM4","properties":{"custom":"King et al. (2014)","formattedCitation":"King et al. (2014)","plainCitation":"King et al. (2014)","noteIndex":0},"citationItems":[{"id":15773,"uris":["http://zotero.org/users/148142/items/LATIBYWS"],"uri":["http://zotero.org/users/148142/items/LATIBYWS"],"itemData":{"id":15773,"type":"report","event-place":"United Kingdom","publisher":"Department of Environment, Food and Rural Affairs (DEFRA)","publisher-place":"United Kingdom","title":"The health risks of bathing in recreational waters. A rapid evidence assessment of water quality and gastrointestinal illness. Final report WT1530. A report of research carried out by RAND Europe, on behalf of the UK Department for Environment, Farming and Rural Affairs (DEFRA)","URL":"https://www.rand.org/content/dam/rand/pubs/research_reports/RR600/RR698/RAND_RR698.pdf","author":[{"family":"King","given":"Sarah"},{"family":"Exley","given":"Josephine"},{"family":"Winpenny","given":"Eleanor"},{"family":"Alves","given":"Lottie"},{"family":"Henham","given":"Marie-Louise"},{"family":"Larkin","given":"Jody"}],"issued":{"date-parts":[["2014"]]}}}],"schema":"https://github.com/citation-style-language/schema/raw/master/csl-citation.json"} </w:instrText>
            </w:r>
            <w:r w:rsidRPr="00397A3E">
              <w:rPr>
                <w:rFonts w:ascii="Calibri" w:hAnsi="Calibri"/>
                <w:bCs/>
                <w:noProof w:val="0"/>
                <w:color w:val="000000"/>
                <w:sz w:val="16"/>
                <w:szCs w:val="12"/>
              </w:rPr>
              <w:fldChar w:fldCharType="separate"/>
            </w:r>
            <w:r w:rsidRPr="00397A3E">
              <w:rPr>
                <w:rFonts w:ascii="Calibri" w:hAnsi="Calibri" w:cs="Calibri"/>
                <w:noProof w:val="0"/>
                <w:sz w:val="16"/>
                <w:szCs w:val="12"/>
              </w:rPr>
              <w:t>King et al. (2014)</w:t>
            </w:r>
            <w:r w:rsidRPr="00397A3E">
              <w:rPr>
                <w:rFonts w:ascii="Calibri" w:hAnsi="Calibri"/>
                <w:bCs/>
                <w:noProof w:val="0"/>
                <w:color w:val="000000"/>
                <w:sz w:val="16"/>
                <w:szCs w:val="12"/>
              </w:rPr>
              <w:fldChar w:fldCharType="end"/>
            </w:r>
          </w:p>
        </w:tc>
        <w:tc>
          <w:tcPr>
            <w:tcW w:w="1068" w:type="dxa"/>
            <w:tcBorders>
              <w:top w:val="nil"/>
              <w:left w:val="nil"/>
              <w:bottom w:val="single" w:sz="4" w:space="0" w:color="B5DDDC"/>
              <w:right w:val="single" w:sz="4" w:space="0" w:color="B5DDDC"/>
            </w:tcBorders>
          </w:tcPr>
          <w:p w14:paraId="04E4D13B" w14:textId="7FA33B9D" w:rsidR="00B10B09" w:rsidRPr="00397A3E" w:rsidRDefault="00171C91" w:rsidP="00B10B09">
            <w:pPr>
              <w:spacing w:before="0" w:after="0" w:line="240" w:lineRule="auto"/>
              <w:rPr>
                <w:rFonts w:ascii="Calibri" w:hAnsi="Calibri" w:cs="Calibri"/>
                <w:noProof w:val="0"/>
                <w:sz w:val="16"/>
                <w:szCs w:val="16"/>
              </w:rPr>
            </w:pPr>
            <w:r w:rsidRPr="00397A3E">
              <w:rPr>
                <w:rFonts w:ascii="Calibri" w:hAnsi="Calibri" w:cs="Calibri"/>
                <w:noProof w:val="0"/>
                <w:sz w:val="16"/>
                <w:szCs w:val="16"/>
              </w:rPr>
              <w:t>Yes</w:t>
            </w:r>
          </w:p>
        </w:tc>
        <w:tc>
          <w:tcPr>
            <w:tcW w:w="1126" w:type="dxa"/>
            <w:tcBorders>
              <w:top w:val="nil"/>
              <w:left w:val="nil"/>
              <w:bottom w:val="single" w:sz="4" w:space="0" w:color="B5DDDC"/>
              <w:right w:val="single" w:sz="4" w:space="0" w:color="B5DDDC"/>
            </w:tcBorders>
          </w:tcPr>
          <w:p w14:paraId="593B6F24" w14:textId="19D35F9A" w:rsidR="00B10B09" w:rsidRPr="00397A3E" w:rsidRDefault="00171C91" w:rsidP="00B10B09">
            <w:pPr>
              <w:spacing w:before="0" w:after="0" w:line="240" w:lineRule="auto"/>
              <w:rPr>
                <w:rFonts w:ascii="Calibri" w:hAnsi="Calibri" w:cs="Calibri"/>
                <w:noProof w:val="0"/>
                <w:sz w:val="16"/>
                <w:szCs w:val="16"/>
              </w:rPr>
            </w:pPr>
            <w:r w:rsidRPr="00397A3E">
              <w:rPr>
                <w:rFonts w:ascii="Calibri" w:hAnsi="Calibri" w:cs="Calibri"/>
                <w:noProof w:val="0"/>
                <w:sz w:val="16"/>
                <w:szCs w:val="16"/>
              </w:rPr>
              <w:t>Yes (Q.1)</w:t>
            </w:r>
          </w:p>
        </w:tc>
        <w:tc>
          <w:tcPr>
            <w:tcW w:w="1721" w:type="dxa"/>
            <w:tcBorders>
              <w:top w:val="nil"/>
              <w:left w:val="single" w:sz="4" w:space="0" w:color="B5DDDC"/>
              <w:bottom w:val="single" w:sz="4" w:space="0" w:color="B5DDDC"/>
              <w:right w:val="single" w:sz="4" w:space="0" w:color="B5DDDC"/>
            </w:tcBorders>
          </w:tcPr>
          <w:p w14:paraId="5823A672" w14:textId="104222ED" w:rsidR="00B10B09" w:rsidRPr="00397A3E" w:rsidRDefault="00171C91" w:rsidP="00B10B09">
            <w:pPr>
              <w:spacing w:before="0" w:after="0" w:line="240" w:lineRule="auto"/>
              <w:rPr>
                <w:rFonts w:ascii="Calibri" w:hAnsi="Calibri" w:cs="Calibri"/>
                <w:noProof w:val="0"/>
                <w:sz w:val="16"/>
                <w:szCs w:val="16"/>
              </w:rPr>
            </w:pPr>
            <w:r w:rsidRPr="00397A3E">
              <w:rPr>
                <w:rFonts w:ascii="Calibri" w:hAnsi="Calibri" w:cs="Calibri"/>
                <w:noProof w:val="0"/>
                <w:sz w:val="16"/>
                <w:szCs w:val="16"/>
              </w:rPr>
              <w:t>Yes</w:t>
            </w:r>
            <w:r w:rsidR="00192401" w:rsidRPr="00397A3E">
              <w:rPr>
                <w:rFonts w:ascii="Calibri" w:hAnsi="Calibri" w:cs="Calibri"/>
                <w:noProof w:val="0"/>
                <w:sz w:val="16"/>
                <w:szCs w:val="16"/>
              </w:rPr>
              <w:t>, the</w:t>
            </w:r>
            <w:r w:rsidRPr="00397A3E">
              <w:rPr>
                <w:rFonts w:ascii="Calibri" w:hAnsi="Calibri" w:cs="Calibri"/>
                <w:noProof w:val="0"/>
                <w:sz w:val="16"/>
                <w:szCs w:val="16"/>
              </w:rPr>
              <w:t xml:space="preserve"> </w:t>
            </w:r>
            <w:r w:rsidR="00192401" w:rsidRPr="00397A3E">
              <w:rPr>
                <w:rFonts w:ascii="Calibri" w:hAnsi="Calibri" w:cs="Calibri"/>
                <w:noProof w:val="0"/>
                <w:sz w:val="16"/>
                <w:szCs w:val="16"/>
              </w:rPr>
              <w:t>r</w:t>
            </w:r>
            <w:r w:rsidRPr="00397A3E">
              <w:rPr>
                <w:rFonts w:ascii="Calibri" w:hAnsi="Calibri" w:cs="Calibri"/>
                <w:noProof w:val="0"/>
                <w:sz w:val="16"/>
                <w:szCs w:val="16"/>
              </w:rPr>
              <w:t>eview focussed on the relationship between recreational water use and gastrointestinal illness (GI).</w:t>
            </w:r>
          </w:p>
        </w:tc>
        <w:tc>
          <w:tcPr>
            <w:tcW w:w="1456" w:type="dxa"/>
            <w:tcBorders>
              <w:top w:val="nil"/>
              <w:left w:val="nil"/>
              <w:bottom w:val="single" w:sz="4" w:space="0" w:color="B5DDDC"/>
              <w:right w:val="single" w:sz="4" w:space="0" w:color="B5DDDC"/>
            </w:tcBorders>
          </w:tcPr>
          <w:p w14:paraId="6AB5529B" w14:textId="5EB486A6" w:rsidR="00B10B09" w:rsidRPr="00397A3E" w:rsidRDefault="00171C91" w:rsidP="00B10B09">
            <w:pPr>
              <w:spacing w:before="0" w:after="0" w:line="240" w:lineRule="auto"/>
              <w:rPr>
                <w:rFonts w:ascii="Calibri" w:hAnsi="Calibri" w:cs="Calibri"/>
                <w:noProof w:val="0"/>
                <w:sz w:val="16"/>
                <w:szCs w:val="16"/>
              </w:rPr>
            </w:pPr>
            <w:r w:rsidRPr="00397A3E">
              <w:rPr>
                <w:rFonts w:ascii="Calibri" w:hAnsi="Calibri" w:cs="Calibri"/>
                <w:noProof w:val="0"/>
                <w:sz w:val="16"/>
                <w:szCs w:val="16"/>
              </w:rPr>
              <w:t>No</w:t>
            </w:r>
            <w:r w:rsidR="002A72F8" w:rsidRPr="00397A3E">
              <w:rPr>
                <w:rFonts w:ascii="Calibri" w:hAnsi="Calibri" w:cs="Calibri"/>
                <w:noProof w:val="0"/>
                <w:sz w:val="16"/>
                <w:szCs w:val="16"/>
              </w:rPr>
              <w:t>, commented that “very little evidence on how the risk of GI varies with age.”</w:t>
            </w:r>
          </w:p>
        </w:tc>
        <w:tc>
          <w:tcPr>
            <w:tcW w:w="2822" w:type="dxa"/>
            <w:tcBorders>
              <w:top w:val="single" w:sz="4" w:space="0" w:color="B5DDDC"/>
              <w:left w:val="single" w:sz="4" w:space="0" w:color="B5DDDC"/>
              <w:bottom w:val="single" w:sz="4" w:space="0" w:color="B5DDDC"/>
              <w:right w:val="single" w:sz="4" w:space="0" w:color="B5DDDC"/>
            </w:tcBorders>
          </w:tcPr>
          <w:p w14:paraId="492EF36D" w14:textId="0C5381D3" w:rsidR="00B10B09" w:rsidRPr="00397A3E" w:rsidRDefault="00171C91" w:rsidP="00B10B09">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 xml:space="preserve">Yes, states evidence suggests higher GI risk in bathers vs non-bathers at freshwater </w:t>
            </w:r>
            <w:r w:rsidR="002A72F8" w:rsidRPr="00397A3E">
              <w:rPr>
                <w:rFonts w:ascii="Calibri" w:hAnsi="Calibri" w:cs="Calibri"/>
                <w:noProof w:val="0"/>
                <w:sz w:val="16"/>
                <w:szCs w:val="16"/>
              </w:rPr>
              <w:t>beaches but not marine beaches. Also increased risk of GI with higher exposure (e.g. head immersion, swallowing water) and time spent in water.</w:t>
            </w:r>
            <w:r w:rsidR="007639AB" w:rsidRPr="00397A3E">
              <w:rPr>
                <w:rFonts w:ascii="Calibri" w:hAnsi="Calibri" w:cs="Calibri"/>
                <w:noProof w:val="0"/>
                <w:sz w:val="16"/>
                <w:szCs w:val="16"/>
              </w:rPr>
              <w:t xml:space="preserve">  Very high levels of pollution due to heavy rainfall and urban run-off or sewage contamination are associated with increased GI.</w:t>
            </w:r>
          </w:p>
        </w:tc>
        <w:tc>
          <w:tcPr>
            <w:tcW w:w="2610" w:type="dxa"/>
            <w:tcBorders>
              <w:top w:val="nil"/>
              <w:left w:val="nil"/>
              <w:bottom w:val="single" w:sz="4" w:space="0" w:color="B5DDDC"/>
              <w:right w:val="single" w:sz="4" w:space="0" w:color="B5DDDC"/>
            </w:tcBorders>
          </w:tcPr>
          <w:p w14:paraId="381A7FA9" w14:textId="7719A3BC" w:rsidR="00B10B09" w:rsidRPr="00397A3E" w:rsidRDefault="00171C91" w:rsidP="00B10B09">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 xml:space="preserve">A concise although </w:t>
            </w:r>
            <w:r w:rsidR="009421CD" w:rsidRPr="00397A3E">
              <w:rPr>
                <w:rFonts w:ascii="Calibri" w:hAnsi="Calibri" w:cs="Calibri"/>
                <w:noProof w:val="0"/>
                <w:sz w:val="16"/>
                <w:szCs w:val="16"/>
              </w:rPr>
              <w:t>dated</w:t>
            </w:r>
            <w:r w:rsidRPr="00397A3E">
              <w:rPr>
                <w:rFonts w:ascii="Calibri" w:hAnsi="Calibri" w:cs="Calibri"/>
                <w:noProof w:val="0"/>
                <w:sz w:val="16"/>
                <w:szCs w:val="16"/>
              </w:rPr>
              <w:t xml:space="preserve"> review. </w:t>
            </w:r>
            <w:r w:rsidR="00051A8A">
              <w:rPr>
                <w:rFonts w:ascii="Calibri" w:hAnsi="Calibri" w:cs="Calibri"/>
                <w:noProof w:val="0"/>
                <w:sz w:val="16"/>
                <w:szCs w:val="16"/>
              </w:rPr>
              <w:t>T</w:t>
            </w:r>
            <w:r w:rsidRPr="00397A3E">
              <w:rPr>
                <w:rFonts w:ascii="Calibri" w:hAnsi="Calibri" w:cs="Calibri"/>
                <w:noProof w:val="0"/>
                <w:sz w:val="16"/>
                <w:szCs w:val="16"/>
              </w:rPr>
              <w:t xml:space="preserve">he authors </w:t>
            </w:r>
            <w:r w:rsidR="005B042D" w:rsidRPr="00397A3E">
              <w:rPr>
                <w:rFonts w:ascii="Calibri" w:hAnsi="Calibri" w:cs="Calibri"/>
                <w:noProof w:val="0"/>
                <w:sz w:val="16"/>
                <w:szCs w:val="16"/>
              </w:rPr>
              <w:t>were highly critical of the quality of the literature reviewed</w:t>
            </w:r>
            <w:r w:rsidR="00051A8A">
              <w:rPr>
                <w:rFonts w:ascii="Calibri" w:hAnsi="Calibri" w:cs="Calibri"/>
                <w:noProof w:val="0"/>
                <w:sz w:val="16"/>
                <w:szCs w:val="16"/>
              </w:rPr>
              <w:t xml:space="preserve"> and suggested</w:t>
            </w:r>
            <w:r w:rsidR="005B042D" w:rsidRPr="00397A3E">
              <w:rPr>
                <w:rFonts w:ascii="Calibri" w:hAnsi="Calibri" w:cs="Calibri"/>
                <w:noProof w:val="0"/>
                <w:sz w:val="16"/>
                <w:szCs w:val="16"/>
              </w:rPr>
              <w:t xml:space="preserve"> that the various results presented by the study authors could be an artefact of the range of methods used.</w:t>
            </w:r>
          </w:p>
        </w:tc>
        <w:tc>
          <w:tcPr>
            <w:tcW w:w="1939" w:type="dxa"/>
            <w:tcBorders>
              <w:top w:val="nil"/>
              <w:left w:val="nil"/>
              <w:bottom w:val="single" w:sz="4" w:space="0" w:color="B5DDDC"/>
              <w:right w:val="single" w:sz="4" w:space="0" w:color="B5DDDC"/>
            </w:tcBorders>
          </w:tcPr>
          <w:p w14:paraId="6BA03BED" w14:textId="1F3B0388" w:rsidR="00B10B09" w:rsidRPr="00397A3E" w:rsidRDefault="00F7634B" w:rsidP="00B10B09">
            <w:pPr>
              <w:spacing w:before="0" w:after="0" w:line="240" w:lineRule="auto"/>
              <w:rPr>
                <w:rFonts w:ascii="Calibri" w:hAnsi="Calibri" w:cs="Calibri"/>
                <w:noProof w:val="0"/>
                <w:sz w:val="16"/>
                <w:szCs w:val="16"/>
                <w:highlight w:val="yellow"/>
              </w:rPr>
            </w:pPr>
            <w:r>
              <w:rPr>
                <w:rFonts w:ascii="Calibri" w:hAnsi="Calibri" w:cs="Calibri"/>
                <w:noProof w:val="0"/>
                <w:sz w:val="16"/>
                <w:szCs w:val="16"/>
              </w:rPr>
              <w:t>T</w:t>
            </w:r>
            <w:r w:rsidR="00171C91" w:rsidRPr="00397A3E">
              <w:rPr>
                <w:rFonts w:ascii="Calibri" w:hAnsi="Calibri" w:cs="Calibri"/>
                <w:noProof w:val="0"/>
                <w:sz w:val="16"/>
                <w:szCs w:val="16"/>
              </w:rPr>
              <w:t>he review was thorough and conducted according to best practice at the time.</w:t>
            </w:r>
          </w:p>
        </w:tc>
      </w:tr>
      <w:tr w:rsidR="00785848" w14:paraId="590AAA50" w14:textId="77777777" w:rsidTr="005903C7">
        <w:tc>
          <w:tcPr>
            <w:tcW w:w="1150" w:type="dxa"/>
            <w:tcBorders>
              <w:top w:val="nil"/>
              <w:left w:val="single" w:sz="4" w:space="0" w:color="B5DDDC"/>
              <w:bottom w:val="single" w:sz="4" w:space="0" w:color="B5DDDC"/>
              <w:right w:val="single" w:sz="4" w:space="0" w:color="B5DDDC"/>
            </w:tcBorders>
            <w:shd w:val="clear" w:color="000000" w:fill="D6EAEB"/>
            <w:vAlign w:val="center"/>
            <w:hideMark/>
          </w:tcPr>
          <w:p w14:paraId="7E29BFAF" w14:textId="5C1F32FB" w:rsidR="00B10B09" w:rsidRPr="00397A3E" w:rsidRDefault="00171C91" w:rsidP="00B10B09">
            <w:pPr>
              <w:spacing w:before="0" w:after="0" w:line="240" w:lineRule="auto"/>
              <w:rPr>
                <w:rFonts w:ascii="Calibri" w:hAnsi="Calibri" w:cs="Calibri"/>
                <w:noProof w:val="0"/>
                <w:sz w:val="16"/>
                <w:szCs w:val="12"/>
                <w:highlight w:val="yellow"/>
              </w:rPr>
            </w:pPr>
            <w:r w:rsidRPr="00397A3E">
              <w:rPr>
                <w:rFonts w:ascii="Calibri" w:hAnsi="Calibri" w:cs="Calibri"/>
                <w:noProof w:val="0"/>
                <w:color w:val="000000"/>
                <w:sz w:val="16"/>
                <w:szCs w:val="12"/>
              </w:rPr>
              <w:t xml:space="preserve">G8: </w:t>
            </w:r>
            <w:r w:rsidRPr="00397A3E">
              <w:rPr>
                <w:rFonts w:ascii="Calibri" w:hAnsi="Calibri"/>
                <w:bCs/>
                <w:noProof w:val="0"/>
                <w:color w:val="000000"/>
                <w:sz w:val="16"/>
                <w:szCs w:val="12"/>
              </w:rPr>
              <w:fldChar w:fldCharType="begin"/>
            </w:r>
            <w:r w:rsidR="0069143F" w:rsidRPr="00397A3E">
              <w:rPr>
                <w:rFonts w:ascii="Calibri" w:hAnsi="Calibri"/>
                <w:bCs/>
                <w:noProof w:val="0"/>
                <w:color w:val="000000"/>
                <w:sz w:val="16"/>
                <w:szCs w:val="12"/>
              </w:rPr>
              <w:instrText xml:space="preserve"> ADDIN ZOTERO_ITEM CSL_CITATION {"citationID":"uvZaj2Xs","properties":{"custom":"NHMRC (2008)","formattedCitation":"NHMRC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397A3E">
              <w:rPr>
                <w:rFonts w:ascii="Calibri" w:hAnsi="Calibri"/>
                <w:bCs/>
                <w:noProof w:val="0"/>
                <w:color w:val="000000"/>
                <w:sz w:val="16"/>
                <w:szCs w:val="12"/>
              </w:rPr>
              <w:fldChar w:fldCharType="separate"/>
            </w:r>
            <w:r w:rsidRPr="00397A3E">
              <w:rPr>
                <w:rFonts w:ascii="Calibri" w:hAnsi="Calibri" w:cs="Calibri"/>
                <w:noProof w:val="0"/>
                <w:sz w:val="16"/>
                <w:szCs w:val="12"/>
              </w:rPr>
              <w:t>NHMRC (2008)</w:t>
            </w:r>
            <w:r w:rsidRPr="00397A3E">
              <w:rPr>
                <w:rFonts w:ascii="Calibri" w:hAnsi="Calibri"/>
                <w:bCs/>
                <w:noProof w:val="0"/>
                <w:color w:val="000000"/>
                <w:sz w:val="16"/>
                <w:szCs w:val="12"/>
              </w:rPr>
              <w:fldChar w:fldCharType="end"/>
            </w:r>
          </w:p>
        </w:tc>
        <w:tc>
          <w:tcPr>
            <w:tcW w:w="1068" w:type="dxa"/>
            <w:tcBorders>
              <w:top w:val="nil"/>
              <w:left w:val="nil"/>
              <w:bottom w:val="single" w:sz="4" w:space="0" w:color="B5DDDC"/>
              <w:right w:val="single" w:sz="4" w:space="0" w:color="B5DDDC"/>
            </w:tcBorders>
          </w:tcPr>
          <w:p w14:paraId="22ABA5C5" w14:textId="343301C7" w:rsidR="00B10B09" w:rsidRPr="00397A3E" w:rsidRDefault="00171C91" w:rsidP="00B10B09">
            <w:pPr>
              <w:spacing w:before="0" w:after="0" w:line="240" w:lineRule="auto"/>
              <w:rPr>
                <w:rFonts w:ascii="Calibri" w:hAnsi="Calibri" w:cs="Calibri"/>
                <w:noProof w:val="0"/>
                <w:sz w:val="16"/>
                <w:szCs w:val="16"/>
              </w:rPr>
            </w:pPr>
            <w:r w:rsidRPr="00397A3E">
              <w:rPr>
                <w:rFonts w:ascii="Calibri" w:hAnsi="Calibri" w:cs="Calibri"/>
                <w:noProof w:val="0"/>
                <w:sz w:val="16"/>
                <w:szCs w:val="16"/>
              </w:rPr>
              <w:t>Yes</w:t>
            </w:r>
          </w:p>
        </w:tc>
        <w:tc>
          <w:tcPr>
            <w:tcW w:w="1126" w:type="dxa"/>
            <w:tcBorders>
              <w:top w:val="nil"/>
              <w:left w:val="nil"/>
              <w:bottom w:val="single" w:sz="4" w:space="0" w:color="B5DDDC"/>
              <w:right w:val="single" w:sz="4" w:space="0" w:color="B5DDDC"/>
            </w:tcBorders>
          </w:tcPr>
          <w:p w14:paraId="2E034086" w14:textId="1B6970ED" w:rsidR="00B10B09" w:rsidRPr="00397A3E" w:rsidRDefault="00171C91" w:rsidP="00B10B09">
            <w:pPr>
              <w:spacing w:before="0" w:after="0" w:line="240" w:lineRule="auto"/>
              <w:rPr>
                <w:rFonts w:ascii="Calibri" w:hAnsi="Calibri" w:cs="Calibri"/>
                <w:noProof w:val="0"/>
                <w:sz w:val="16"/>
                <w:szCs w:val="16"/>
              </w:rPr>
            </w:pPr>
            <w:r w:rsidRPr="00397A3E">
              <w:rPr>
                <w:rFonts w:ascii="Calibri" w:hAnsi="Calibri" w:cs="Calibri"/>
                <w:noProof w:val="0"/>
                <w:sz w:val="16"/>
                <w:szCs w:val="16"/>
              </w:rPr>
              <w:t>No</w:t>
            </w:r>
          </w:p>
        </w:tc>
        <w:tc>
          <w:tcPr>
            <w:tcW w:w="1721" w:type="dxa"/>
            <w:tcBorders>
              <w:top w:val="nil"/>
              <w:left w:val="single" w:sz="4" w:space="0" w:color="B5DDDC"/>
              <w:bottom w:val="single" w:sz="4" w:space="0" w:color="B5DDDC"/>
              <w:right w:val="single" w:sz="4" w:space="0" w:color="B5DDDC"/>
            </w:tcBorders>
          </w:tcPr>
          <w:p w14:paraId="4DCF12DF" w14:textId="5D50A64E" w:rsidR="00B10B09" w:rsidRPr="00397A3E" w:rsidRDefault="00171C91" w:rsidP="00B10B09">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Yes</w:t>
            </w:r>
            <w:r w:rsidR="00903D6D" w:rsidRPr="00397A3E">
              <w:rPr>
                <w:rFonts w:ascii="Calibri" w:hAnsi="Calibri" w:cs="Calibri"/>
                <w:noProof w:val="0"/>
                <w:sz w:val="16"/>
                <w:szCs w:val="16"/>
              </w:rPr>
              <w:t>,</w:t>
            </w:r>
            <w:r w:rsidRPr="00397A3E">
              <w:rPr>
                <w:rFonts w:ascii="Calibri" w:hAnsi="Calibri" w:cs="Calibri"/>
                <w:noProof w:val="0"/>
                <w:sz w:val="16"/>
                <w:szCs w:val="16"/>
              </w:rPr>
              <w:t xml:space="preserve"> Australian guidance document designed for Australian conditions.</w:t>
            </w:r>
          </w:p>
        </w:tc>
        <w:tc>
          <w:tcPr>
            <w:tcW w:w="1456" w:type="dxa"/>
            <w:tcBorders>
              <w:top w:val="nil"/>
              <w:left w:val="nil"/>
              <w:bottom w:val="single" w:sz="4" w:space="0" w:color="B5DDDC"/>
              <w:right w:val="single" w:sz="4" w:space="0" w:color="B5DDDC"/>
            </w:tcBorders>
          </w:tcPr>
          <w:p w14:paraId="1C13C5B6" w14:textId="01FB3C97" w:rsidR="00B10B09" w:rsidRPr="00397A3E" w:rsidRDefault="00171C91" w:rsidP="00B10B09">
            <w:pPr>
              <w:spacing w:before="0" w:after="0" w:line="240" w:lineRule="auto"/>
              <w:rPr>
                <w:rFonts w:ascii="Calibri" w:hAnsi="Calibri" w:cs="Calibri"/>
                <w:noProof w:val="0"/>
                <w:sz w:val="16"/>
                <w:szCs w:val="16"/>
              </w:rPr>
            </w:pPr>
            <w:r w:rsidRPr="00397A3E">
              <w:rPr>
                <w:rFonts w:ascii="Calibri" w:hAnsi="Calibri" w:cs="Calibri"/>
                <w:noProof w:val="0"/>
                <w:sz w:val="16"/>
                <w:szCs w:val="16"/>
              </w:rPr>
              <w:t>No</w:t>
            </w:r>
          </w:p>
        </w:tc>
        <w:tc>
          <w:tcPr>
            <w:tcW w:w="2822" w:type="dxa"/>
            <w:tcBorders>
              <w:top w:val="nil"/>
              <w:left w:val="single" w:sz="4" w:space="0" w:color="B5DDDC"/>
              <w:bottom w:val="single" w:sz="4" w:space="0" w:color="B5DDDC"/>
              <w:right w:val="single" w:sz="4" w:space="0" w:color="B5DDDC"/>
            </w:tcBorders>
          </w:tcPr>
          <w:p w14:paraId="3D94A2A5" w14:textId="27EE0E32" w:rsidR="00B10B09" w:rsidRPr="00397A3E" w:rsidRDefault="00171C91" w:rsidP="00B10B09">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Yes, d</w:t>
            </w:r>
            <w:r w:rsidR="00DB1CEC" w:rsidRPr="00397A3E">
              <w:rPr>
                <w:rFonts w:ascii="Calibri" w:hAnsi="Calibri" w:cs="Calibri"/>
                <w:noProof w:val="0"/>
                <w:sz w:val="16"/>
                <w:szCs w:val="16"/>
              </w:rPr>
              <w:t>iscusses potential factors in general terms. Recommend</w:t>
            </w:r>
            <w:r w:rsidR="00D0264B" w:rsidRPr="00397A3E">
              <w:rPr>
                <w:rFonts w:ascii="Calibri" w:hAnsi="Calibri" w:cs="Calibri"/>
                <w:noProof w:val="0"/>
                <w:sz w:val="16"/>
                <w:szCs w:val="16"/>
              </w:rPr>
              <w:t>s</w:t>
            </w:r>
            <w:r w:rsidR="00DB1CEC" w:rsidRPr="00397A3E">
              <w:rPr>
                <w:rFonts w:ascii="Calibri" w:hAnsi="Calibri" w:cs="Calibri"/>
                <w:noProof w:val="0"/>
                <w:sz w:val="16"/>
                <w:szCs w:val="16"/>
              </w:rPr>
              <w:t xml:space="preserve"> a classificatory approach to the management of recreational water quality involving microbial-based categorisation of the water using a combination of sanitary inspection and microbial water-quality assessment combined with exposure controls at times of increased risk.</w:t>
            </w:r>
          </w:p>
        </w:tc>
        <w:tc>
          <w:tcPr>
            <w:tcW w:w="2610" w:type="dxa"/>
            <w:tcBorders>
              <w:top w:val="nil"/>
              <w:left w:val="nil"/>
              <w:bottom w:val="single" w:sz="4" w:space="0" w:color="B5DDDC"/>
              <w:right w:val="single" w:sz="4" w:space="0" w:color="B5DDDC"/>
            </w:tcBorders>
          </w:tcPr>
          <w:p w14:paraId="7F7A5D1E" w14:textId="14C7D554" w:rsidR="00B10B09" w:rsidRPr="00397A3E" w:rsidRDefault="00171C91" w:rsidP="00B10B09">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Although the purpose of this review is to support an update of Chapter 5 of the NHMRC guidelines, the classificatory approach to the management of recreational water quality described in the chapter could be considered to provide a baseline for reference.</w:t>
            </w:r>
          </w:p>
        </w:tc>
        <w:tc>
          <w:tcPr>
            <w:tcW w:w="1939" w:type="dxa"/>
            <w:tcBorders>
              <w:top w:val="nil"/>
              <w:left w:val="nil"/>
              <w:bottom w:val="single" w:sz="4" w:space="0" w:color="B5DDDC"/>
              <w:right w:val="single" w:sz="4" w:space="0" w:color="B5DDDC"/>
            </w:tcBorders>
          </w:tcPr>
          <w:p w14:paraId="145341A9" w14:textId="4DFEE3E6" w:rsidR="00B10B09" w:rsidRPr="00397A3E" w:rsidRDefault="00171C91" w:rsidP="00B10B09">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The microbial-based classificatory approach described in the guidelines, although in need of updating, still describes an effective approach for management of recreational water quality.</w:t>
            </w:r>
          </w:p>
        </w:tc>
      </w:tr>
      <w:tr w:rsidR="00785848" w14:paraId="5F816508" w14:textId="77777777" w:rsidTr="005903C7">
        <w:tc>
          <w:tcPr>
            <w:tcW w:w="1150" w:type="dxa"/>
            <w:tcBorders>
              <w:top w:val="nil"/>
              <w:left w:val="single" w:sz="4" w:space="0" w:color="B5DDDC"/>
              <w:bottom w:val="single" w:sz="4" w:space="0" w:color="B5DDDC"/>
              <w:right w:val="single" w:sz="4" w:space="0" w:color="B5DDDC"/>
            </w:tcBorders>
            <w:shd w:val="clear" w:color="000000" w:fill="D6EAEB"/>
            <w:vAlign w:val="center"/>
            <w:hideMark/>
          </w:tcPr>
          <w:p w14:paraId="0934A891" w14:textId="799F19D1" w:rsidR="00B10B09" w:rsidRPr="00397A3E" w:rsidRDefault="00171C91" w:rsidP="00B10B09">
            <w:pPr>
              <w:spacing w:before="0" w:after="0" w:line="240" w:lineRule="auto"/>
              <w:rPr>
                <w:rFonts w:ascii="Calibri" w:hAnsi="Calibri" w:cs="Calibri"/>
                <w:noProof w:val="0"/>
                <w:sz w:val="16"/>
                <w:szCs w:val="12"/>
                <w:highlight w:val="yellow"/>
              </w:rPr>
            </w:pPr>
            <w:r w:rsidRPr="00397A3E">
              <w:rPr>
                <w:rFonts w:ascii="Calibri" w:hAnsi="Calibri" w:cs="Calibri"/>
                <w:noProof w:val="0"/>
                <w:color w:val="000000"/>
                <w:sz w:val="16"/>
                <w:szCs w:val="12"/>
              </w:rPr>
              <w:t xml:space="preserve">G11: </w:t>
            </w:r>
            <w:r w:rsidRPr="00397A3E">
              <w:rPr>
                <w:rFonts w:ascii="Calibri" w:hAnsi="Calibri"/>
                <w:bCs/>
                <w:noProof w:val="0"/>
                <w:color w:val="000000"/>
                <w:sz w:val="16"/>
                <w:szCs w:val="12"/>
              </w:rPr>
              <w:fldChar w:fldCharType="begin"/>
            </w:r>
            <w:r w:rsidR="0069143F" w:rsidRPr="00397A3E">
              <w:rPr>
                <w:rFonts w:ascii="Calibri" w:hAnsi="Calibri"/>
                <w:bCs/>
                <w:noProof w:val="0"/>
                <w:color w:val="000000"/>
                <w:sz w:val="16"/>
                <w:szCs w:val="12"/>
              </w:rPr>
              <w:instrText xml:space="preserve"> ADDIN ZOTERO_ITEM CSL_CITATION {"citationID":"kUYyAy8H","properties":{"custom":"NSW DPIE (2020)","formattedCitation":"NSW DPIE (2020)","plainCitation":"NSW DPIE (2020)","noteIndex":0},"citationItems":[{"id":16395,"uris":["http://zotero.org/users/148142/items/22QWBZGS"],"uri":["http://zotero.org/users/148142/items/22QWBZGS"],"itemData":{"id":16395,"type":"report","page":"88","title":"Protocol for Assessment and Management of Microbial Risks in Recreational Waters. NSW Department of Planning, Industry &amp; Environment","URL":"https://www.environment.nsw.gov.au/research-and-publications/publications-search/protocol-for-assessment-and-management-of-microbial-risks-in-recreational-waters.","author":[{"literal":"NSW DPIE"}],"issued":{"date-parts":[["2020"]]}}}],"schema":"https://github.com/citation-style-language/schema/raw/master/csl-citation.json"} </w:instrText>
            </w:r>
            <w:r w:rsidRPr="00397A3E">
              <w:rPr>
                <w:rFonts w:ascii="Calibri" w:hAnsi="Calibri"/>
                <w:bCs/>
                <w:noProof w:val="0"/>
                <w:color w:val="000000"/>
                <w:sz w:val="16"/>
                <w:szCs w:val="12"/>
              </w:rPr>
              <w:fldChar w:fldCharType="separate"/>
            </w:r>
            <w:r w:rsidRPr="00397A3E">
              <w:rPr>
                <w:rFonts w:ascii="Calibri" w:hAnsi="Calibri" w:cs="Calibri"/>
                <w:noProof w:val="0"/>
                <w:sz w:val="16"/>
                <w:szCs w:val="12"/>
              </w:rPr>
              <w:t>NSW DPIE (2020)</w:t>
            </w:r>
            <w:r w:rsidRPr="00397A3E">
              <w:rPr>
                <w:rFonts w:ascii="Calibri" w:hAnsi="Calibri"/>
                <w:bCs/>
                <w:noProof w:val="0"/>
                <w:color w:val="000000"/>
                <w:sz w:val="16"/>
                <w:szCs w:val="12"/>
              </w:rPr>
              <w:fldChar w:fldCharType="end"/>
            </w:r>
          </w:p>
        </w:tc>
        <w:tc>
          <w:tcPr>
            <w:tcW w:w="1068" w:type="dxa"/>
            <w:tcBorders>
              <w:top w:val="nil"/>
              <w:left w:val="nil"/>
              <w:bottom w:val="single" w:sz="4" w:space="0" w:color="B5DDDC"/>
              <w:right w:val="single" w:sz="4" w:space="0" w:color="B5DDDC"/>
            </w:tcBorders>
          </w:tcPr>
          <w:p w14:paraId="44336C90" w14:textId="23D7FFFE" w:rsidR="00B10B09" w:rsidRPr="00397A3E" w:rsidRDefault="00171C91" w:rsidP="00B10B09">
            <w:pPr>
              <w:spacing w:before="0" w:after="0" w:line="240" w:lineRule="auto"/>
              <w:rPr>
                <w:rFonts w:ascii="Calibri" w:hAnsi="Calibri" w:cs="Calibri"/>
                <w:noProof w:val="0"/>
                <w:sz w:val="16"/>
                <w:szCs w:val="16"/>
              </w:rPr>
            </w:pPr>
            <w:r w:rsidRPr="00397A3E">
              <w:rPr>
                <w:rFonts w:ascii="Calibri" w:hAnsi="Calibri" w:cs="Calibri"/>
                <w:noProof w:val="0"/>
                <w:sz w:val="16"/>
                <w:szCs w:val="16"/>
              </w:rPr>
              <w:t>Yes</w:t>
            </w:r>
          </w:p>
        </w:tc>
        <w:tc>
          <w:tcPr>
            <w:tcW w:w="1126" w:type="dxa"/>
            <w:tcBorders>
              <w:top w:val="nil"/>
              <w:left w:val="nil"/>
              <w:bottom w:val="single" w:sz="4" w:space="0" w:color="B5DDDC"/>
              <w:right w:val="single" w:sz="4" w:space="0" w:color="B5DDDC"/>
            </w:tcBorders>
          </w:tcPr>
          <w:p w14:paraId="03D89866" w14:textId="6AA216C0" w:rsidR="00B10B09" w:rsidRPr="00397A3E" w:rsidRDefault="00171C91" w:rsidP="00B10B09">
            <w:pPr>
              <w:spacing w:before="0" w:after="0" w:line="240" w:lineRule="auto"/>
              <w:rPr>
                <w:rFonts w:ascii="Calibri" w:hAnsi="Calibri" w:cs="Calibri"/>
                <w:noProof w:val="0"/>
                <w:sz w:val="16"/>
                <w:szCs w:val="16"/>
              </w:rPr>
            </w:pPr>
            <w:r w:rsidRPr="00397A3E">
              <w:rPr>
                <w:rFonts w:ascii="Calibri" w:hAnsi="Calibri" w:cs="Calibri"/>
                <w:noProof w:val="0"/>
                <w:sz w:val="16"/>
                <w:szCs w:val="16"/>
              </w:rPr>
              <w:t>Yes</w:t>
            </w:r>
          </w:p>
        </w:tc>
        <w:tc>
          <w:tcPr>
            <w:tcW w:w="1721" w:type="dxa"/>
            <w:tcBorders>
              <w:top w:val="nil"/>
              <w:left w:val="single" w:sz="4" w:space="0" w:color="B5DDDC"/>
              <w:bottom w:val="single" w:sz="4" w:space="0" w:color="B5DDDC"/>
              <w:right w:val="single" w:sz="4" w:space="0" w:color="B5DDDC"/>
            </w:tcBorders>
          </w:tcPr>
          <w:p w14:paraId="275B2A7E" w14:textId="73E1A09F" w:rsidR="00B10B09" w:rsidRPr="00397A3E" w:rsidRDefault="00171C91" w:rsidP="00B10B09">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Yes</w:t>
            </w:r>
            <w:r w:rsidR="00903D6D" w:rsidRPr="00397A3E">
              <w:rPr>
                <w:rFonts w:ascii="Calibri" w:hAnsi="Calibri" w:cs="Calibri"/>
                <w:noProof w:val="0"/>
                <w:sz w:val="16"/>
                <w:szCs w:val="16"/>
              </w:rPr>
              <w:t>,</w:t>
            </w:r>
            <w:r w:rsidRPr="00397A3E">
              <w:rPr>
                <w:rFonts w:ascii="Calibri" w:hAnsi="Calibri" w:cs="Calibri"/>
                <w:noProof w:val="0"/>
                <w:sz w:val="16"/>
                <w:szCs w:val="16"/>
              </w:rPr>
              <w:t xml:space="preserve"> </w:t>
            </w:r>
            <w:r w:rsidR="00903D6D" w:rsidRPr="00397A3E">
              <w:rPr>
                <w:rFonts w:ascii="Calibri" w:hAnsi="Calibri" w:cs="Calibri"/>
                <w:noProof w:val="0"/>
                <w:sz w:val="16"/>
                <w:szCs w:val="16"/>
              </w:rPr>
              <w:t>l</w:t>
            </w:r>
            <w:r w:rsidRPr="00397A3E">
              <w:rPr>
                <w:rFonts w:ascii="Calibri" w:hAnsi="Calibri" w:cs="Calibri"/>
                <w:noProof w:val="0"/>
                <w:sz w:val="16"/>
                <w:szCs w:val="16"/>
              </w:rPr>
              <w:t xml:space="preserve">ocal guidance document designed for NSW conditions, but </w:t>
            </w:r>
            <w:r w:rsidR="009421CD" w:rsidRPr="00397A3E">
              <w:rPr>
                <w:rFonts w:ascii="Calibri" w:hAnsi="Calibri" w:cs="Calibri"/>
                <w:noProof w:val="0"/>
                <w:sz w:val="16"/>
                <w:szCs w:val="16"/>
              </w:rPr>
              <w:t>applicable</w:t>
            </w:r>
            <w:r w:rsidRPr="00397A3E">
              <w:rPr>
                <w:rFonts w:ascii="Calibri" w:hAnsi="Calibri" w:cs="Calibri"/>
                <w:noProof w:val="0"/>
                <w:sz w:val="16"/>
                <w:szCs w:val="16"/>
              </w:rPr>
              <w:t xml:space="preserve"> nationwide.</w:t>
            </w:r>
          </w:p>
        </w:tc>
        <w:tc>
          <w:tcPr>
            <w:tcW w:w="1456" w:type="dxa"/>
            <w:tcBorders>
              <w:top w:val="nil"/>
              <w:left w:val="nil"/>
              <w:bottom w:val="single" w:sz="4" w:space="0" w:color="B5DDDC"/>
              <w:right w:val="single" w:sz="4" w:space="0" w:color="B5DDDC"/>
            </w:tcBorders>
          </w:tcPr>
          <w:p w14:paraId="6F79E868" w14:textId="1E500F06" w:rsidR="00B10B09" w:rsidRPr="00397A3E" w:rsidRDefault="00171C91" w:rsidP="00B10B09">
            <w:pPr>
              <w:spacing w:before="0" w:after="0" w:line="240" w:lineRule="auto"/>
              <w:rPr>
                <w:rFonts w:ascii="Calibri" w:hAnsi="Calibri" w:cs="Calibri"/>
                <w:noProof w:val="0"/>
                <w:sz w:val="16"/>
                <w:szCs w:val="16"/>
              </w:rPr>
            </w:pPr>
            <w:r w:rsidRPr="00397A3E">
              <w:rPr>
                <w:rFonts w:ascii="Calibri" w:hAnsi="Calibri" w:cs="Calibri"/>
                <w:noProof w:val="0"/>
                <w:sz w:val="16"/>
                <w:szCs w:val="16"/>
              </w:rPr>
              <w:t>No</w:t>
            </w:r>
          </w:p>
        </w:tc>
        <w:tc>
          <w:tcPr>
            <w:tcW w:w="2822" w:type="dxa"/>
            <w:tcBorders>
              <w:top w:val="nil"/>
              <w:left w:val="single" w:sz="4" w:space="0" w:color="B5DDDC"/>
              <w:bottom w:val="single" w:sz="4" w:space="0" w:color="B5DDDC"/>
              <w:right w:val="single" w:sz="4" w:space="0" w:color="B5DDDC"/>
            </w:tcBorders>
          </w:tcPr>
          <w:p w14:paraId="32D5C64F" w14:textId="72A35C04" w:rsidR="00B10B09" w:rsidRPr="00397A3E" w:rsidRDefault="00171C91" w:rsidP="00B10B09">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Yes, t</w:t>
            </w:r>
            <w:r w:rsidR="002A5925" w:rsidRPr="00397A3E">
              <w:rPr>
                <w:rFonts w:ascii="Calibri" w:hAnsi="Calibri" w:cs="Calibri"/>
                <w:noProof w:val="0"/>
                <w:sz w:val="16"/>
                <w:szCs w:val="16"/>
              </w:rPr>
              <w:t xml:space="preserve">he protocol provides detailed </w:t>
            </w:r>
            <w:r w:rsidR="00B96981" w:rsidRPr="00397A3E">
              <w:rPr>
                <w:rFonts w:ascii="Calibri" w:hAnsi="Calibri" w:cs="Calibri"/>
                <w:noProof w:val="0"/>
                <w:sz w:val="16"/>
                <w:szCs w:val="16"/>
              </w:rPr>
              <w:t>guidance</w:t>
            </w:r>
            <w:r w:rsidR="002A5925" w:rsidRPr="00397A3E">
              <w:rPr>
                <w:rFonts w:ascii="Calibri" w:hAnsi="Calibri" w:cs="Calibri"/>
                <w:noProof w:val="0"/>
                <w:sz w:val="16"/>
                <w:szCs w:val="16"/>
              </w:rPr>
              <w:t xml:space="preserve"> and an improved assessment and </w:t>
            </w:r>
            <w:r w:rsidR="00B96981" w:rsidRPr="00397A3E">
              <w:rPr>
                <w:rFonts w:ascii="Calibri" w:hAnsi="Calibri" w:cs="Calibri"/>
                <w:noProof w:val="0"/>
                <w:sz w:val="16"/>
                <w:szCs w:val="16"/>
              </w:rPr>
              <w:t>management</w:t>
            </w:r>
            <w:r w:rsidR="002A5925" w:rsidRPr="00397A3E">
              <w:rPr>
                <w:rFonts w:ascii="Calibri" w:hAnsi="Calibri" w:cs="Calibri"/>
                <w:noProof w:val="0"/>
                <w:sz w:val="16"/>
                <w:szCs w:val="16"/>
              </w:rPr>
              <w:t xml:space="preserve"> framework to support the implementation of Chapter 5, Microbial Risks, of the </w:t>
            </w:r>
            <w:r w:rsidR="004D3543">
              <w:rPr>
                <w:rFonts w:ascii="Calibri" w:hAnsi="Calibri" w:cs="Calibri"/>
                <w:noProof w:val="0"/>
                <w:sz w:val="16"/>
                <w:szCs w:val="16"/>
              </w:rPr>
              <w:t xml:space="preserve">2008 </w:t>
            </w:r>
            <w:r w:rsidR="002A5925" w:rsidRPr="00397A3E">
              <w:rPr>
                <w:rFonts w:ascii="Calibri" w:hAnsi="Calibri" w:cs="Calibri"/>
                <w:noProof w:val="0"/>
                <w:sz w:val="16"/>
                <w:szCs w:val="16"/>
              </w:rPr>
              <w:t>NHMRC Guidelines</w:t>
            </w:r>
          </w:p>
        </w:tc>
        <w:tc>
          <w:tcPr>
            <w:tcW w:w="2610" w:type="dxa"/>
            <w:tcBorders>
              <w:top w:val="nil"/>
              <w:left w:val="nil"/>
              <w:bottom w:val="single" w:sz="4" w:space="0" w:color="B5DDDC"/>
              <w:right w:val="single" w:sz="4" w:space="0" w:color="B5DDDC"/>
            </w:tcBorders>
          </w:tcPr>
          <w:p w14:paraId="10BF0E28" w14:textId="0B9FD52C" w:rsidR="00B10B09" w:rsidRPr="00397A3E" w:rsidRDefault="00171C91" w:rsidP="00B10B09">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 xml:space="preserve">A noteworthy innovative aspect of the protocol is the </w:t>
            </w:r>
            <w:r w:rsidR="00CD434B" w:rsidRPr="00397A3E">
              <w:rPr>
                <w:rFonts w:ascii="Calibri" w:hAnsi="Calibri" w:cs="Calibri"/>
                <w:noProof w:val="0"/>
                <w:sz w:val="16"/>
                <w:szCs w:val="16"/>
              </w:rPr>
              <w:t>provision</w:t>
            </w:r>
            <w:r w:rsidRPr="00397A3E">
              <w:rPr>
                <w:rFonts w:ascii="Calibri" w:hAnsi="Calibri" w:cs="Calibri"/>
                <w:noProof w:val="0"/>
                <w:sz w:val="16"/>
                <w:szCs w:val="16"/>
              </w:rPr>
              <w:t xml:space="preserve"> of methods for assessing and scoring likelihoods of contamination from a wide variety of pollutions sources as well as templates for scoring such </w:t>
            </w:r>
            <w:r w:rsidR="00CD434B" w:rsidRPr="00397A3E">
              <w:rPr>
                <w:rFonts w:ascii="Calibri" w:hAnsi="Calibri" w:cs="Calibri"/>
                <w:noProof w:val="0"/>
                <w:sz w:val="16"/>
                <w:szCs w:val="16"/>
              </w:rPr>
              <w:t>hazards</w:t>
            </w:r>
            <w:r w:rsidRPr="00397A3E">
              <w:rPr>
                <w:rFonts w:ascii="Calibri" w:hAnsi="Calibri" w:cs="Calibri"/>
                <w:noProof w:val="0"/>
                <w:sz w:val="16"/>
                <w:szCs w:val="16"/>
              </w:rPr>
              <w:t xml:space="preserve"> in the appendices.</w:t>
            </w:r>
          </w:p>
        </w:tc>
        <w:tc>
          <w:tcPr>
            <w:tcW w:w="1939" w:type="dxa"/>
            <w:tcBorders>
              <w:top w:val="nil"/>
              <w:left w:val="nil"/>
              <w:bottom w:val="single" w:sz="4" w:space="0" w:color="B5DDDC"/>
              <w:right w:val="single" w:sz="4" w:space="0" w:color="B5DDDC"/>
            </w:tcBorders>
          </w:tcPr>
          <w:p w14:paraId="0C8EDB58" w14:textId="1A61B5BE" w:rsidR="00B10B09" w:rsidRPr="00397A3E" w:rsidRDefault="00171C91" w:rsidP="00B10B09">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The protocol provides a clear and detailed practical methodology for monitoring, assessing, and predicting risks from diffuse and point source microbial contamination in recreational waters.</w:t>
            </w:r>
          </w:p>
        </w:tc>
      </w:tr>
      <w:tr w:rsidR="00785848" w14:paraId="0E54F51F" w14:textId="77777777" w:rsidTr="005903C7">
        <w:tc>
          <w:tcPr>
            <w:tcW w:w="1150" w:type="dxa"/>
            <w:tcBorders>
              <w:top w:val="nil"/>
              <w:left w:val="single" w:sz="4" w:space="0" w:color="B5DDDC"/>
              <w:bottom w:val="single" w:sz="4" w:space="0" w:color="B5DDDC"/>
              <w:right w:val="single" w:sz="4" w:space="0" w:color="B5DDDC"/>
            </w:tcBorders>
            <w:shd w:val="clear" w:color="000000" w:fill="D6EAEB"/>
            <w:vAlign w:val="center"/>
            <w:hideMark/>
          </w:tcPr>
          <w:p w14:paraId="020DC83D" w14:textId="74E1B2F6" w:rsidR="00B10B09" w:rsidRPr="00397A3E" w:rsidRDefault="00171C91" w:rsidP="00B10B09">
            <w:pPr>
              <w:spacing w:before="0" w:after="0" w:line="240" w:lineRule="auto"/>
              <w:rPr>
                <w:rFonts w:ascii="Calibri" w:hAnsi="Calibri" w:cs="Calibri"/>
                <w:noProof w:val="0"/>
                <w:sz w:val="16"/>
                <w:szCs w:val="12"/>
                <w:highlight w:val="yellow"/>
              </w:rPr>
            </w:pPr>
            <w:r w:rsidRPr="00397A3E">
              <w:rPr>
                <w:rFonts w:ascii="Calibri" w:hAnsi="Calibri" w:cs="Calibri"/>
                <w:noProof w:val="0"/>
                <w:color w:val="000000"/>
                <w:sz w:val="16"/>
                <w:szCs w:val="12"/>
              </w:rPr>
              <w:t xml:space="preserve">G13: </w:t>
            </w:r>
            <w:r w:rsidRPr="00397A3E">
              <w:rPr>
                <w:rFonts w:ascii="Calibri" w:hAnsi="Calibri"/>
                <w:bCs/>
                <w:noProof w:val="0"/>
                <w:color w:val="000000"/>
                <w:sz w:val="16"/>
                <w:szCs w:val="12"/>
              </w:rPr>
              <w:fldChar w:fldCharType="begin"/>
            </w:r>
            <w:r w:rsidR="0069143F" w:rsidRPr="00397A3E">
              <w:rPr>
                <w:rFonts w:ascii="Calibri" w:hAnsi="Calibri"/>
                <w:bCs/>
                <w:noProof w:val="0"/>
                <w:color w:val="000000"/>
                <w:sz w:val="16"/>
                <w:szCs w:val="12"/>
              </w:rPr>
              <w:instrText xml:space="preserve"> ADDIN ZOTERO_ITEM CSL_CITATION {"citationID":"3WJafy7y","properties":{"custom":"US EPA (2017)","formattedCitation":"US EPA (2017)","plainCitation":"US EPA (2017)","noteIndex":0},"citationItems":[{"id":15763,"uris":["http://zotero.org/users/148142/items/BR87QUJ3"],"uri":["http://zotero.org/users/148142/items/BR87QUJ3"],"itemData":{"id":15763,"type":"report","event-place":"Washington, DC, United States","number":"Office of Water 823-R-18-001","publisher":"US Environmental Protection Agency, Office of Water, Office of Science and Technology","publisher-place":"Washington, DC, United States","title":"2017 Five-Year Review of the 2012 Recreational Water Quality Criteria","URL":"https://www.epa.gov/sites/production/files/2018-05/documents/2017-5year-review-rwqc.pdf","author":[{"literal":"US EPA"}],"issued":{"date-parts":[["2017"]]}}}],"schema":"https://github.com/citation-style-language/schema/raw/master/csl-citation.json"} </w:instrText>
            </w:r>
            <w:r w:rsidRPr="00397A3E">
              <w:rPr>
                <w:rFonts w:ascii="Calibri" w:hAnsi="Calibri"/>
                <w:bCs/>
                <w:noProof w:val="0"/>
                <w:color w:val="000000"/>
                <w:sz w:val="16"/>
                <w:szCs w:val="12"/>
              </w:rPr>
              <w:fldChar w:fldCharType="separate"/>
            </w:r>
            <w:r w:rsidRPr="00397A3E">
              <w:rPr>
                <w:rFonts w:ascii="Calibri" w:hAnsi="Calibri" w:cs="Calibri"/>
                <w:noProof w:val="0"/>
                <w:sz w:val="16"/>
                <w:szCs w:val="12"/>
              </w:rPr>
              <w:t>US EPA (2017)</w:t>
            </w:r>
            <w:r w:rsidRPr="00397A3E">
              <w:rPr>
                <w:rFonts w:ascii="Calibri" w:hAnsi="Calibri"/>
                <w:bCs/>
                <w:noProof w:val="0"/>
                <w:color w:val="000000"/>
                <w:sz w:val="16"/>
                <w:szCs w:val="12"/>
              </w:rPr>
              <w:fldChar w:fldCharType="end"/>
            </w:r>
          </w:p>
        </w:tc>
        <w:tc>
          <w:tcPr>
            <w:tcW w:w="1068" w:type="dxa"/>
            <w:tcBorders>
              <w:top w:val="nil"/>
              <w:left w:val="nil"/>
              <w:bottom w:val="single" w:sz="4" w:space="0" w:color="B5DDDC"/>
              <w:right w:val="single" w:sz="4" w:space="0" w:color="B5DDDC"/>
            </w:tcBorders>
          </w:tcPr>
          <w:p w14:paraId="65C787F3" w14:textId="30847ECD" w:rsidR="00B10B09" w:rsidRPr="00397A3E" w:rsidRDefault="00171C91" w:rsidP="00B10B09">
            <w:pPr>
              <w:spacing w:before="0" w:after="0" w:line="240" w:lineRule="auto"/>
              <w:rPr>
                <w:rFonts w:ascii="Calibri" w:hAnsi="Calibri" w:cs="Calibri"/>
                <w:noProof w:val="0"/>
                <w:sz w:val="16"/>
                <w:szCs w:val="16"/>
              </w:rPr>
            </w:pPr>
            <w:r w:rsidRPr="00397A3E">
              <w:rPr>
                <w:rFonts w:ascii="Calibri" w:hAnsi="Calibri" w:cs="Calibri"/>
                <w:noProof w:val="0"/>
                <w:sz w:val="16"/>
                <w:szCs w:val="16"/>
              </w:rPr>
              <w:t>Yes</w:t>
            </w:r>
          </w:p>
        </w:tc>
        <w:tc>
          <w:tcPr>
            <w:tcW w:w="1126" w:type="dxa"/>
            <w:tcBorders>
              <w:top w:val="nil"/>
              <w:left w:val="nil"/>
              <w:bottom w:val="single" w:sz="4" w:space="0" w:color="B5DDDC"/>
              <w:right w:val="single" w:sz="4" w:space="0" w:color="B5DDDC"/>
            </w:tcBorders>
          </w:tcPr>
          <w:p w14:paraId="32B77389" w14:textId="674FABC0" w:rsidR="00B10B09" w:rsidRPr="00397A3E" w:rsidRDefault="00171C91" w:rsidP="00B10B09">
            <w:pPr>
              <w:spacing w:before="0" w:after="0" w:line="240" w:lineRule="auto"/>
              <w:rPr>
                <w:rFonts w:ascii="Calibri" w:hAnsi="Calibri" w:cs="Calibri"/>
                <w:noProof w:val="0"/>
                <w:sz w:val="16"/>
                <w:szCs w:val="16"/>
              </w:rPr>
            </w:pPr>
            <w:r w:rsidRPr="00397A3E">
              <w:rPr>
                <w:rFonts w:ascii="Calibri" w:hAnsi="Calibri" w:cs="Calibri"/>
                <w:noProof w:val="0"/>
                <w:sz w:val="16"/>
                <w:szCs w:val="16"/>
              </w:rPr>
              <w:t>Yes</w:t>
            </w:r>
          </w:p>
        </w:tc>
        <w:tc>
          <w:tcPr>
            <w:tcW w:w="1721" w:type="dxa"/>
            <w:tcBorders>
              <w:top w:val="nil"/>
              <w:left w:val="single" w:sz="4" w:space="0" w:color="B5DDDC"/>
              <w:bottom w:val="single" w:sz="4" w:space="0" w:color="B5DDDC"/>
              <w:right w:val="single" w:sz="4" w:space="0" w:color="B5DDDC"/>
            </w:tcBorders>
          </w:tcPr>
          <w:p w14:paraId="42D81BB9" w14:textId="78C70FFF" w:rsidR="00B10B09" w:rsidRPr="00397A3E" w:rsidRDefault="00171C91" w:rsidP="00B10B09">
            <w:pPr>
              <w:spacing w:before="0" w:after="0" w:line="240" w:lineRule="auto"/>
              <w:rPr>
                <w:rFonts w:ascii="Calibri" w:hAnsi="Calibri" w:cs="Calibri"/>
                <w:noProof w:val="0"/>
                <w:sz w:val="16"/>
                <w:szCs w:val="16"/>
              </w:rPr>
            </w:pPr>
            <w:r w:rsidRPr="00397A3E">
              <w:rPr>
                <w:rFonts w:ascii="Calibri" w:hAnsi="Calibri" w:cs="Calibri"/>
                <w:noProof w:val="0"/>
                <w:sz w:val="16"/>
                <w:szCs w:val="16"/>
              </w:rPr>
              <w:t>Yes</w:t>
            </w:r>
            <w:r w:rsidR="0072407B" w:rsidRPr="00397A3E">
              <w:rPr>
                <w:rFonts w:ascii="Calibri" w:hAnsi="Calibri" w:cs="Calibri"/>
                <w:noProof w:val="0"/>
                <w:sz w:val="16"/>
                <w:szCs w:val="16"/>
              </w:rPr>
              <w:t>, contains appropriate recommendations relevant to research and implementation.</w:t>
            </w:r>
          </w:p>
        </w:tc>
        <w:tc>
          <w:tcPr>
            <w:tcW w:w="1456" w:type="dxa"/>
            <w:tcBorders>
              <w:top w:val="nil"/>
              <w:left w:val="nil"/>
              <w:bottom w:val="single" w:sz="4" w:space="0" w:color="B5DDDC"/>
              <w:right w:val="single" w:sz="4" w:space="0" w:color="B5DDDC"/>
            </w:tcBorders>
          </w:tcPr>
          <w:p w14:paraId="77AC5096" w14:textId="51899531" w:rsidR="00B10B09" w:rsidRPr="00397A3E" w:rsidRDefault="00171C91" w:rsidP="00B10B09">
            <w:pPr>
              <w:spacing w:before="0" w:after="0" w:line="240" w:lineRule="auto"/>
              <w:rPr>
                <w:rFonts w:ascii="Calibri" w:hAnsi="Calibri" w:cs="Calibri"/>
                <w:noProof w:val="0"/>
                <w:sz w:val="16"/>
                <w:szCs w:val="16"/>
              </w:rPr>
            </w:pPr>
            <w:r w:rsidRPr="00397A3E">
              <w:rPr>
                <w:rFonts w:ascii="Calibri" w:hAnsi="Calibri" w:cs="Calibri"/>
                <w:noProof w:val="0"/>
                <w:sz w:val="16"/>
                <w:szCs w:val="16"/>
              </w:rPr>
              <w:t>Yes, commentary stating that a</w:t>
            </w:r>
            <w:r w:rsidRPr="00397A3E">
              <w:rPr>
                <w:noProof w:val="0"/>
              </w:rPr>
              <w:t xml:space="preserve"> </w:t>
            </w:r>
            <w:r w:rsidRPr="00397A3E">
              <w:rPr>
                <w:rFonts w:ascii="Calibri" w:hAnsi="Calibri" w:cs="Calibri"/>
                <w:noProof w:val="0"/>
                <w:sz w:val="16"/>
                <w:szCs w:val="16"/>
              </w:rPr>
              <w:t>growing body of evidence suggests that children can be disproportionately susceptible to health effects resulting from exposure to pathogens in recreational waters</w:t>
            </w:r>
          </w:p>
        </w:tc>
        <w:tc>
          <w:tcPr>
            <w:tcW w:w="2822" w:type="dxa"/>
            <w:tcBorders>
              <w:top w:val="nil"/>
              <w:left w:val="single" w:sz="4" w:space="0" w:color="B5DDDC"/>
              <w:bottom w:val="single" w:sz="4" w:space="0" w:color="B5DDDC"/>
              <w:right w:val="single" w:sz="4" w:space="0" w:color="B5DDDC"/>
            </w:tcBorders>
          </w:tcPr>
          <w:p w14:paraId="289C762A" w14:textId="4D2DA7B4" w:rsidR="00B10B09" w:rsidRPr="00397A3E" w:rsidRDefault="00171C91" w:rsidP="00B10B09">
            <w:pPr>
              <w:spacing w:before="0" w:after="0" w:line="240" w:lineRule="auto"/>
              <w:rPr>
                <w:rFonts w:ascii="Calibri" w:hAnsi="Calibri" w:cs="Calibri"/>
                <w:noProof w:val="0"/>
                <w:sz w:val="16"/>
                <w:szCs w:val="16"/>
              </w:rPr>
            </w:pPr>
            <w:r w:rsidRPr="00397A3E">
              <w:rPr>
                <w:rFonts w:ascii="Calibri" w:hAnsi="Calibri" w:cs="Calibri"/>
                <w:noProof w:val="0"/>
                <w:sz w:val="16"/>
                <w:szCs w:val="16"/>
              </w:rPr>
              <w:t>Yes</w:t>
            </w:r>
            <w:r w:rsidR="00BD0E02" w:rsidRPr="00397A3E">
              <w:rPr>
                <w:rFonts w:ascii="Calibri" w:hAnsi="Calibri" w:cs="Calibri"/>
                <w:noProof w:val="0"/>
                <w:sz w:val="16"/>
                <w:szCs w:val="16"/>
              </w:rPr>
              <w:t xml:space="preserve">, </w:t>
            </w:r>
            <w:r w:rsidRPr="00397A3E">
              <w:rPr>
                <w:rFonts w:ascii="Calibri" w:hAnsi="Calibri" w:cs="Calibri"/>
                <w:noProof w:val="0"/>
                <w:sz w:val="16"/>
                <w:szCs w:val="16"/>
              </w:rPr>
              <w:t>evidence strongly suggests most illnesses in recreational waters are due to enteric viruses, thus development and implementation of viral indicators</w:t>
            </w:r>
            <w:r w:rsidR="00BD0E02" w:rsidRPr="00397A3E">
              <w:rPr>
                <w:rFonts w:ascii="Calibri" w:hAnsi="Calibri" w:cs="Calibri"/>
                <w:noProof w:val="0"/>
                <w:sz w:val="16"/>
                <w:szCs w:val="16"/>
              </w:rPr>
              <w:t xml:space="preserve"> </w:t>
            </w:r>
            <w:r w:rsidRPr="00397A3E">
              <w:rPr>
                <w:rFonts w:ascii="Calibri" w:hAnsi="Calibri" w:cs="Calibri"/>
                <w:noProof w:val="0"/>
                <w:sz w:val="16"/>
                <w:szCs w:val="16"/>
              </w:rPr>
              <w:t>such as coliphage and use of qPCR methods is advocated.</w:t>
            </w:r>
          </w:p>
        </w:tc>
        <w:tc>
          <w:tcPr>
            <w:tcW w:w="2610" w:type="dxa"/>
            <w:tcBorders>
              <w:top w:val="nil"/>
              <w:left w:val="nil"/>
              <w:bottom w:val="single" w:sz="4" w:space="0" w:color="B5DDDC"/>
              <w:right w:val="single" w:sz="4" w:space="0" w:color="B5DDDC"/>
            </w:tcBorders>
          </w:tcPr>
          <w:p w14:paraId="38966676" w14:textId="35D07345" w:rsidR="00B10B09" w:rsidRPr="00397A3E" w:rsidRDefault="00171C91" w:rsidP="002F23A2">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The review was based on external and in-house reviews by EPA and industry consultation</w:t>
            </w:r>
            <w:r w:rsidR="00AC12D3">
              <w:rPr>
                <w:rFonts w:ascii="Calibri" w:hAnsi="Calibri" w:cs="Calibri"/>
                <w:noProof w:val="0"/>
                <w:sz w:val="16"/>
                <w:szCs w:val="16"/>
              </w:rPr>
              <w:t>. The review provided general</w:t>
            </w:r>
            <w:r w:rsidR="002F23A2" w:rsidRPr="00397A3E">
              <w:rPr>
                <w:rFonts w:ascii="Calibri" w:hAnsi="Calibri" w:cs="Calibri"/>
                <w:noProof w:val="0"/>
                <w:sz w:val="16"/>
                <w:szCs w:val="16"/>
              </w:rPr>
              <w:t xml:space="preserve"> </w:t>
            </w:r>
            <w:r w:rsidRPr="00397A3E">
              <w:rPr>
                <w:rFonts w:ascii="Calibri" w:hAnsi="Calibri" w:cs="Calibri"/>
                <w:noProof w:val="0"/>
                <w:sz w:val="16"/>
                <w:szCs w:val="16"/>
              </w:rPr>
              <w:t>discussion under several headings</w:t>
            </w:r>
            <w:r w:rsidR="00AC12D3">
              <w:rPr>
                <w:rFonts w:ascii="Calibri" w:hAnsi="Calibri" w:cs="Calibri"/>
                <w:noProof w:val="0"/>
                <w:sz w:val="16"/>
                <w:szCs w:val="16"/>
              </w:rPr>
              <w:t>. While the review was unable to</w:t>
            </w:r>
            <w:r w:rsidRPr="00397A3E">
              <w:rPr>
                <w:rFonts w:ascii="Calibri" w:hAnsi="Calibri" w:cs="Calibri"/>
                <w:noProof w:val="0"/>
                <w:sz w:val="16"/>
                <w:szCs w:val="16"/>
              </w:rPr>
              <w:t xml:space="preserve"> draw a</w:t>
            </w:r>
            <w:r w:rsidR="00AC12D3">
              <w:rPr>
                <w:rFonts w:ascii="Calibri" w:hAnsi="Calibri" w:cs="Calibri"/>
                <w:noProof w:val="0"/>
                <w:sz w:val="16"/>
                <w:szCs w:val="16"/>
              </w:rPr>
              <w:t>ny</w:t>
            </w:r>
            <w:r w:rsidRPr="00397A3E">
              <w:rPr>
                <w:rFonts w:ascii="Calibri" w:hAnsi="Calibri" w:cs="Calibri"/>
                <w:noProof w:val="0"/>
                <w:sz w:val="16"/>
                <w:szCs w:val="16"/>
              </w:rPr>
              <w:t xml:space="preserve"> concise conclusion</w:t>
            </w:r>
            <w:r w:rsidR="00AC12D3">
              <w:rPr>
                <w:rFonts w:ascii="Calibri" w:hAnsi="Calibri" w:cs="Calibri"/>
                <w:noProof w:val="0"/>
                <w:sz w:val="16"/>
                <w:szCs w:val="16"/>
              </w:rPr>
              <w:t>s, several</w:t>
            </w:r>
            <w:r w:rsidRPr="00397A3E">
              <w:rPr>
                <w:rFonts w:ascii="Calibri" w:hAnsi="Calibri" w:cs="Calibri"/>
                <w:noProof w:val="0"/>
                <w:sz w:val="16"/>
                <w:szCs w:val="16"/>
              </w:rPr>
              <w:t xml:space="preserve"> suggesti</w:t>
            </w:r>
            <w:r w:rsidR="00AC12D3">
              <w:rPr>
                <w:rFonts w:ascii="Calibri" w:hAnsi="Calibri" w:cs="Calibri"/>
                <w:noProof w:val="0"/>
                <w:sz w:val="16"/>
                <w:szCs w:val="16"/>
              </w:rPr>
              <w:t>ons for</w:t>
            </w:r>
            <w:r w:rsidRPr="00397A3E">
              <w:rPr>
                <w:rFonts w:ascii="Calibri" w:hAnsi="Calibri" w:cs="Calibri"/>
                <w:noProof w:val="0"/>
                <w:sz w:val="16"/>
                <w:szCs w:val="16"/>
              </w:rPr>
              <w:t xml:space="preserve"> further research</w:t>
            </w:r>
            <w:r w:rsidR="00AC12D3">
              <w:rPr>
                <w:rFonts w:ascii="Calibri" w:hAnsi="Calibri" w:cs="Calibri"/>
                <w:noProof w:val="0"/>
                <w:sz w:val="16"/>
                <w:szCs w:val="16"/>
              </w:rPr>
              <w:t xml:space="preserve"> are provided</w:t>
            </w:r>
            <w:r w:rsidRPr="00397A3E">
              <w:rPr>
                <w:rFonts w:ascii="Calibri" w:hAnsi="Calibri" w:cs="Calibri"/>
                <w:noProof w:val="0"/>
                <w:sz w:val="16"/>
                <w:szCs w:val="16"/>
              </w:rPr>
              <w:t xml:space="preserve">. </w:t>
            </w:r>
          </w:p>
        </w:tc>
        <w:tc>
          <w:tcPr>
            <w:tcW w:w="1939" w:type="dxa"/>
            <w:tcBorders>
              <w:top w:val="nil"/>
              <w:left w:val="nil"/>
              <w:bottom w:val="single" w:sz="4" w:space="0" w:color="B5DDDC"/>
              <w:right w:val="single" w:sz="4" w:space="0" w:color="B5DDDC"/>
            </w:tcBorders>
          </w:tcPr>
          <w:p w14:paraId="7CE59368" w14:textId="69C1B404" w:rsidR="00B10B09" w:rsidRPr="00397A3E" w:rsidRDefault="00AC12D3" w:rsidP="00B10B09">
            <w:pPr>
              <w:spacing w:before="0" w:after="0" w:line="240" w:lineRule="auto"/>
              <w:rPr>
                <w:rFonts w:ascii="Calibri" w:hAnsi="Calibri" w:cs="Calibri"/>
                <w:noProof w:val="0"/>
                <w:sz w:val="16"/>
                <w:szCs w:val="16"/>
                <w:highlight w:val="yellow"/>
              </w:rPr>
            </w:pPr>
            <w:r>
              <w:rPr>
                <w:rFonts w:ascii="Calibri" w:hAnsi="Calibri" w:cs="Calibri"/>
                <w:noProof w:val="0"/>
                <w:sz w:val="16"/>
                <w:szCs w:val="16"/>
              </w:rPr>
              <w:t xml:space="preserve">The review </w:t>
            </w:r>
            <w:r w:rsidR="00171C91" w:rsidRPr="00397A3E">
              <w:rPr>
                <w:rFonts w:ascii="Calibri" w:hAnsi="Calibri" w:cs="Calibri"/>
                <w:noProof w:val="0"/>
                <w:sz w:val="16"/>
                <w:szCs w:val="16"/>
              </w:rPr>
              <w:t>contain</w:t>
            </w:r>
            <w:r>
              <w:rPr>
                <w:rFonts w:ascii="Calibri" w:hAnsi="Calibri" w:cs="Calibri"/>
                <w:noProof w:val="0"/>
                <w:sz w:val="16"/>
                <w:szCs w:val="16"/>
              </w:rPr>
              <w:t>s</w:t>
            </w:r>
            <w:r w:rsidR="00171C91" w:rsidRPr="00397A3E">
              <w:rPr>
                <w:rFonts w:ascii="Calibri" w:hAnsi="Calibri" w:cs="Calibri"/>
                <w:noProof w:val="0"/>
                <w:sz w:val="16"/>
                <w:szCs w:val="16"/>
              </w:rPr>
              <w:t xml:space="preserve"> authoritative information</w:t>
            </w:r>
            <w:r>
              <w:rPr>
                <w:rFonts w:ascii="Calibri" w:hAnsi="Calibri" w:cs="Calibri"/>
                <w:noProof w:val="0"/>
                <w:sz w:val="16"/>
                <w:szCs w:val="16"/>
              </w:rPr>
              <w:t>; however, due to the heterogeneous subject matter, an</w:t>
            </w:r>
            <w:r w:rsidR="00171C91" w:rsidRPr="00397A3E">
              <w:rPr>
                <w:rFonts w:ascii="Calibri" w:hAnsi="Calibri" w:cs="Calibri"/>
                <w:noProof w:val="0"/>
                <w:sz w:val="16"/>
                <w:szCs w:val="16"/>
              </w:rPr>
              <w:t xml:space="preserve"> effective synthesis</w:t>
            </w:r>
            <w:r>
              <w:rPr>
                <w:rFonts w:ascii="Calibri" w:hAnsi="Calibri" w:cs="Calibri"/>
                <w:noProof w:val="0"/>
                <w:sz w:val="16"/>
                <w:szCs w:val="16"/>
              </w:rPr>
              <w:t xml:space="preserve"> was unable to be undertaken</w:t>
            </w:r>
            <w:r w:rsidR="00171C91" w:rsidRPr="00397A3E">
              <w:rPr>
                <w:rFonts w:ascii="Calibri" w:hAnsi="Calibri" w:cs="Calibri"/>
                <w:noProof w:val="0"/>
                <w:sz w:val="16"/>
                <w:szCs w:val="16"/>
              </w:rPr>
              <w:t xml:space="preserve">.  </w:t>
            </w:r>
          </w:p>
        </w:tc>
      </w:tr>
      <w:tr w:rsidR="00785848" w14:paraId="7B501D3C" w14:textId="77777777" w:rsidTr="005903C7">
        <w:tc>
          <w:tcPr>
            <w:tcW w:w="1150" w:type="dxa"/>
            <w:tcBorders>
              <w:top w:val="nil"/>
              <w:left w:val="single" w:sz="4" w:space="0" w:color="B5DDDC"/>
              <w:bottom w:val="single" w:sz="4" w:space="0" w:color="B5DDDC"/>
              <w:right w:val="single" w:sz="4" w:space="0" w:color="B5DDDC"/>
            </w:tcBorders>
            <w:shd w:val="clear" w:color="000000" w:fill="D6EAEB"/>
            <w:vAlign w:val="center"/>
            <w:hideMark/>
          </w:tcPr>
          <w:p w14:paraId="6C4C4EF2" w14:textId="03D6331A" w:rsidR="001D17E6" w:rsidRPr="00397A3E" w:rsidRDefault="00171C91" w:rsidP="001D17E6">
            <w:pPr>
              <w:spacing w:before="0" w:after="0" w:line="240" w:lineRule="auto"/>
              <w:rPr>
                <w:rFonts w:ascii="Calibri" w:hAnsi="Calibri" w:cs="Calibri"/>
                <w:noProof w:val="0"/>
                <w:sz w:val="16"/>
                <w:szCs w:val="12"/>
                <w:highlight w:val="yellow"/>
              </w:rPr>
            </w:pPr>
            <w:r w:rsidRPr="00397A3E">
              <w:rPr>
                <w:rFonts w:ascii="Calibri" w:hAnsi="Calibri" w:cs="Calibri"/>
                <w:noProof w:val="0"/>
                <w:color w:val="000000"/>
                <w:sz w:val="16"/>
                <w:szCs w:val="12"/>
              </w:rPr>
              <w:t xml:space="preserve">G16: </w:t>
            </w:r>
            <w:r w:rsidRPr="00397A3E">
              <w:rPr>
                <w:rFonts w:ascii="Calibri" w:hAnsi="Calibri"/>
                <w:bCs/>
                <w:noProof w:val="0"/>
                <w:color w:val="000000"/>
                <w:sz w:val="16"/>
                <w:szCs w:val="12"/>
              </w:rPr>
              <w:fldChar w:fldCharType="begin"/>
            </w:r>
            <w:r w:rsidR="0069143F" w:rsidRPr="00397A3E">
              <w:rPr>
                <w:rFonts w:ascii="Calibri" w:hAnsi="Calibri"/>
                <w:bCs/>
                <w:noProof w:val="0"/>
                <w:color w:val="000000"/>
                <w:sz w:val="16"/>
                <w:szCs w:val="12"/>
              </w:rPr>
              <w:instrText xml:space="preserve"> ADDIN ZOTERO_ITEM CSL_CITATION {"citationID":"naJ0UyKU","properties":{"custom":"WHO (2018b)","formattedCitation":"WHO (2018b)","plainCitation":"WHO (2018b)","noteIndex":0},"citationItems":[{"id":16342,"uris":["http://zotero.org/users/148142/items/FAQ5QAH6"],"uri":["http://zotero.org/users/148142/items/FAQ5QAH6"],"itemData":{"id":16342,"type":"report","publisher":"World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schema":"https://github.com/citation-style-language/schema/raw/master/csl-citation.json"} </w:instrText>
            </w:r>
            <w:r w:rsidRPr="00397A3E">
              <w:rPr>
                <w:rFonts w:ascii="Calibri" w:hAnsi="Calibri"/>
                <w:bCs/>
                <w:noProof w:val="0"/>
                <w:color w:val="000000"/>
                <w:sz w:val="16"/>
                <w:szCs w:val="12"/>
              </w:rPr>
              <w:fldChar w:fldCharType="separate"/>
            </w:r>
            <w:r w:rsidRPr="00397A3E">
              <w:rPr>
                <w:rFonts w:ascii="Calibri" w:hAnsi="Calibri" w:cs="Calibri"/>
                <w:noProof w:val="0"/>
                <w:sz w:val="16"/>
                <w:szCs w:val="12"/>
              </w:rPr>
              <w:t>WHO (2018)</w:t>
            </w:r>
            <w:r w:rsidRPr="00397A3E">
              <w:rPr>
                <w:rFonts w:ascii="Calibri" w:hAnsi="Calibri"/>
                <w:bCs/>
                <w:noProof w:val="0"/>
                <w:color w:val="000000"/>
                <w:sz w:val="16"/>
                <w:szCs w:val="12"/>
              </w:rPr>
              <w:fldChar w:fldCharType="end"/>
            </w:r>
          </w:p>
        </w:tc>
        <w:tc>
          <w:tcPr>
            <w:tcW w:w="1068" w:type="dxa"/>
            <w:tcBorders>
              <w:top w:val="nil"/>
              <w:left w:val="nil"/>
              <w:bottom w:val="single" w:sz="4" w:space="0" w:color="B5DDDC"/>
              <w:right w:val="single" w:sz="4" w:space="0" w:color="B5DDDC"/>
            </w:tcBorders>
          </w:tcPr>
          <w:p w14:paraId="467D8BF4" w14:textId="66015BE8" w:rsidR="001D17E6" w:rsidRPr="00397A3E" w:rsidRDefault="00171C91" w:rsidP="001D17E6">
            <w:pPr>
              <w:spacing w:before="0" w:after="0" w:line="240" w:lineRule="auto"/>
              <w:rPr>
                <w:rFonts w:ascii="Calibri" w:hAnsi="Calibri" w:cs="Calibri"/>
                <w:noProof w:val="0"/>
                <w:sz w:val="16"/>
                <w:szCs w:val="16"/>
              </w:rPr>
            </w:pPr>
            <w:r w:rsidRPr="00397A3E">
              <w:rPr>
                <w:rFonts w:ascii="Calibri" w:hAnsi="Calibri" w:cs="Calibri"/>
                <w:noProof w:val="0"/>
                <w:sz w:val="16"/>
                <w:szCs w:val="16"/>
              </w:rPr>
              <w:t>Yes</w:t>
            </w:r>
          </w:p>
        </w:tc>
        <w:tc>
          <w:tcPr>
            <w:tcW w:w="1126" w:type="dxa"/>
            <w:tcBorders>
              <w:top w:val="nil"/>
              <w:left w:val="nil"/>
              <w:bottom w:val="single" w:sz="4" w:space="0" w:color="B5DDDC"/>
              <w:right w:val="single" w:sz="4" w:space="0" w:color="B5DDDC"/>
            </w:tcBorders>
          </w:tcPr>
          <w:p w14:paraId="596EFB29" w14:textId="767CDA16" w:rsidR="001D17E6" w:rsidRPr="00397A3E" w:rsidRDefault="00171C91" w:rsidP="001D17E6">
            <w:pPr>
              <w:spacing w:before="0" w:after="0" w:line="240" w:lineRule="auto"/>
              <w:rPr>
                <w:rFonts w:ascii="Calibri" w:hAnsi="Calibri" w:cs="Calibri"/>
                <w:noProof w:val="0"/>
                <w:sz w:val="16"/>
                <w:szCs w:val="16"/>
              </w:rPr>
            </w:pPr>
            <w:r w:rsidRPr="00397A3E">
              <w:rPr>
                <w:rFonts w:ascii="Calibri" w:hAnsi="Calibri" w:cs="Calibri"/>
                <w:noProof w:val="0"/>
                <w:sz w:val="16"/>
                <w:szCs w:val="16"/>
              </w:rPr>
              <w:t>Yes</w:t>
            </w:r>
          </w:p>
        </w:tc>
        <w:tc>
          <w:tcPr>
            <w:tcW w:w="1721" w:type="dxa"/>
            <w:tcBorders>
              <w:top w:val="nil"/>
              <w:left w:val="single" w:sz="4" w:space="0" w:color="B5DDDC"/>
              <w:bottom w:val="single" w:sz="4" w:space="0" w:color="B5DDDC"/>
              <w:right w:val="single" w:sz="4" w:space="0" w:color="B5DDDC"/>
            </w:tcBorders>
          </w:tcPr>
          <w:p w14:paraId="11A646D6" w14:textId="4723E05C" w:rsidR="001D17E6" w:rsidRPr="00397A3E" w:rsidRDefault="00171C91" w:rsidP="004D3543">
            <w:pPr>
              <w:spacing w:before="0" w:after="0" w:line="240" w:lineRule="auto"/>
              <w:rPr>
                <w:rFonts w:ascii="Calibri" w:hAnsi="Calibri" w:cs="Calibri"/>
                <w:noProof w:val="0"/>
                <w:sz w:val="16"/>
                <w:szCs w:val="16"/>
              </w:rPr>
            </w:pPr>
            <w:r w:rsidRPr="00397A3E">
              <w:rPr>
                <w:rFonts w:ascii="Calibri" w:hAnsi="Calibri" w:cs="Calibri"/>
                <w:noProof w:val="0"/>
                <w:sz w:val="16"/>
                <w:szCs w:val="16"/>
              </w:rPr>
              <w:t>Yes</w:t>
            </w:r>
            <w:r w:rsidR="0072716E" w:rsidRPr="00397A3E">
              <w:rPr>
                <w:rFonts w:ascii="Calibri" w:hAnsi="Calibri" w:cs="Calibri"/>
                <w:noProof w:val="0"/>
                <w:sz w:val="16"/>
                <w:szCs w:val="16"/>
              </w:rPr>
              <w:t xml:space="preserve">.  Recommendations are structured in a manner that is relevant to the review of the Australian </w:t>
            </w:r>
            <w:r w:rsidR="004D3543">
              <w:rPr>
                <w:rFonts w:ascii="Calibri" w:hAnsi="Calibri" w:cs="Calibri"/>
                <w:noProof w:val="0"/>
                <w:sz w:val="16"/>
                <w:szCs w:val="16"/>
              </w:rPr>
              <w:t xml:space="preserve">2008 </w:t>
            </w:r>
            <w:r w:rsidR="0072716E" w:rsidRPr="00397A3E">
              <w:rPr>
                <w:rFonts w:ascii="Calibri" w:hAnsi="Calibri" w:cs="Calibri"/>
                <w:noProof w:val="0"/>
                <w:sz w:val="16"/>
                <w:szCs w:val="16"/>
              </w:rPr>
              <w:t xml:space="preserve">NHMRC </w:t>
            </w:r>
            <w:r w:rsidR="004D3543">
              <w:rPr>
                <w:rFonts w:ascii="Calibri" w:hAnsi="Calibri" w:cs="Calibri"/>
                <w:noProof w:val="0"/>
                <w:sz w:val="16"/>
                <w:szCs w:val="16"/>
              </w:rPr>
              <w:t>G</w:t>
            </w:r>
            <w:r w:rsidR="0072716E" w:rsidRPr="00397A3E">
              <w:rPr>
                <w:rFonts w:ascii="Calibri" w:hAnsi="Calibri" w:cs="Calibri"/>
                <w:noProof w:val="0"/>
                <w:sz w:val="16"/>
                <w:szCs w:val="16"/>
              </w:rPr>
              <w:t>uidelines.</w:t>
            </w:r>
          </w:p>
        </w:tc>
        <w:tc>
          <w:tcPr>
            <w:tcW w:w="1456" w:type="dxa"/>
            <w:tcBorders>
              <w:top w:val="nil"/>
              <w:left w:val="nil"/>
              <w:bottom w:val="single" w:sz="4" w:space="0" w:color="B5DDDC"/>
              <w:right w:val="single" w:sz="4" w:space="0" w:color="B5DDDC"/>
            </w:tcBorders>
          </w:tcPr>
          <w:p w14:paraId="32F84BA5" w14:textId="6100E0D5" w:rsidR="001D17E6" w:rsidRPr="00397A3E" w:rsidRDefault="00171C91" w:rsidP="001D17E6">
            <w:pPr>
              <w:spacing w:before="0" w:after="0" w:line="240" w:lineRule="auto"/>
              <w:rPr>
                <w:rFonts w:ascii="Calibri" w:hAnsi="Calibri" w:cs="Calibri"/>
                <w:noProof w:val="0"/>
                <w:sz w:val="16"/>
                <w:szCs w:val="16"/>
              </w:rPr>
            </w:pPr>
            <w:r w:rsidRPr="00397A3E">
              <w:rPr>
                <w:rFonts w:ascii="Calibri" w:hAnsi="Calibri" w:cs="Calibri"/>
                <w:noProof w:val="0"/>
                <w:sz w:val="16"/>
                <w:szCs w:val="16"/>
              </w:rPr>
              <w:t>No</w:t>
            </w:r>
          </w:p>
        </w:tc>
        <w:tc>
          <w:tcPr>
            <w:tcW w:w="2822" w:type="dxa"/>
            <w:tcBorders>
              <w:top w:val="nil"/>
              <w:left w:val="single" w:sz="4" w:space="0" w:color="B5DDDC"/>
              <w:bottom w:val="single" w:sz="4" w:space="0" w:color="B5DDDC"/>
              <w:right w:val="single" w:sz="4" w:space="0" w:color="B5DDDC"/>
            </w:tcBorders>
          </w:tcPr>
          <w:p w14:paraId="7A7AD2DA" w14:textId="1703111F" w:rsidR="001D17E6" w:rsidRPr="00397A3E" w:rsidRDefault="00171C91" w:rsidP="001D17E6">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No.  </w:t>
            </w:r>
            <w:r w:rsidR="009D5E08" w:rsidRPr="00397A3E">
              <w:rPr>
                <w:rFonts w:ascii="Calibri" w:hAnsi="Calibri" w:cs="Calibri"/>
                <w:noProof w:val="0"/>
                <w:sz w:val="16"/>
                <w:szCs w:val="16"/>
              </w:rPr>
              <w:t>However, t</w:t>
            </w:r>
            <w:r w:rsidRPr="00397A3E">
              <w:rPr>
                <w:rFonts w:ascii="Calibri" w:hAnsi="Calibri" w:cs="Calibri"/>
                <w:noProof w:val="0"/>
                <w:sz w:val="16"/>
                <w:szCs w:val="16"/>
              </w:rPr>
              <w:t>he main factors impacting risk are assumed</w:t>
            </w:r>
            <w:r w:rsidR="009D5E08" w:rsidRPr="00397A3E">
              <w:rPr>
                <w:rFonts w:ascii="Calibri" w:hAnsi="Calibri" w:cs="Calibri"/>
                <w:noProof w:val="0"/>
                <w:sz w:val="16"/>
                <w:szCs w:val="16"/>
              </w:rPr>
              <w:t xml:space="preserve"> and</w:t>
            </w:r>
            <w:r w:rsidRPr="00397A3E">
              <w:rPr>
                <w:rFonts w:ascii="Calibri" w:hAnsi="Calibri" w:cs="Calibri"/>
                <w:noProof w:val="0"/>
                <w:sz w:val="16"/>
                <w:szCs w:val="16"/>
              </w:rPr>
              <w:t xml:space="preserve"> instead the review focuses on better characterisation of risk through recommendations for method standardisation and improved methods for laboratory analysis, statistical </w:t>
            </w:r>
            <w:r w:rsidR="009D5E08" w:rsidRPr="00397A3E">
              <w:rPr>
                <w:rFonts w:ascii="Calibri" w:hAnsi="Calibri" w:cs="Calibri"/>
                <w:noProof w:val="0"/>
                <w:sz w:val="16"/>
                <w:szCs w:val="16"/>
              </w:rPr>
              <w:t>analysis, bathing water quality temporal and spatial variability, and predictive modelling</w:t>
            </w:r>
            <w:r w:rsidRPr="00397A3E">
              <w:rPr>
                <w:rFonts w:ascii="Calibri" w:hAnsi="Calibri" w:cs="Calibri"/>
                <w:noProof w:val="0"/>
                <w:sz w:val="16"/>
                <w:szCs w:val="16"/>
              </w:rPr>
              <w:t xml:space="preserve">, </w:t>
            </w:r>
          </w:p>
        </w:tc>
        <w:tc>
          <w:tcPr>
            <w:tcW w:w="2610" w:type="dxa"/>
            <w:tcBorders>
              <w:top w:val="nil"/>
              <w:left w:val="nil"/>
              <w:bottom w:val="single" w:sz="4" w:space="0" w:color="B5DDDC"/>
              <w:right w:val="single" w:sz="4" w:space="0" w:color="B5DDDC"/>
            </w:tcBorders>
          </w:tcPr>
          <w:p w14:paraId="47601DDF" w14:textId="48EFC2DB" w:rsidR="001D17E6" w:rsidRPr="00397A3E" w:rsidRDefault="00171C91" w:rsidP="001D17E6">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 xml:space="preserve">The review recommends retention of: (i) enterococci and </w:t>
            </w:r>
            <w:r w:rsidRPr="00397A3E">
              <w:rPr>
                <w:rFonts w:ascii="Calibri" w:hAnsi="Calibri" w:cs="Calibri"/>
                <w:i/>
                <w:iCs/>
                <w:noProof w:val="0"/>
                <w:sz w:val="16"/>
                <w:szCs w:val="16"/>
              </w:rPr>
              <w:t>E. coli</w:t>
            </w:r>
            <w:r w:rsidRPr="00397A3E">
              <w:rPr>
                <w:rFonts w:ascii="Calibri" w:hAnsi="Calibri" w:cs="Calibri"/>
                <w:noProof w:val="0"/>
                <w:sz w:val="16"/>
                <w:szCs w:val="16"/>
              </w:rPr>
              <w:t xml:space="preserve"> as FIB, (ii) current four level risk classification, and (iii) use of 95th percentiles to support the classifications.  Whilst viruses are considered important bathing water profiling and for use in MST and QMRA, current evidence does not yet support the inclusion of viral indicators or pathogens, however, these items should be the focus of future research.  Information on dermal afflictions due to recreational water exposure should be conveyed to the public in the bathing water profile at sites they are known to occur.</w:t>
            </w:r>
          </w:p>
        </w:tc>
        <w:tc>
          <w:tcPr>
            <w:tcW w:w="1939" w:type="dxa"/>
            <w:tcBorders>
              <w:top w:val="nil"/>
              <w:left w:val="nil"/>
              <w:bottom w:val="single" w:sz="4" w:space="0" w:color="B5DDDC"/>
              <w:right w:val="single" w:sz="4" w:space="0" w:color="B5DDDC"/>
            </w:tcBorders>
          </w:tcPr>
          <w:p w14:paraId="4D66C994" w14:textId="5E280287" w:rsidR="00051A8A" w:rsidRPr="00397A3E" w:rsidRDefault="00171C91" w:rsidP="001D17E6">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 xml:space="preserve">The review material is clearly presented and targets issues of relevance to the European Bathing Water Directive, but overall does not </w:t>
            </w:r>
            <w:r w:rsidR="00051A8A">
              <w:rPr>
                <w:rFonts w:ascii="Calibri" w:hAnsi="Calibri" w:cs="Calibri"/>
                <w:noProof w:val="0"/>
                <w:sz w:val="16"/>
                <w:szCs w:val="16"/>
              </w:rPr>
              <w:t>report on the expert analysis of</w:t>
            </w:r>
            <w:r w:rsidRPr="00397A3E">
              <w:rPr>
                <w:rFonts w:ascii="Calibri" w:hAnsi="Calibri" w:cs="Calibri"/>
                <w:noProof w:val="0"/>
                <w:sz w:val="16"/>
                <w:szCs w:val="16"/>
              </w:rPr>
              <w:t xml:space="preserve"> the constituent research papers</w:t>
            </w:r>
            <w:r w:rsidR="00051A8A">
              <w:rPr>
                <w:rFonts w:ascii="Calibri" w:hAnsi="Calibri" w:cs="Calibri"/>
                <w:noProof w:val="0"/>
                <w:sz w:val="16"/>
                <w:szCs w:val="16"/>
              </w:rPr>
              <w:t xml:space="preserve"> in detail</w:t>
            </w:r>
            <w:r w:rsidRPr="00397A3E">
              <w:rPr>
                <w:rFonts w:ascii="Calibri" w:hAnsi="Calibri" w:cs="Calibri"/>
                <w:noProof w:val="0"/>
                <w:sz w:val="16"/>
                <w:szCs w:val="16"/>
              </w:rPr>
              <w:t>.  This may be intention</w:t>
            </w:r>
            <w:r w:rsidR="0072716E" w:rsidRPr="00397A3E">
              <w:rPr>
                <w:rFonts w:ascii="Calibri" w:hAnsi="Calibri" w:cs="Calibri"/>
                <w:noProof w:val="0"/>
                <w:sz w:val="16"/>
                <w:szCs w:val="16"/>
              </w:rPr>
              <w:t>al</w:t>
            </w:r>
            <w:r w:rsidRPr="00397A3E">
              <w:rPr>
                <w:rFonts w:ascii="Calibri" w:hAnsi="Calibri" w:cs="Calibri"/>
                <w:noProof w:val="0"/>
                <w:sz w:val="16"/>
                <w:szCs w:val="16"/>
              </w:rPr>
              <w:t xml:space="preserve"> to keep the document concise.</w:t>
            </w:r>
          </w:p>
        </w:tc>
      </w:tr>
    </w:tbl>
    <w:p w14:paraId="3CA3A9EF" w14:textId="77777777" w:rsidR="00442A92" w:rsidRPr="00397A3E" w:rsidRDefault="00442A92" w:rsidP="006C28FC">
      <w:pPr>
        <w:spacing w:before="0" w:after="0" w:line="240" w:lineRule="auto"/>
        <w:rPr>
          <w:rFonts w:asciiTheme="minorHAnsi" w:hAnsiTheme="minorHAnsi" w:cstheme="minorHAnsi"/>
          <w:noProof w:val="0"/>
          <w:sz w:val="16"/>
          <w:szCs w:val="16"/>
        </w:rPr>
      </w:pPr>
      <w:bookmarkStart w:id="384" w:name="OLE_LINK1"/>
    </w:p>
    <w:p w14:paraId="1EBF4B64" w14:textId="37F49277" w:rsidR="00442A92" w:rsidRPr="00397A3E" w:rsidRDefault="00442A92" w:rsidP="006C28FC">
      <w:pPr>
        <w:spacing w:before="0" w:after="0" w:line="240" w:lineRule="auto"/>
        <w:rPr>
          <w:rFonts w:asciiTheme="minorHAnsi" w:hAnsiTheme="minorHAnsi" w:cstheme="minorHAnsi"/>
          <w:noProof w:val="0"/>
          <w:sz w:val="16"/>
          <w:szCs w:val="16"/>
        </w:rPr>
        <w:sectPr w:rsidR="00442A92" w:rsidRPr="00397A3E" w:rsidSect="00C246CB">
          <w:headerReference w:type="default" r:id="rId35"/>
          <w:headerReference w:type="first" r:id="rId36"/>
          <w:pgSz w:w="16838" w:h="11906" w:orient="landscape"/>
          <w:pgMar w:top="1588" w:right="1588" w:bottom="1418" w:left="1418" w:header="680" w:footer="709" w:gutter="0"/>
          <w:cols w:space="708"/>
          <w:docGrid w:linePitch="360"/>
        </w:sectPr>
      </w:pPr>
    </w:p>
    <w:p w14:paraId="652F81B5" w14:textId="03390F8D" w:rsidR="00A27BC5" w:rsidRPr="00397A3E" w:rsidRDefault="00171C91" w:rsidP="00D95B6A">
      <w:pPr>
        <w:pStyle w:val="Heading2"/>
        <w:rPr>
          <w:noProof w:val="0"/>
        </w:rPr>
      </w:pPr>
      <w:bookmarkStart w:id="385" w:name="_Toc106964841"/>
      <w:bookmarkEnd w:id="384"/>
      <w:r w:rsidRPr="00397A3E">
        <w:rPr>
          <w:noProof w:val="0"/>
        </w:rPr>
        <w:t xml:space="preserve">Review of </w:t>
      </w:r>
      <w:r w:rsidR="00C02173" w:rsidRPr="00397A3E">
        <w:rPr>
          <w:noProof w:val="0"/>
        </w:rPr>
        <w:t>p</w:t>
      </w:r>
      <w:r w:rsidR="00F03193" w:rsidRPr="00397A3E">
        <w:rPr>
          <w:noProof w:val="0"/>
        </w:rPr>
        <w:t xml:space="preserve">rimary </w:t>
      </w:r>
      <w:r w:rsidR="00C02173" w:rsidRPr="00397A3E">
        <w:rPr>
          <w:noProof w:val="0"/>
        </w:rPr>
        <w:t>s</w:t>
      </w:r>
      <w:r w:rsidR="00F03193" w:rsidRPr="00397A3E">
        <w:rPr>
          <w:noProof w:val="0"/>
        </w:rPr>
        <w:t>tudies</w:t>
      </w:r>
      <w:bookmarkEnd w:id="385"/>
    </w:p>
    <w:p w14:paraId="7E5DF517" w14:textId="77777777" w:rsidR="00605411" w:rsidRPr="00397A3E" w:rsidRDefault="00171C91" w:rsidP="00605411">
      <w:pPr>
        <w:ind w:left="720"/>
        <w:rPr>
          <w:i/>
          <w:noProof w:val="0"/>
        </w:rPr>
      </w:pPr>
      <w:r w:rsidRPr="00397A3E">
        <w:rPr>
          <w:i/>
          <w:noProof w:val="0"/>
        </w:rPr>
        <w:t>How can we monitor, assess, and predict risks from diffuse and point source microbial contamination in recreational waters?</w:t>
      </w:r>
    </w:p>
    <w:p w14:paraId="6A39521C" w14:textId="61CD3A91" w:rsidR="000A3880" w:rsidRPr="00397A3E" w:rsidRDefault="00171C91" w:rsidP="00B26B16">
      <w:pPr>
        <w:keepNext/>
        <w:rPr>
          <w:rFonts w:cs="Arial"/>
          <w:i/>
          <w:iCs/>
          <w:noProof w:val="0"/>
        </w:rPr>
      </w:pPr>
      <w:bookmarkStart w:id="386" w:name="_Hlk92965464"/>
      <w:r w:rsidRPr="00397A3E">
        <w:rPr>
          <w:rFonts w:cs="Arial"/>
          <w:i/>
          <w:iCs/>
          <w:noProof w:val="0"/>
        </w:rPr>
        <w:t xml:space="preserve">J2: </w:t>
      </w:r>
      <w:bookmarkStart w:id="387" w:name="_Hlk92968658"/>
      <w:r w:rsidRPr="00397A3E">
        <w:rPr>
          <w:rFonts w:cs="Arial"/>
          <w:i/>
          <w:iCs/>
          <w:noProof w:val="0"/>
        </w:rPr>
        <w:fldChar w:fldCharType="begin"/>
      </w:r>
      <w:r w:rsidR="00F84CE9" w:rsidRPr="00397A3E">
        <w:rPr>
          <w:rFonts w:cs="Arial"/>
          <w:i/>
          <w:iCs/>
          <w:noProof w:val="0"/>
        </w:rPr>
        <w:instrText xml:space="preserve"> ADDIN ZOTERO_ITEM CSL_CITATION {"citationID":"ONezDnTD","properties":{"custom":"Ahmed, Hamilton, et al., (2018)","formattedCitation":"Ahmed, Hamilton, et al., (2018)","plainCitation":"Ahmed, Hamilton, et al., (2018)","noteIndex":0},"citationItems":[{"id":12533,"uris":["http://zotero.org/users/148142/items/CL5GP773"],"uri":["http://zotero.org/users/148142/items/CL5GP773"],"itemData":{"id":12533,"type":"article-journal","archive":"Scopus","container-title":"Environment International","DOI":"10.1016/j.envint.2018.05.012","page":"243-249","title":"Quantitative microbial risk assessment of microbial source tracking markers in recreational water contaminated with fresh untreated and secondary treated sewage","URL":"https://www.scopus.com/inward/record.uri?eid=2-s2.0-85047077932&amp;doi=10.1016%2fj.envint.2018.05.012&amp;partnerID=40&amp;md5=c97413bc0249240d20d0a19774172eeb","volume":"117","author":[{"family":"Ahmed","given":"W."},{"family":"Hamilton","given":"K. A."},{"family":"Lobos","given":"A."},{"family":"Hughes","given":"B."},{"family":"Staley","given":"C."},{"family":"Sadowsky","given":"M. J."},{"family":"Harwood","given":"V. J."}],"issued":{"date-parts":[["2018"]]}}}],"schema":"https://github.com/citation-style-language/schema/raw/master/csl-citation.json"} </w:instrText>
      </w:r>
      <w:r w:rsidRPr="00397A3E">
        <w:rPr>
          <w:rFonts w:cs="Arial"/>
          <w:i/>
          <w:iCs/>
          <w:noProof w:val="0"/>
        </w:rPr>
        <w:fldChar w:fldCharType="separate"/>
      </w:r>
      <w:r w:rsidRPr="00397A3E">
        <w:rPr>
          <w:rFonts w:cs="Arial"/>
          <w:i/>
          <w:iCs/>
          <w:noProof w:val="0"/>
        </w:rPr>
        <w:t>Ahmed, Hamilton, et al., (2018)</w:t>
      </w:r>
      <w:r w:rsidRPr="00397A3E">
        <w:rPr>
          <w:rFonts w:cs="Arial"/>
          <w:i/>
          <w:iCs/>
          <w:noProof w:val="0"/>
        </w:rPr>
        <w:fldChar w:fldCharType="end"/>
      </w:r>
      <w:r w:rsidRPr="00397A3E">
        <w:rPr>
          <w:rFonts w:cs="Arial"/>
          <w:i/>
          <w:iCs/>
          <w:noProof w:val="0"/>
        </w:rPr>
        <w:t xml:space="preserve"> </w:t>
      </w:r>
      <w:bookmarkEnd w:id="387"/>
      <w:r w:rsidRPr="00397A3E">
        <w:rPr>
          <w:rFonts w:cs="Arial"/>
          <w:i/>
          <w:iCs/>
          <w:noProof w:val="0"/>
        </w:rPr>
        <w:t>Quantitative microbial risk assessment of microbial source tracking markers in recreational water contaminated with fresh untreated and secondary treated sewage.</w:t>
      </w:r>
      <w:r w:rsidR="00860D17" w:rsidRPr="00397A3E">
        <w:rPr>
          <w:rFonts w:cs="Arial"/>
          <w:i/>
          <w:iCs/>
          <w:noProof w:val="0"/>
        </w:rPr>
        <w:t xml:space="preserve"> (</w:t>
      </w:r>
      <w:r w:rsidRPr="00397A3E">
        <w:rPr>
          <w:rFonts w:cs="Arial"/>
          <w:i/>
          <w:iCs/>
          <w:noProof w:val="0"/>
        </w:rPr>
        <w:t>Qualitative research</w:t>
      </w:r>
      <w:r w:rsidR="00860D17" w:rsidRPr="00397A3E">
        <w:rPr>
          <w:rFonts w:cs="Arial"/>
          <w:i/>
          <w:iCs/>
          <w:noProof w:val="0"/>
        </w:rPr>
        <w:t>)</w:t>
      </w:r>
    </w:p>
    <w:p w14:paraId="5157A4CD" w14:textId="705506A0" w:rsidR="007002F3" w:rsidRPr="00397A3E" w:rsidRDefault="00171C91" w:rsidP="003B1874">
      <w:pPr>
        <w:rPr>
          <w:rFonts w:cs="Arial"/>
          <w:noProof w:val="0"/>
        </w:rPr>
      </w:pPr>
      <w:r w:rsidRPr="00397A3E">
        <w:rPr>
          <w:rFonts w:cs="Arial"/>
          <w:noProof w:val="0"/>
        </w:rPr>
        <w:fldChar w:fldCharType="begin"/>
      </w:r>
      <w:r w:rsidR="00F84CE9" w:rsidRPr="00397A3E">
        <w:rPr>
          <w:rFonts w:cs="Arial"/>
          <w:noProof w:val="0"/>
        </w:rPr>
        <w:instrText xml:space="preserve"> ADDIN ZOTERO_ITEM CSL_CITATION {"citationID":"1uXGxDXu","properties":{"custom":"Ahmed, Hamilton, et al., (2018)","formattedCitation":"Ahmed, Hamilton, et al., (2018)","plainCitation":"Ahmed, Hamilton, et al., (2018)","noteIndex":0},"citationItems":[{"id":12533,"uris":["http://zotero.org/users/148142/items/CL5GP773"],"uri":["http://zotero.org/users/148142/items/CL5GP773"],"itemData":{"id":12533,"type":"article-journal","archive":"Scopus","container-title":"Environment International","DOI":"10.1016/j.envint.2018.05.012","page":"243-249","title":"Quantitative microbial risk assessment of microbial source tracking markers in recreational water contaminated with fresh untreated and secondary treated sewage","URL":"https://www.scopus.com/inward/record.uri?eid=2-s2.0-85047077932&amp;doi=10.1016%2fj.envint.2018.05.012&amp;partnerID=40&amp;md5=c97413bc0249240d20d0a19774172eeb","volume":"117","author":[{"family":"Ahmed","given":"W."},{"family":"Hamilton","given":"K. A."},{"family":"Lobos","given":"A."},{"family":"Hughes","given":"B."},{"family":"Staley","given":"C."},{"family":"Sadowsky","given":"M. J."},{"family":"Harwood","given":"V. J."}],"issued":{"date-parts":[["2018"]]}}}],"schema":"https://github.com/citation-style-language/schema/raw/master/csl-citation.json"} </w:instrText>
      </w:r>
      <w:r w:rsidRPr="00397A3E">
        <w:rPr>
          <w:rFonts w:cs="Arial"/>
          <w:noProof w:val="0"/>
        </w:rPr>
        <w:fldChar w:fldCharType="separate"/>
      </w:r>
      <w:r w:rsidRPr="00397A3E">
        <w:rPr>
          <w:rFonts w:cs="Arial"/>
          <w:noProof w:val="0"/>
        </w:rPr>
        <w:t>Ahmed, Hamilton, et al., (2018)</w:t>
      </w:r>
      <w:r w:rsidRPr="00397A3E">
        <w:rPr>
          <w:rFonts w:cs="Arial"/>
          <w:noProof w:val="0"/>
        </w:rPr>
        <w:fldChar w:fldCharType="end"/>
      </w:r>
      <w:r w:rsidRPr="00397A3E">
        <w:rPr>
          <w:rFonts w:cs="Arial"/>
          <w:noProof w:val="0"/>
        </w:rPr>
        <w:t xml:space="preserve"> </w:t>
      </w:r>
      <w:r w:rsidR="00341872" w:rsidRPr="00397A3E">
        <w:rPr>
          <w:rFonts w:cs="Arial"/>
          <w:noProof w:val="0"/>
        </w:rPr>
        <w:t xml:space="preserve">sought to develop a method for the use of qPCR markers to assess risks from untreated and treated sewage in beach water.  The authors </w:t>
      </w:r>
      <w:r w:rsidR="003B1874" w:rsidRPr="00397A3E">
        <w:rPr>
          <w:rFonts w:cs="Arial"/>
          <w:noProof w:val="0"/>
        </w:rPr>
        <w:t xml:space="preserve">undertook an </w:t>
      </w:r>
      <w:r w:rsidRPr="00397A3E">
        <w:rPr>
          <w:rFonts w:cs="Arial"/>
          <w:noProof w:val="0"/>
        </w:rPr>
        <w:t xml:space="preserve">exploratory QMRA analysis based on the process limit of quantification (PLOQ) of five sewage-associated quantitative PCR (qPCR) MST markers [Bacteroides HF183 (HF183), </w:t>
      </w:r>
      <w:r w:rsidRPr="00397A3E">
        <w:rPr>
          <w:rFonts w:cs="Arial"/>
          <w:i/>
          <w:iCs/>
          <w:noProof w:val="0"/>
        </w:rPr>
        <w:t>Methanobrevibacter smithii</w:t>
      </w:r>
      <w:r w:rsidRPr="00397A3E">
        <w:rPr>
          <w:rFonts w:cs="Arial"/>
          <w:noProof w:val="0"/>
        </w:rPr>
        <w:t xml:space="preserve"> nifH (nifH), human adenovirus (HAdV), human polyomavirus (HPyV) and pepper mild mottle virus (PMMoV)] in </w:t>
      </w:r>
      <w:r w:rsidR="003B1874" w:rsidRPr="00397A3E">
        <w:rPr>
          <w:rFonts w:cs="Arial"/>
          <w:noProof w:val="0"/>
        </w:rPr>
        <w:t xml:space="preserve">filter-sterilized </w:t>
      </w:r>
      <w:r w:rsidRPr="00397A3E">
        <w:rPr>
          <w:rFonts w:cs="Arial"/>
          <w:noProof w:val="0"/>
        </w:rPr>
        <w:t>beach water samples seeded with fresh untreated and secondary treated sewage samples</w:t>
      </w:r>
      <w:r w:rsidR="003B1874" w:rsidRPr="00397A3E">
        <w:rPr>
          <w:rFonts w:cs="Arial"/>
          <w:noProof w:val="0"/>
        </w:rPr>
        <w:t>.  The objective of the study was</w:t>
      </w:r>
      <w:r w:rsidRPr="00397A3E">
        <w:rPr>
          <w:rFonts w:cs="Arial"/>
          <w:noProof w:val="0"/>
        </w:rPr>
        <w:t xml:space="preserve"> to determine at what concentration these nucleic acid markers reflected a significant health risk from exposure to fresh untreated or secondary treated sewage in beach water.</w:t>
      </w:r>
    </w:p>
    <w:p w14:paraId="7B315738" w14:textId="55691791" w:rsidR="007002F3" w:rsidRPr="00397A3E" w:rsidRDefault="00171C91" w:rsidP="007002F3">
      <w:pPr>
        <w:rPr>
          <w:rFonts w:cs="Arial"/>
          <w:noProof w:val="0"/>
        </w:rPr>
      </w:pPr>
      <w:r w:rsidRPr="00397A3E">
        <w:rPr>
          <w:rFonts w:cs="Arial"/>
          <w:noProof w:val="0"/>
        </w:rPr>
        <w:t xml:space="preserve">Serial ten-fold dilution series of beach water samples dosed with either fresh untreated sewage or fresh secondary treated sewage were tested to determine the PLOQ of the 5 sewage biomarkers.  The corresponding probability of GI illness from </w:t>
      </w:r>
      <w:r w:rsidR="00514A35">
        <w:rPr>
          <w:rFonts w:cs="Arial"/>
          <w:noProof w:val="0"/>
        </w:rPr>
        <w:t>norovirus (</w:t>
      </w:r>
      <w:r w:rsidRPr="00397A3E">
        <w:rPr>
          <w:rFonts w:cs="Arial"/>
          <w:noProof w:val="0"/>
        </w:rPr>
        <w:t>NoV</w:t>
      </w:r>
      <w:r w:rsidR="00514A35">
        <w:rPr>
          <w:rFonts w:cs="Arial"/>
          <w:noProof w:val="0"/>
        </w:rPr>
        <w:t>)</w:t>
      </w:r>
      <w:r w:rsidRPr="00397A3E">
        <w:rPr>
          <w:rFonts w:cs="Arial"/>
          <w:noProof w:val="0"/>
        </w:rPr>
        <w:t xml:space="preserve"> or HAdV 40/41 for each biomarker PLOQ was also compared with the </w:t>
      </w:r>
      <w:r w:rsidR="00024050" w:rsidRPr="00397A3E">
        <w:rPr>
          <w:rFonts w:cs="Arial"/>
          <w:noProof w:val="0"/>
        </w:rPr>
        <w:fldChar w:fldCharType="begin"/>
      </w:r>
      <w:r w:rsidR="00024050" w:rsidRPr="00397A3E">
        <w:rPr>
          <w:rFonts w:cs="Arial"/>
          <w:noProof w:val="0"/>
        </w:rPr>
        <w:instrText xml:space="preserve"> ADDIN ZOTERO_ITEM CSL_CITATION {"citationID":"817SfFMH","properties":{"custom":"US EPA (2012b)","formattedCitation":"US EPA (2012b)","plainCitation":"US EPA (2012b)","noteIndex":0},"citationItems":[{"id":16241,"uris":["http://zotero.org/users/148142/items/WSLM2VFW"],"uri":["http://zotero.org/users/148142/items/WSLM2VFW"],"itemData":{"id":16241,"type":"report","event-place":"Washington, DC, United States","number":"Office of Water 820-F-12-058","publisher":"US Environmental Protection Agency, Office of Water, Office of Science and Technology","publisher-place":"Washington, DC, United States","title":"Recreational Water Quality Criteria","URL":"https://www.epa.gov/sites/production/files/2015-10/documents/rwqc2012.pdf","author":[{"literal":"US EPA"}],"issued":{"date-parts":[["2012"]]}}}],"schema":"https://github.com/citation-style-language/schema/raw/master/csl-citation.json"} </w:instrText>
      </w:r>
      <w:r w:rsidR="00024050" w:rsidRPr="00397A3E">
        <w:rPr>
          <w:rFonts w:cs="Arial"/>
          <w:noProof w:val="0"/>
        </w:rPr>
        <w:fldChar w:fldCharType="separate"/>
      </w:r>
      <w:r w:rsidR="00024050" w:rsidRPr="00397A3E">
        <w:rPr>
          <w:rFonts w:cs="Arial"/>
          <w:noProof w:val="0"/>
        </w:rPr>
        <w:t>US EPA (2012b)</w:t>
      </w:r>
      <w:r w:rsidR="00024050" w:rsidRPr="00397A3E">
        <w:rPr>
          <w:rFonts w:cs="Arial"/>
          <w:noProof w:val="0"/>
        </w:rPr>
        <w:fldChar w:fldCharType="end"/>
      </w:r>
      <w:r w:rsidRPr="00397A3E">
        <w:rPr>
          <w:rFonts w:cs="Arial"/>
          <w:noProof w:val="0"/>
        </w:rPr>
        <w:t xml:space="preserve"> tolerable benchmark for GI illness for recreational water </w:t>
      </w:r>
      <w:r w:rsidR="00C6344B" w:rsidRPr="00397A3E">
        <w:rPr>
          <w:rFonts w:cs="Arial"/>
          <w:noProof w:val="0"/>
        </w:rPr>
        <w:t>of</w:t>
      </w:r>
      <w:r w:rsidR="00024050" w:rsidRPr="00397A3E">
        <w:rPr>
          <w:rFonts w:cs="Arial"/>
          <w:noProof w:val="0"/>
        </w:rPr>
        <w:t xml:space="preserve"> 36 GI Illnesses/1000 exposures or 0.036.</w:t>
      </w:r>
      <w:r w:rsidR="009134BF" w:rsidRPr="00397A3E">
        <w:rPr>
          <w:rFonts w:cs="Arial"/>
          <w:noProof w:val="0"/>
        </w:rPr>
        <w:t xml:space="preserve">  This approach assumes that GI risks arise only from NoV and HAdV 40/41 and the only source of contamination is either fresh raw sewage or fresh secondary treated sewage.</w:t>
      </w:r>
    </w:p>
    <w:p w14:paraId="04FAED7E" w14:textId="4C0645E8" w:rsidR="00677D38" w:rsidRPr="00397A3E" w:rsidRDefault="00171C91" w:rsidP="00860D17">
      <w:pPr>
        <w:rPr>
          <w:rFonts w:cs="Arial"/>
          <w:noProof w:val="0"/>
        </w:rPr>
      </w:pPr>
      <w:r w:rsidRPr="00397A3E">
        <w:rPr>
          <w:rFonts w:cs="Arial"/>
          <w:noProof w:val="0"/>
        </w:rPr>
        <w:t>Among all the markers tested, HF183 concentration needed to be greater in the water sample than other markers to correspond to an exceedance of the illness benchmark (Table 2 in paper). When NoV and HAdV 40/41 were used as reference pathogens, a median concentration of 3.22×10</w:t>
      </w:r>
      <w:r w:rsidRPr="00397A3E">
        <w:rPr>
          <w:rFonts w:cs="Arial"/>
          <w:noProof w:val="0"/>
          <w:vertAlign w:val="superscript"/>
        </w:rPr>
        <w:t>3</w:t>
      </w:r>
      <w:r w:rsidRPr="00397A3E">
        <w:rPr>
          <w:rFonts w:cs="Arial"/>
          <w:noProof w:val="0"/>
        </w:rPr>
        <w:t xml:space="preserve"> GC of the HF183 in 100 mL of water sample represented a risk above the GI illness benchmark value when beach water was contaminated with fresh untreated sewage. Similarly, 3.66×10</w:t>
      </w:r>
      <w:r w:rsidRPr="00397A3E">
        <w:rPr>
          <w:rFonts w:cs="Arial"/>
          <w:noProof w:val="0"/>
          <w:vertAlign w:val="superscript"/>
        </w:rPr>
        <w:t>3</w:t>
      </w:r>
      <w:r w:rsidRPr="00397A3E">
        <w:rPr>
          <w:rFonts w:cs="Arial"/>
          <w:noProof w:val="0"/>
        </w:rPr>
        <w:t xml:space="preserve"> GC of HF183 in 100 mL of water sample represented a risk above the benchmark for both NoV and HAdV 40/41, when beach water was contaminated with secondary treated sewage.  Table 2 in the paper lists values for the other biomarkers tested.</w:t>
      </w:r>
    </w:p>
    <w:p w14:paraId="7E89A068" w14:textId="05DEE7DD" w:rsidR="007002F3" w:rsidRPr="00397A3E" w:rsidRDefault="00171C91" w:rsidP="007002F3">
      <w:pPr>
        <w:rPr>
          <w:rFonts w:cs="Arial"/>
          <w:noProof w:val="0"/>
        </w:rPr>
      </w:pPr>
      <w:r w:rsidRPr="00397A3E">
        <w:rPr>
          <w:rFonts w:cs="Arial"/>
          <w:noProof w:val="0"/>
        </w:rPr>
        <w:t>The authors note that the decay rates of markers especially HF183 or nifH, can be faster than HAdV. If enteric viruses persist longer in the environment and remain infective, the GI risk estimates generated by HF183 and nifH will markers need to be interpreted carefully.</w:t>
      </w:r>
      <w:r w:rsidR="009134BF" w:rsidRPr="00397A3E">
        <w:rPr>
          <w:rFonts w:cs="Arial"/>
          <w:noProof w:val="0"/>
        </w:rPr>
        <w:t xml:space="preserve"> </w:t>
      </w:r>
      <w:r w:rsidRPr="00397A3E">
        <w:rPr>
          <w:rFonts w:cs="Arial"/>
          <w:noProof w:val="0"/>
        </w:rPr>
        <w:t>It was also assumed that all NoV and HAdV 40/41 quantified using qPCR are viable and infective.</w:t>
      </w:r>
    </w:p>
    <w:p w14:paraId="6FA59B27" w14:textId="77777777" w:rsidR="00F84CE9" w:rsidRPr="00397A3E" w:rsidRDefault="00F84CE9" w:rsidP="00860D17">
      <w:pPr>
        <w:rPr>
          <w:rFonts w:cs="Arial"/>
          <w:noProof w:val="0"/>
          <w:color w:val="365F91" w:themeColor="accent1" w:themeShade="BF"/>
        </w:rPr>
      </w:pPr>
    </w:p>
    <w:p w14:paraId="619FDF95" w14:textId="60510D8A" w:rsidR="000A3880" w:rsidRPr="00397A3E" w:rsidRDefault="00171C91" w:rsidP="00B26B16">
      <w:pPr>
        <w:keepNext/>
        <w:rPr>
          <w:rFonts w:cs="Arial"/>
          <w:i/>
          <w:iCs/>
          <w:noProof w:val="0"/>
        </w:rPr>
      </w:pPr>
      <w:r w:rsidRPr="00397A3E">
        <w:rPr>
          <w:rFonts w:cs="Arial"/>
          <w:i/>
          <w:iCs/>
          <w:noProof w:val="0"/>
        </w:rPr>
        <w:t xml:space="preserve">J3: </w:t>
      </w:r>
      <w:r w:rsidRPr="00397A3E">
        <w:rPr>
          <w:rFonts w:cs="Arial"/>
          <w:i/>
          <w:iCs/>
          <w:noProof w:val="0"/>
        </w:rPr>
        <w:fldChar w:fldCharType="begin"/>
      </w:r>
      <w:r w:rsidR="00F84CE9" w:rsidRPr="00397A3E">
        <w:rPr>
          <w:rFonts w:cs="Arial"/>
          <w:i/>
          <w:iCs/>
          <w:noProof w:val="0"/>
        </w:rPr>
        <w:instrText xml:space="preserve"> ADDIN ZOTERO_ITEM CSL_CITATION {"citationID":"rFicLoa0","properties":{"custom":"Ahmed, Payyappat, et al., (2019)","formattedCitation":"Ahmed, Payyappat, et al., (2019)","plainCitation":"Ahmed, Payyappat, et al., (2019)","noteIndex":0},"citationItems":[{"id":12758,"uris":["http://zotero.org/users/148142/items/RBDGJBR8"],"uri":["http://zotero.org/users/148142/items/RBDGJBR8"],"itemData":{"id":12758,"type":"article-journal","abstract":"This study investigated the magnitude of wet weather overflow (WWO)-driven sewage pollution in an urban lake (Lake Parramatta) located in Sydney, New South Wales, Australia. Water samples were collected during a dry weather period and after two storm events, and tested for a range of novel and established sewage- [Bacteroides HF183, crAssphage CPQ_056 and pepper mild mottle virus (PMMoV)] and animal feces-associated (Bacteroides BacCan-UCD, cowM2 and Helicobacter spp. associated GFD) microbial source tracking marker genes along with the enumeration of culturable fecal indicator bacteria (FIB), namely Escherichia coli (E. coli) and Enterococcus spp. The magnitude of general and source-specific fecal pollution was low in water samples collected during dry weather compared to storm events. The levels of HF183, crAssphage and PMMoV in water samples collected during storm events were as high as 6.39, 6.33 and 5.27 log10 GC/L of water, respectively. Moderate to strong positive correlations were observed among the quantitative occurrence of sewage-associated marker genes. The concentrations of HF183 and PMMoV in most storm water samples exceeded the risk benchmark threshold values established in the literature for primary contact recreators. None of the samples tested was positive for the cowM2 (cow) marker gene, while BacCan-UCD (dog) and GFD (avian) animal-associated markers were sporadically detected in water samples collected from both dry weather and storm events. Based on the results, the ongoing advice that swimming should be avoided for several days after storm events appears appropriate. Further research to determine the decay rates of sewage-associated marker genes in relation to each other and enteric viruses would help refine current advice. Microbial source tracking approaches employed in this study provided insights into sources of contamination over currently used FIB.","container-title":"Scientific Reports","DOI":"10.1038/s41598-019-48682-4","ISSN":"2045-2322","issue":"1","journalAbbreviation":"Sci Rep","language":"eng","page":"12503","source":"PubMed","title":"Enhanced insights from human and animal host-associated molecular marker genes in a freshwater lake receiving wet weather overflows","URL":"http://www.ncbi.nlm.nih.gov/pubmed/31467317","volume":"9","author":[{"family":"Ahmed","given":"Warish"},{"family":"Payyappat","given":"Sudhi"},{"family":"Cassidy","given":"Michele"},{"family":"Besley","given":"Colin"}],"issued":{"date-parts":[["2019"]]}}}],"schema":"https://github.com/citation-style-language/schema/raw/master/csl-citation.json"} </w:instrText>
      </w:r>
      <w:r w:rsidRPr="00397A3E">
        <w:rPr>
          <w:rFonts w:cs="Arial"/>
          <w:i/>
          <w:iCs/>
          <w:noProof w:val="0"/>
        </w:rPr>
        <w:fldChar w:fldCharType="separate"/>
      </w:r>
      <w:r w:rsidRPr="00397A3E">
        <w:rPr>
          <w:rFonts w:cs="Arial"/>
          <w:i/>
          <w:iCs/>
          <w:noProof w:val="0"/>
        </w:rPr>
        <w:t>Ahmed, Payyappat, et al., (2019)</w:t>
      </w:r>
      <w:r w:rsidRPr="00397A3E">
        <w:rPr>
          <w:rFonts w:cs="Arial"/>
          <w:i/>
          <w:iCs/>
          <w:noProof w:val="0"/>
        </w:rPr>
        <w:fldChar w:fldCharType="end"/>
      </w:r>
      <w:r w:rsidR="00860D17" w:rsidRPr="00397A3E">
        <w:rPr>
          <w:rFonts w:cs="Arial"/>
          <w:i/>
          <w:iCs/>
          <w:noProof w:val="0"/>
        </w:rPr>
        <w:t xml:space="preserve"> </w:t>
      </w:r>
      <w:r w:rsidRPr="00397A3E">
        <w:rPr>
          <w:rFonts w:cs="Arial"/>
          <w:i/>
          <w:iCs/>
          <w:noProof w:val="0"/>
        </w:rPr>
        <w:t>Enhanced insights from human and animal host-associated molecular marker genes in a freshwater lake receiving wet weather overflows</w:t>
      </w:r>
      <w:r w:rsidR="00E7024E" w:rsidRPr="00397A3E">
        <w:rPr>
          <w:rFonts w:cs="Arial"/>
          <w:i/>
          <w:iCs/>
          <w:noProof w:val="0"/>
        </w:rPr>
        <w:t>.</w:t>
      </w:r>
      <w:r w:rsidR="00860D17" w:rsidRPr="00397A3E">
        <w:rPr>
          <w:rFonts w:cs="Arial"/>
          <w:i/>
          <w:iCs/>
          <w:noProof w:val="0"/>
        </w:rPr>
        <w:t xml:space="preserve"> (Qualitative research)</w:t>
      </w:r>
      <w:r w:rsidRPr="00397A3E">
        <w:rPr>
          <w:rFonts w:cs="Arial"/>
          <w:i/>
          <w:iCs/>
          <w:noProof w:val="0"/>
        </w:rPr>
        <w:t>.</w:t>
      </w:r>
    </w:p>
    <w:p w14:paraId="5A3CE6C7" w14:textId="107CB30D" w:rsidR="006A4F73" w:rsidRPr="00397A3E" w:rsidRDefault="00171C91" w:rsidP="000768FB">
      <w:pPr>
        <w:rPr>
          <w:rFonts w:cs="Arial"/>
          <w:noProof w:val="0"/>
        </w:rPr>
      </w:pPr>
      <w:r w:rsidRPr="00397A3E">
        <w:rPr>
          <w:rFonts w:cs="Arial"/>
          <w:noProof w:val="0"/>
        </w:rPr>
        <w:t xml:space="preserve">The impact of wet weather overflows of sewage to a freshwater swimming lake was assessed by </w:t>
      </w:r>
      <w:r w:rsidRPr="00397A3E">
        <w:rPr>
          <w:rFonts w:cs="Arial"/>
          <w:noProof w:val="0"/>
        </w:rPr>
        <w:fldChar w:fldCharType="begin"/>
      </w:r>
      <w:r w:rsidR="0069143F" w:rsidRPr="00397A3E">
        <w:rPr>
          <w:rFonts w:cs="Arial"/>
          <w:noProof w:val="0"/>
        </w:rPr>
        <w:instrText xml:space="preserve"> ADDIN ZOTERO_ITEM CSL_CITATION {"citationID":"ZiFsnjlX","properties":{"custom":"Ahmed, Payyappat, et al., (2019)","formattedCitation":"Ahmed, Payyappat, et al., (2019)","plainCitation":"Ahmed, Payyappat, et al., (2019)","noteIndex":0},"citationItems":[{"id":12758,"uris":["http://zotero.org/users/148142/items/RBDGJBR8"],"uri":["http://zotero.org/users/148142/items/RBDGJBR8"],"itemData":{"id":12758,"type":"article-journal","abstract":"This study investigated the magnitude of wet weather overflow (WWO)-driven sewage pollution in an urban lake (Lake Parramatta) located in Sydney, New South Wales, Australia. Water samples were collected during a dry weather period and after two storm events, and tested for a range of novel and established sewage- [Bacteroides HF183, crAssphage CPQ_056 and pepper mild mottle virus (PMMoV)] and animal feces-associated (Bacteroides BacCan-UCD, cowM2 and Helicobacter spp. associated GFD) microbial source tracking marker genes along with the enumeration of culturable fecal indicator bacteria (FIB), namely Escherichia coli (E. coli) and Enterococcus spp. The magnitude of general and source-specific fecal pollution was low in water samples collected during dry weather compared to storm events. The levels of HF183, crAssphage and PMMoV in water samples collected during storm events were as high as 6.39, 6.33 and 5.27 log10 GC/L of water, respectively. Moderate to strong positive correlations were observed among the quantitative occurrence of sewage-associated marker genes. The concentrations of HF183 and PMMoV in most storm water samples exceeded the risk benchmark threshold values established in the literature for primary contact recreators. None of the samples tested was positive for the cowM2 (cow) marker gene, while BacCan-UCD (dog) and GFD (avian) animal-associated markers were sporadically detected in water samples collected from both dry weather and storm events. Based on the results, the ongoing advice that swimming should be avoided for several days after storm events appears appropriate. Further research to determine the decay rates of sewage-associated marker genes in relation to each other and enteric viruses would help refine current advice. Microbial source tracking approaches employed in this study provided insights into sources of contamination over currently used FIB.","container-title":"Scientific Reports","DOI":"10.1038/s41598-019-48682-4","ISSN":"2045-2322","issue":"1","journalAbbreviation":"Sci Rep","language":"eng","page":"12503","source":"PubMed","title":"Enhanced insights from human and animal host-associated molecular marker genes in a freshwater lake receiving wet weather overflows","URL":"http://www.ncbi.nlm.nih.gov/pubmed/31467317","volume":"9","author":[{"family":"Ahmed","given":"Warish"},{"family":"Payyappat","given":"Sudhi"},{"family":"Cassidy","given":"Michele"},{"family":"Besley","given":"Colin"}],"issued":{"date-parts":[["2019"]]}}}],"schema":"https://github.com/citation-style-language/schema/raw/master/csl-citation.json"} </w:instrText>
      </w:r>
      <w:r w:rsidRPr="00397A3E">
        <w:rPr>
          <w:rFonts w:cs="Arial"/>
          <w:noProof w:val="0"/>
        </w:rPr>
        <w:fldChar w:fldCharType="separate"/>
      </w:r>
      <w:r w:rsidRPr="00397A3E">
        <w:rPr>
          <w:rFonts w:cs="Arial"/>
          <w:noProof w:val="0"/>
        </w:rPr>
        <w:t>Ahmed, Payyappat, et al., (2019)</w:t>
      </w:r>
      <w:r w:rsidRPr="00397A3E">
        <w:rPr>
          <w:rFonts w:cs="Arial"/>
          <w:noProof w:val="0"/>
        </w:rPr>
        <w:fldChar w:fldCharType="end"/>
      </w:r>
      <w:r w:rsidRPr="00397A3E">
        <w:rPr>
          <w:rFonts w:cs="Arial"/>
          <w:noProof w:val="0"/>
        </w:rPr>
        <w:t xml:space="preserve">.  The authors </w:t>
      </w:r>
      <w:r w:rsidR="00CE432D" w:rsidRPr="00397A3E">
        <w:rPr>
          <w:rFonts w:cs="Arial"/>
          <w:noProof w:val="0"/>
        </w:rPr>
        <w:t xml:space="preserve">used FIB and MST biomarkers to </w:t>
      </w:r>
      <w:r w:rsidRPr="00397A3E">
        <w:rPr>
          <w:rFonts w:cs="Arial"/>
          <w:noProof w:val="0"/>
        </w:rPr>
        <w:t>assess the magnitude of sewage and animal faecal contamination in Lake Parramatta water samples collected during a dry weather period and from two storm events that coincided with wet weather overflows of sewage to the lake.</w:t>
      </w:r>
    </w:p>
    <w:p w14:paraId="67323C5D" w14:textId="487A08CF" w:rsidR="006A4F73" w:rsidRPr="00397A3E" w:rsidRDefault="00171C91" w:rsidP="00860D17">
      <w:pPr>
        <w:rPr>
          <w:rFonts w:cs="Arial"/>
          <w:noProof w:val="0"/>
        </w:rPr>
      </w:pPr>
      <w:r w:rsidRPr="00397A3E">
        <w:rPr>
          <w:rFonts w:cs="Arial"/>
          <w:noProof w:val="0"/>
        </w:rPr>
        <w:t>Water samples were tested for a range of novel and established</w:t>
      </w:r>
      <w:r w:rsidR="00CE432D" w:rsidRPr="00397A3E">
        <w:rPr>
          <w:rFonts w:cs="Arial"/>
          <w:noProof w:val="0"/>
        </w:rPr>
        <w:t xml:space="preserve"> FIB and sewage-associated and animal faeces-associated MST marker genes </w:t>
      </w:r>
      <w:r w:rsidRPr="00397A3E">
        <w:rPr>
          <w:rFonts w:cs="Arial"/>
          <w:noProof w:val="0"/>
        </w:rPr>
        <w:t>[</w:t>
      </w:r>
      <w:r w:rsidR="00CE432D" w:rsidRPr="00397A3E">
        <w:rPr>
          <w:rFonts w:cs="Arial"/>
          <w:noProof w:val="0"/>
        </w:rPr>
        <w:t xml:space="preserve">Sewage: </w:t>
      </w:r>
      <w:r w:rsidRPr="00397A3E">
        <w:rPr>
          <w:rFonts w:cs="Arial"/>
          <w:noProof w:val="0"/>
        </w:rPr>
        <w:t>Bacteroides HF183, crAssphage CPQ_056 and pepper mild mottle virus (PMMoV)</w:t>
      </w:r>
      <w:r w:rsidR="00CE432D" w:rsidRPr="00397A3E">
        <w:rPr>
          <w:rFonts w:cs="Arial"/>
          <w:noProof w:val="0"/>
        </w:rPr>
        <w:t>, A</w:t>
      </w:r>
      <w:r w:rsidRPr="00397A3E">
        <w:rPr>
          <w:rFonts w:cs="Arial"/>
          <w:noProof w:val="0"/>
        </w:rPr>
        <w:t>nimal f</w:t>
      </w:r>
      <w:r w:rsidR="00CE432D" w:rsidRPr="00397A3E">
        <w:rPr>
          <w:rFonts w:cs="Arial"/>
          <w:noProof w:val="0"/>
        </w:rPr>
        <w:t>a</w:t>
      </w:r>
      <w:r w:rsidRPr="00397A3E">
        <w:rPr>
          <w:rFonts w:cs="Arial"/>
          <w:noProof w:val="0"/>
        </w:rPr>
        <w:t>eces</w:t>
      </w:r>
      <w:r w:rsidR="00CE432D" w:rsidRPr="00397A3E">
        <w:rPr>
          <w:rFonts w:cs="Arial"/>
          <w:noProof w:val="0"/>
        </w:rPr>
        <w:t>:</w:t>
      </w:r>
      <w:r w:rsidRPr="00397A3E">
        <w:rPr>
          <w:rFonts w:cs="Arial"/>
          <w:noProof w:val="0"/>
        </w:rPr>
        <w:t xml:space="preserve">- Bacteroides BacCan-UCD, cowM2 and Helicobacter spp. associated GFD) along with the enumeration of culturable </w:t>
      </w:r>
      <w:r w:rsidR="00CE432D" w:rsidRPr="00397A3E">
        <w:rPr>
          <w:rFonts w:cs="Arial"/>
          <w:noProof w:val="0"/>
        </w:rPr>
        <w:t>faecal</w:t>
      </w:r>
      <w:r w:rsidRPr="00397A3E">
        <w:rPr>
          <w:rFonts w:cs="Arial"/>
          <w:noProof w:val="0"/>
        </w:rPr>
        <w:t xml:space="preserve"> indicator bacteria (FIB), namely </w:t>
      </w:r>
      <w:r w:rsidRPr="00397A3E">
        <w:rPr>
          <w:rFonts w:cs="Arial"/>
          <w:i/>
          <w:iCs/>
          <w:noProof w:val="0"/>
        </w:rPr>
        <w:t xml:space="preserve">Escherichia coli </w:t>
      </w:r>
      <w:r w:rsidRPr="00397A3E">
        <w:rPr>
          <w:rFonts w:cs="Arial"/>
          <w:noProof w:val="0"/>
        </w:rPr>
        <w:t>(</w:t>
      </w:r>
      <w:r w:rsidRPr="00397A3E">
        <w:rPr>
          <w:rFonts w:cs="Arial"/>
          <w:i/>
          <w:noProof w:val="0"/>
        </w:rPr>
        <w:t>E. coli</w:t>
      </w:r>
      <w:r w:rsidRPr="00397A3E">
        <w:rPr>
          <w:rFonts w:cs="Arial"/>
          <w:noProof w:val="0"/>
        </w:rPr>
        <w:t xml:space="preserve">) and </w:t>
      </w:r>
      <w:r w:rsidRPr="00397A3E">
        <w:rPr>
          <w:rFonts w:cs="Arial"/>
          <w:i/>
          <w:iCs/>
          <w:noProof w:val="0"/>
        </w:rPr>
        <w:t>Enterococcus</w:t>
      </w:r>
      <w:r w:rsidRPr="00397A3E">
        <w:rPr>
          <w:rFonts w:cs="Arial"/>
          <w:noProof w:val="0"/>
        </w:rPr>
        <w:t xml:space="preserve"> spp</w:t>
      </w:r>
      <w:r w:rsidR="00CE432D" w:rsidRPr="00397A3E">
        <w:rPr>
          <w:rFonts w:cs="Arial"/>
          <w:noProof w:val="0"/>
        </w:rPr>
        <w:t>.</w:t>
      </w:r>
    </w:p>
    <w:p w14:paraId="5DB5B653" w14:textId="7CB9354C" w:rsidR="006A4F73" w:rsidRPr="00397A3E" w:rsidRDefault="00171C91" w:rsidP="00860D17">
      <w:pPr>
        <w:rPr>
          <w:rFonts w:cs="Arial"/>
          <w:noProof w:val="0"/>
        </w:rPr>
      </w:pPr>
      <w:r w:rsidRPr="00397A3E">
        <w:rPr>
          <w:rFonts w:cs="Arial"/>
          <w:noProof w:val="0"/>
        </w:rPr>
        <w:t>The magnitude of general and source-specific faecal pollution was low in water samples collected during dry weather compared to storm events. The levels of HF183, crAssphage and PMMoV in water samples collected during storm events were as high as 6.39, 6.33 and 5.27 log10 GC/L of water, respectively. Moderate to strong positive correlations were observed among the quantitative occurrence of sewage-associated marker genes. The concentrations of HF183 and PMMoV in most storm water samples exceeded the risk benchmark threshold values established in the literature for primary contact recreators (see Table 3 in the paper). None of the samples tested was positive for the cowM2 (cow) marker gene, while BacCan-UCD (dog) and GFD (avian) animal-associated markers were sporadically detected in water samples collected from both dry weather and storm events.</w:t>
      </w:r>
    </w:p>
    <w:p w14:paraId="3964CB65" w14:textId="3E824BC8" w:rsidR="006A4F73" w:rsidRPr="00397A3E" w:rsidRDefault="00171C91" w:rsidP="00860D17">
      <w:pPr>
        <w:rPr>
          <w:rFonts w:cs="Arial"/>
          <w:noProof w:val="0"/>
        </w:rPr>
      </w:pPr>
      <w:r w:rsidRPr="00397A3E">
        <w:rPr>
          <w:rFonts w:cs="Arial"/>
          <w:noProof w:val="0"/>
        </w:rPr>
        <w:t xml:space="preserve">Based on the results, the ongoing advice that swimming should be avoided for several days after storm events </w:t>
      </w:r>
      <w:r w:rsidR="00602326" w:rsidRPr="00397A3E">
        <w:rPr>
          <w:rFonts w:cs="Arial"/>
          <w:noProof w:val="0"/>
        </w:rPr>
        <w:t>was considered</w:t>
      </w:r>
      <w:r w:rsidRPr="00397A3E">
        <w:rPr>
          <w:rFonts w:cs="Arial"/>
          <w:noProof w:val="0"/>
        </w:rPr>
        <w:t xml:space="preserve"> appropriate. Further research to determine the decay rates of sewage-associated marker genes in relation to each other and enteric viruses would help refine current advice. Microbial source tracking approaches employed in th</w:t>
      </w:r>
      <w:r w:rsidR="00203E4F" w:rsidRPr="00397A3E">
        <w:rPr>
          <w:rFonts w:cs="Arial"/>
          <w:noProof w:val="0"/>
        </w:rPr>
        <w:t>e</w:t>
      </w:r>
      <w:r w:rsidRPr="00397A3E">
        <w:rPr>
          <w:rFonts w:cs="Arial"/>
          <w:noProof w:val="0"/>
        </w:rPr>
        <w:t xml:space="preserve"> study provided insights into sources of contamination over currently used FIB.</w:t>
      </w:r>
    </w:p>
    <w:p w14:paraId="0C29E609" w14:textId="77777777" w:rsidR="006A4F73" w:rsidRPr="005903C7" w:rsidRDefault="006A4F73" w:rsidP="00860D17">
      <w:pPr>
        <w:rPr>
          <w:rFonts w:cs="Arial"/>
          <w:noProof w:val="0"/>
        </w:rPr>
      </w:pPr>
    </w:p>
    <w:p w14:paraId="15221084" w14:textId="10CC67A2" w:rsidR="000A3880" w:rsidRPr="00397A3E" w:rsidRDefault="00171C91" w:rsidP="00B26B16">
      <w:pPr>
        <w:keepNext/>
        <w:rPr>
          <w:rFonts w:cs="Arial"/>
          <w:i/>
          <w:iCs/>
          <w:noProof w:val="0"/>
        </w:rPr>
      </w:pPr>
      <w:r w:rsidRPr="00397A3E">
        <w:rPr>
          <w:rFonts w:cs="Arial"/>
          <w:i/>
          <w:iCs/>
          <w:noProof w:val="0"/>
        </w:rPr>
        <w:t xml:space="preserve">J4: </w:t>
      </w:r>
      <w:r w:rsidRPr="00397A3E">
        <w:rPr>
          <w:rFonts w:cs="Arial"/>
          <w:i/>
          <w:iCs/>
          <w:noProof w:val="0"/>
        </w:rPr>
        <w:fldChar w:fldCharType="begin"/>
      </w:r>
      <w:r w:rsidR="00F84CE9" w:rsidRPr="00397A3E">
        <w:rPr>
          <w:rFonts w:cs="Arial"/>
          <w:i/>
          <w:iCs/>
          <w:noProof w:val="0"/>
        </w:rPr>
        <w:instrText xml:space="preserve"> ADDIN ZOTERO_ITEM CSL_CITATION {"citationID":"qQQb6RP8","properties":{"custom":"Ahmed, Payyappat, et al., (2020)","formattedCitation":"Ahmed, Payyappat, et al., (2020)","plainCitation":"Ahmed, Payyappat, et al., (2020)","noteIndex":0},"citationItems":[{"id":12760,"uris":["http://zotero.org/users/148142/items/P5CCED5G"],"uri":["http://zotero.org/users/148142/items/P5CCED5G"],"itemData":{"id":12760,"type":"article-journal","abstract":"This study investigates the impact of wet weather overflows (WWOs) at three estuarine locations in Sydney, NSW, Australia. WWOs can occur when infiltration of stormwater leads to an excess volume of flow within the sewerage system, resulting in the release of diluted sewage into the environment. Sewage contamination poses a risk to human health due to the presence of pathogens. The magnitude of sewage contamination was monitored using established and novel sewage-associated marker genes, Bacteroides HF183, pepper mild mottle virus (PMMoV), crAssphage CPQ_056, Lachnospiraceae (Lachno3) marker genes along with culturable fecal indicator bacteria (FIB) Escherichia coli (E. coli) and enterococci. Water samples were collected at two water depths (0.5 m below the water surface and 1 m above the bottom surface) during one dry weather and two storm events. Analysis of sewage-associated marker genes showed greater (i.e., 3-5 orders of magnitude) concentrations in water samples collected during the storm events compared to dry weather event. Water samples were also analysed for four animal feces-associated marker genes targeting avian (GFD), dog (BacCan-UCD), cow (cowM2) and horse (HoF597) species to determine the extent of animal fecal contamination. Among the four marker genes, cowM2 and HoF597 could not be detected, while GFD marker gene was consistently present and BacCan-UCD was occasionally detected. Overall results suggested that after rainfall, untreated sewage from WWOs was present at sampling locations. In addition, microbial source tracking (MST) monitoring was able to distinguish the presence of a leaking sewer impacting on the recreational area during dry weather condition. This study demonstrated the capability of the MST monitoring approach to understand sources (sewage or animal) of fecal contamination. This capability will greatly enhance management decisions assisting in the prioritisation of remediation efforts of the sewerage system to improve estuarine bathing water quality and diminish human health risk.","container-title":"The Science of the Total Environment","DOI":"10.1016/j.scitotenv.2019.135390","ISSN":"1879-1026","journalAbbreviation":"Sci. Total Environ.","language":"eng","page":"135390","source":"PubMed","title":"Sewage-associated marker genes illustrate the impact of wet weather overflows and dry weather leakage in urban estuarine waters of Sydney, Australia","URL":"http://www.ncbi.nlm.nih.gov/pubmed/31838427","volume":"705","author":[{"family":"Ahmed","given":"Warish"},{"family":"Payyappat","given":"Sudhi"},{"family":"Cassidy","given":"Michele"},{"family":"Harrison","given":"Nathan"},{"family":"Besley","given":"Colin"}],"issued":{"date-parts":[["2020",2,25]]}}}],"schema":"https://github.com/citation-style-language/schema/raw/master/csl-citation.json"} </w:instrText>
      </w:r>
      <w:r w:rsidRPr="00397A3E">
        <w:rPr>
          <w:rFonts w:cs="Arial"/>
          <w:i/>
          <w:iCs/>
          <w:noProof w:val="0"/>
        </w:rPr>
        <w:fldChar w:fldCharType="separate"/>
      </w:r>
      <w:r w:rsidRPr="00397A3E">
        <w:rPr>
          <w:rFonts w:cs="Arial"/>
          <w:i/>
          <w:iCs/>
          <w:noProof w:val="0"/>
        </w:rPr>
        <w:t>Ahmed, Payyappat, et al., (2020)</w:t>
      </w:r>
      <w:r w:rsidRPr="00397A3E">
        <w:rPr>
          <w:rFonts w:cs="Arial"/>
          <w:i/>
          <w:iCs/>
          <w:noProof w:val="0"/>
        </w:rPr>
        <w:fldChar w:fldCharType="end"/>
      </w:r>
      <w:r w:rsidR="00860D17" w:rsidRPr="00397A3E">
        <w:rPr>
          <w:rFonts w:cs="Arial"/>
          <w:i/>
          <w:iCs/>
          <w:noProof w:val="0"/>
        </w:rPr>
        <w:t xml:space="preserve"> </w:t>
      </w:r>
      <w:r w:rsidRPr="00397A3E">
        <w:rPr>
          <w:rFonts w:cs="Arial"/>
          <w:i/>
          <w:iCs/>
          <w:noProof w:val="0"/>
        </w:rPr>
        <w:t>Sewage-associated marker genes illustrate the impact of wet weather overflows and dry weather leakage in urban estuarine waters of Sydney, Australia</w:t>
      </w:r>
      <w:r w:rsidR="00340567" w:rsidRPr="00397A3E">
        <w:rPr>
          <w:rFonts w:cs="Arial"/>
          <w:i/>
          <w:iCs/>
          <w:noProof w:val="0"/>
        </w:rPr>
        <w:t>.</w:t>
      </w:r>
      <w:r w:rsidR="00860D17" w:rsidRPr="00397A3E">
        <w:rPr>
          <w:rFonts w:cs="Arial"/>
          <w:i/>
          <w:iCs/>
          <w:noProof w:val="0"/>
        </w:rPr>
        <w:t xml:space="preserve"> (Qualitative research)</w:t>
      </w:r>
      <w:r w:rsidRPr="00397A3E">
        <w:rPr>
          <w:rFonts w:cs="Arial"/>
          <w:i/>
          <w:iCs/>
          <w:noProof w:val="0"/>
        </w:rPr>
        <w:t xml:space="preserve">. </w:t>
      </w:r>
    </w:p>
    <w:p w14:paraId="5FF527A0" w14:textId="646B33E6" w:rsidR="00E50DEE" w:rsidRPr="00397A3E" w:rsidRDefault="00171C91" w:rsidP="00F737F4">
      <w:pPr>
        <w:rPr>
          <w:rFonts w:cs="Arial"/>
          <w:noProof w:val="0"/>
        </w:rPr>
      </w:pPr>
      <w:r w:rsidRPr="00397A3E">
        <w:rPr>
          <w:rFonts w:cs="Arial"/>
          <w:noProof w:val="0"/>
        </w:rPr>
        <w:fldChar w:fldCharType="begin"/>
      </w:r>
      <w:r w:rsidR="0069143F" w:rsidRPr="00397A3E">
        <w:rPr>
          <w:rFonts w:cs="Arial"/>
          <w:noProof w:val="0"/>
        </w:rPr>
        <w:instrText xml:space="preserve"> ADDIN ZOTERO_ITEM CSL_CITATION {"citationID":"nAHLWuQw","properties":{"custom":"Ahmed, Payyappat, et al., (2020)","formattedCitation":"Ahmed, Payyappat, et al., (2020)","plainCitation":"Ahmed, Payyappat, et al., (2020)","noteIndex":0},"citationItems":[{"id":12760,"uris":["http://zotero.org/users/148142/items/P5CCED5G"],"uri":["http://zotero.org/users/148142/items/P5CCED5G"],"itemData":{"id":12760,"type":"article-journal","abstract":"This study investigates the impact of wet weather overflows (WWOs) at three estuarine locations in Sydney, NSW, Australia. WWOs can occur when infiltration of stormwater leads to an excess volume of flow within the sewerage system, resulting in the release of diluted sewage into the environment. Sewage contamination poses a risk to human health due to the presence of pathogens. The magnitude of sewage contamination was monitored using established and novel sewage-associated marker genes, Bacteroides HF183, pepper mild mottle virus (PMMoV), crAssphage CPQ_056, Lachnospiraceae (Lachno3) marker genes along with culturable fecal indicator bacteria (FIB) Escherichia coli (E. coli) and enterococci. Water samples were collected at two water depths (0.5 m below the water surface and 1 m above the bottom surface) during one dry weather and two storm events. Analysis of sewage-associated marker genes showed greater (i.e., 3-5 orders of magnitude) concentrations in water samples collected during the storm events compared to dry weather event. Water samples were also analysed for four animal feces-associated marker genes targeting avian (GFD), dog (BacCan-UCD), cow (cowM2) and horse (HoF597) species to determine the extent of animal fecal contamination. Among the four marker genes, cowM2 and HoF597 could not be detected, while GFD marker gene was consistently present and BacCan-UCD was occasionally detected. Overall results suggested that after rainfall, untreated sewage from WWOs was present at sampling locations. In addition, microbial source tracking (MST) monitoring was able to distinguish the presence of a leaking sewer impacting on the recreational area during dry weather condition. This study demonstrated the capability of the MST monitoring approach to understand sources (sewage or animal) of fecal contamination. This capability will greatly enhance management decisions assisting in the prioritisation of remediation efforts of the sewerage system to improve estuarine bathing water quality and diminish human health risk.","container-title":"The Science of the Total Environment","DOI":"10.1016/j.scitotenv.2019.135390","ISSN":"1879-1026","journalAbbreviation":"Sci. Total Environ.","language":"eng","page":"135390","source":"PubMed","title":"Sewage-associated marker genes illustrate the impact of wet weather overflows and dry weather leakage in urban estuarine waters of Sydney, Australia","URL":"http://www.ncbi.nlm.nih.gov/pubmed/31838427","volume":"705","author":[{"family":"Ahmed","given":"Warish"},{"family":"Payyappat","given":"Sudhi"},{"family":"Cassidy","given":"Michele"},{"family":"Harrison","given":"Nathan"},{"family":"Besley","given":"Colin"}],"issued":{"date-parts":[["2020",2,25]]}}}],"schema":"https://github.com/citation-style-language/schema/raw/master/csl-citation.json"} </w:instrText>
      </w:r>
      <w:r w:rsidRPr="00397A3E">
        <w:rPr>
          <w:rFonts w:cs="Arial"/>
          <w:noProof w:val="0"/>
        </w:rPr>
        <w:fldChar w:fldCharType="separate"/>
      </w:r>
      <w:r w:rsidRPr="00397A3E">
        <w:rPr>
          <w:rFonts w:cs="Arial"/>
          <w:noProof w:val="0"/>
        </w:rPr>
        <w:t>Ahmed, Payyappat, et al., (2020)</w:t>
      </w:r>
      <w:r w:rsidRPr="00397A3E">
        <w:rPr>
          <w:rFonts w:cs="Arial"/>
          <w:noProof w:val="0"/>
        </w:rPr>
        <w:fldChar w:fldCharType="end"/>
      </w:r>
      <w:r w:rsidRPr="00397A3E">
        <w:rPr>
          <w:rFonts w:cs="Arial"/>
          <w:noProof w:val="0"/>
        </w:rPr>
        <w:t xml:space="preserve"> s</w:t>
      </w:r>
      <w:r w:rsidR="00473813" w:rsidRPr="00397A3E">
        <w:rPr>
          <w:rFonts w:cs="Arial"/>
          <w:noProof w:val="0"/>
        </w:rPr>
        <w:t>ought</w:t>
      </w:r>
      <w:r w:rsidRPr="00397A3E">
        <w:rPr>
          <w:rFonts w:cs="Arial"/>
          <w:noProof w:val="0"/>
        </w:rPr>
        <w:t xml:space="preserve"> to determine the impacts of sewage network wet weather and dry weather overflows (WWOs and DWOs respectively) and associated sewage contamination at three estuarine sites</w:t>
      </w:r>
      <w:r w:rsidR="0099164A" w:rsidRPr="00397A3E">
        <w:rPr>
          <w:rFonts w:cs="Arial"/>
          <w:noProof w:val="0"/>
        </w:rPr>
        <w:t xml:space="preserve"> receiving stormwater flows</w:t>
      </w:r>
      <w:r w:rsidRPr="00397A3E">
        <w:rPr>
          <w:rFonts w:cs="Arial"/>
          <w:noProof w:val="0"/>
        </w:rPr>
        <w:t xml:space="preserve"> in Sydney, NSW.</w:t>
      </w:r>
    </w:p>
    <w:p w14:paraId="6BB46C16" w14:textId="7C1FF25B" w:rsidR="00E50DEE" w:rsidRPr="00397A3E" w:rsidRDefault="00171C91" w:rsidP="00F737F4">
      <w:pPr>
        <w:rPr>
          <w:rFonts w:cs="Arial"/>
          <w:noProof w:val="0"/>
        </w:rPr>
      </w:pPr>
      <w:r w:rsidRPr="00397A3E">
        <w:rPr>
          <w:rFonts w:cs="Arial"/>
          <w:noProof w:val="0"/>
        </w:rPr>
        <w:t xml:space="preserve">Concentrations of </w:t>
      </w:r>
      <w:r w:rsidR="0099164A" w:rsidRPr="00397A3E">
        <w:rPr>
          <w:rFonts w:cs="Arial"/>
          <w:noProof w:val="0"/>
        </w:rPr>
        <w:t xml:space="preserve">culturable faecal indicator bacteria (FIB) </w:t>
      </w:r>
      <w:r w:rsidR="00AF7896" w:rsidRPr="00397A3E">
        <w:rPr>
          <w:rFonts w:cs="Arial"/>
          <w:noProof w:val="0"/>
        </w:rPr>
        <w:t>and MST</w:t>
      </w:r>
      <w:r w:rsidR="00402798" w:rsidRPr="00397A3E">
        <w:rPr>
          <w:rFonts w:cs="Arial"/>
          <w:noProof w:val="0"/>
        </w:rPr>
        <w:t xml:space="preserve"> biomarker genes</w:t>
      </w:r>
      <w:r w:rsidRPr="00397A3E">
        <w:rPr>
          <w:rFonts w:cs="Arial"/>
          <w:noProof w:val="0"/>
        </w:rPr>
        <w:t xml:space="preserve"> </w:t>
      </w:r>
      <w:r w:rsidR="00AF7896" w:rsidRPr="00397A3E">
        <w:rPr>
          <w:rFonts w:cs="Arial"/>
          <w:noProof w:val="0"/>
        </w:rPr>
        <w:t xml:space="preserve">were </w:t>
      </w:r>
      <w:r w:rsidRPr="00397A3E">
        <w:rPr>
          <w:rFonts w:cs="Arial"/>
          <w:noProof w:val="0"/>
        </w:rPr>
        <w:t xml:space="preserve">measured in dry weather samples and samples following storm events from 6 sampling stations at each of </w:t>
      </w:r>
      <w:r w:rsidR="00AF7896" w:rsidRPr="00397A3E">
        <w:rPr>
          <w:rFonts w:cs="Arial"/>
          <w:noProof w:val="0"/>
        </w:rPr>
        <w:t xml:space="preserve">the three </w:t>
      </w:r>
      <w:r w:rsidRPr="00397A3E">
        <w:rPr>
          <w:rFonts w:cs="Arial"/>
          <w:noProof w:val="0"/>
        </w:rPr>
        <w:t>estuaries.</w:t>
      </w:r>
      <w:r w:rsidR="00AF7896" w:rsidRPr="00397A3E">
        <w:rPr>
          <w:rFonts w:cs="Arial"/>
          <w:noProof w:val="0"/>
        </w:rPr>
        <w:t xml:space="preserve"> </w:t>
      </w:r>
      <w:r w:rsidRPr="00397A3E">
        <w:rPr>
          <w:rFonts w:cs="Arial"/>
          <w:noProof w:val="0"/>
        </w:rPr>
        <w:t xml:space="preserve"> At each station samples were collected at (i) 0.5 m below the water surface, and (ii) 1 m above the bottom surface to investigate whether MST marker genes </w:t>
      </w:r>
      <w:r w:rsidR="00AF7896" w:rsidRPr="00397A3E">
        <w:rPr>
          <w:rFonts w:cs="Arial"/>
          <w:noProof w:val="0"/>
        </w:rPr>
        <w:t>declined with</w:t>
      </w:r>
      <w:r w:rsidRPr="00397A3E">
        <w:rPr>
          <w:rFonts w:cs="Arial"/>
          <w:noProof w:val="0"/>
        </w:rPr>
        <w:t xml:space="preserve"> depth</w:t>
      </w:r>
      <w:r w:rsidR="00AF7896" w:rsidRPr="00397A3E">
        <w:rPr>
          <w:rFonts w:cs="Arial"/>
          <w:noProof w:val="0"/>
        </w:rPr>
        <w:t>.</w:t>
      </w:r>
    </w:p>
    <w:p w14:paraId="30B01A50" w14:textId="057CB078" w:rsidR="00E50DEE" w:rsidRPr="00397A3E" w:rsidRDefault="00171C91" w:rsidP="00F737F4">
      <w:pPr>
        <w:rPr>
          <w:rFonts w:cs="Arial"/>
          <w:noProof w:val="0"/>
        </w:rPr>
      </w:pPr>
      <w:r w:rsidRPr="00397A3E">
        <w:rPr>
          <w:rFonts w:cs="Arial"/>
          <w:noProof w:val="0"/>
        </w:rPr>
        <w:t xml:space="preserve">MST </w:t>
      </w:r>
      <w:r w:rsidR="00402798" w:rsidRPr="00397A3E">
        <w:rPr>
          <w:rFonts w:cs="Arial"/>
          <w:noProof w:val="0"/>
        </w:rPr>
        <w:t xml:space="preserve">biomarker genes </w:t>
      </w:r>
      <w:r w:rsidRPr="00397A3E">
        <w:rPr>
          <w:rFonts w:cs="Arial"/>
          <w:noProof w:val="0"/>
        </w:rPr>
        <w:t>used were Bacteroides HF183, pepper mild mottle virus (PMMoV), crAssphage CPQ_056, Lachnospiraceae (Lachno3)</w:t>
      </w:r>
      <w:r w:rsidR="00402798" w:rsidRPr="00397A3E">
        <w:rPr>
          <w:rFonts w:cs="Arial"/>
          <w:noProof w:val="0"/>
        </w:rPr>
        <w:t xml:space="preserve">, whilst FIB used were </w:t>
      </w:r>
      <w:r w:rsidRPr="00397A3E">
        <w:rPr>
          <w:rFonts w:cs="Arial"/>
          <w:i/>
          <w:noProof w:val="0"/>
        </w:rPr>
        <w:t>E. coli</w:t>
      </w:r>
      <w:r w:rsidRPr="00397A3E">
        <w:rPr>
          <w:rFonts w:cs="Arial"/>
          <w:noProof w:val="0"/>
        </w:rPr>
        <w:t xml:space="preserve"> and enterococci.  Water samples were also analysed for four animal faeces-associated </w:t>
      </w:r>
      <w:r w:rsidR="00402798" w:rsidRPr="00397A3E">
        <w:rPr>
          <w:rFonts w:cs="Arial"/>
          <w:noProof w:val="0"/>
        </w:rPr>
        <w:t>biomarker genes</w:t>
      </w:r>
      <w:r w:rsidRPr="00397A3E">
        <w:rPr>
          <w:rFonts w:cs="Arial"/>
          <w:noProof w:val="0"/>
        </w:rPr>
        <w:t xml:space="preserve"> targeting avian (GFD), dog (BacCan-UCD), cow (cowM2) and horse (HoF597) species to determine the extent of animal faecal contamination.</w:t>
      </w:r>
    </w:p>
    <w:p w14:paraId="6F11946C" w14:textId="77777777" w:rsidR="0099164A" w:rsidRPr="00397A3E" w:rsidRDefault="00171C91" w:rsidP="00860D17">
      <w:pPr>
        <w:rPr>
          <w:rFonts w:cs="Arial"/>
          <w:noProof w:val="0"/>
        </w:rPr>
      </w:pPr>
      <w:r w:rsidRPr="00397A3E">
        <w:rPr>
          <w:rFonts w:cs="Arial"/>
          <w:noProof w:val="0"/>
        </w:rPr>
        <w:t xml:space="preserve">Analysis of sewage associated marker genes showed greater (i.e., 3–5 orders of magnitude) concentrations in water samples collected during the storm events compared to dry weather event. </w:t>
      </w:r>
    </w:p>
    <w:p w14:paraId="50831A6F" w14:textId="331BF692" w:rsidR="0099164A" w:rsidRPr="00397A3E" w:rsidRDefault="00171C91" w:rsidP="00860D17">
      <w:pPr>
        <w:rPr>
          <w:rFonts w:cs="Arial"/>
          <w:noProof w:val="0"/>
        </w:rPr>
      </w:pPr>
      <w:r w:rsidRPr="00397A3E">
        <w:rPr>
          <w:rFonts w:cs="Arial"/>
          <w:noProof w:val="0"/>
        </w:rPr>
        <w:t xml:space="preserve">Among the four animal faeces-associated marker genes, cow (cowM2) and horse (HoF597) could not be detected, while the avian (GFD) marker gene was consistently present, and the dog (BacCan-UCD) marker gene was occasionally detected. Overall results suggested that after rainfall, untreated sewage from wet weather overflows (WWOs) was present at sampling locations. In addition, microbial source tracking (MST) monitoring was able to distinguish the presence of a leaking sewer impacting on the recreational area during dry weather condition.  </w:t>
      </w:r>
    </w:p>
    <w:p w14:paraId="0084B77B" w14:textId="654CDB3A" w:rsidR="00F737F4" w:rsidRPr="00397A3E" w:rsidRDefault="00171C91" w:rsidP="00860D17">
      <w:pPr>
        <w:rPr>
          <w:rFonts w:cs="Arial"/>
          <w:noProof w:val="0"/>
        </w:rPr>
      </w:pPr>
      <w:r w:rsidRPr="00397A3E">
        <w:rPr>
          <w:rFonts w:cs="Arial"/>
          <w:noProof w:val="0"/>
        </w:rPr>
        <w:t>Depth profile analysis of FIB indicated overall greater concentrations at the surface compared to the bottom of the water bodies.</w:t>
      </w:r>
    </w:p>
    <w:p w14:paraId="71BB314A" w14:textId="77777777" w:rsidR="00203E4F" w:rsidRPr="005903C7" w:rsidRDefault="00203E4F" w:rsidP="00860D17">
      <w:pPr>
        <w:rPr>
          <w:rFonts w:cs="Arial"/>
          <w:noProof w:val="0"/>
        </w:rPr>
      </w:pPr>
    </w:p>
    <w:p w14:paraId="3F6F63BD" w14:textId="16A14D2F" w:rsidR="000A3880" w:rsidRPr="00397A3E" w:rsidRDefault="00171C91" w:rsidP="00B26B16">
      <w:pPr>
        <w:keepNext/>
        <w:rPr>
          <w:rFonts w:cs="Arial"/>
          <w:i/>
          <w:iCs/>
          <w:noProof w:val="0"/>
        </w:rPr>
      </w:pPr>
      <w:r w:rsidRPr="00397A3E">
        <w:rPr>
          <w:rFonts w:cs="Arial"/>
          <w:i/>
          <w:iCs/>
          <w:noProof w:val="0"/>
        </w:rPr>
        <w:t xml:space="preserve">J5: </w:t>
      </w:r>
      <w:r w:rsidRPr="00397A3E">
        <w:rPr>
          <w:rFonts w:cs="Arial"/>
          <w:i/>
          <w:iCs/>
          <w:noProof w:val="0"/>
        </w:rPr>
        <w:fldChar w:fldCharType="begin"/>
      </w:r>
      <w:r w:rsidR="00F84CE9" w:rsidRPr="00397A3E">
        <w:rPr>
          <w:rFonts w:cs="Arial"/>
          <w:i/>
          <w:iCs/>
          <w:noProof w:val="0"/>
        </w:rPr>
        <w:instrText xml:space="preserve"> ADDIN ZOTERO_ITEM CSL_CITATION {"citationID":"busT52B9","properties":{"custom":"Ahmed, Zhang, et al., (2019)","formattedCitation":"Ahmed, Zhang, et al., (2019)","plainCitation":"Ahmed, Zhang, et al., (2019)","noteIndex":0},"citationItems":[{"id":12766,"uris":["http://zotero.org/users/148142/items/LGHQMG2K"],"uri":["http://zotero.org/users/148142/items/LGHQMG2K"],"itemData":{"id":12766,"type":"article-journal","abstract":"There is a growing move towards using the quantitative polymerase chain (qPCR)-based sewage-associated marker genes to assess surface water quality. However, a lack of understanding about the persistence of many sewage-associated markers creates uncertainty for those tasked with investigating microbial water quality. In this study, we investigated the decay of two qPCR FIB [E. coli (EC), and Enterococcus spp. (ENT) 23S rRNA genes] and four sewage-associated microbial source tracking (MST) marker genes [human Bacteroides HF183 16S rRNA, adenovirus (HAdV), and polyomavirus (HPyV), and crAssphage, a recently described bacteriophage in feces], in outdoor mesocosms containing fresh and marine waters and their corresponding sediments. Decay rates of EC 23S rRNA, ENT 23S rRNA, and HF183 16S rRNA were significantly (p &lt; 0.05) faster than the HAdV, HPyV and crAssphage markers in water samples from all mesocosms. In general, decay rates of bacterial targets were similar in the water columns of the studied mesocosms. Similarly, decay rates of viral targets were also alike in mesocosm water columns in relation to each other. The decay rates of FIB and sewage-associated markers were significantly faster in water samples compared to sediments in all three mesocosms. In the event of resuspension, FIB and marker genes from sediments can potentially recontaminate overlying waters. Thus, care should be taken when interpreting the occurrence of FIB and sewage-associated MST markers in water, which may have originated from sediments. The differential decay of these targets may also influence health outcomes and need to be considered in risk assessment models.","container-title":"Water Research","DOI":"10.1016/j.watres.2018.10.088","ISSN":"1879-2448","journalAbbreviation":"Water Res.","language":"eng","page":"511-521","source":"PubMed","title":"Comparative decay of sewage-associated marker genes in beach water and sediment in a subtropical region","URL":"http://www.ncbi.nlm.nih.gov/pubmed/30500686","volume":"149","author":[{"family":"Ahmed","given":"Warish"},{"family":"Zhang","given":"Qian"},{"family":"Kozak","given":"Sonya"},{"family":"Beale","given":"David"},{"family":"Gyawali","given":"Pradip"},{"family":"Sadowsky","given":"Michael J."},{"family":"Simpson","given":"Stuart"}],"issued":{"date-parts":[["2019"]]}}}],"schema":"https://github.com/citation-style-language/schema/raw/master/csl-citation.json"} </w:instrText>
      </w:r>
      <w:r w:rsidRPr="00397A3E">
        <w:rPr>
          <w:rFonts w:cs="Arial"/>
          <w:i/>
          <w:iCs/>
          <w:noProof w:val="0"/>
        </w:rPr>
        <w:fldChar w:fldCharType="separate"/>
      </w:r>
      <w:r w:rsidRPr="00397A3E">
        <w:rPr>
          <w:rFonts w:cs="Arial"/>
          <w:i/>
          <w:iCs/>
          <w:noProof w:val="0"/>
        </w:rPr>
        <w:t>Ahmed, Zhang, et al., (2019)</w:t>
      </w:r>
      <w:r w:rsidRPr="00397A3E">
        <w:rPr>
          <w:rFonts w:cs="Arial"/>
          <w:i/>
          <w:iCs/>
          <w:noProof w:val="0"/>
        </w:rPr>
        <w:fldChar w:fldCharType="end"/>
      </w:r>
      <w:r w:rsidRPr="00397A3E">
        <w:rPr>
          <w:rFonts w:cs="Arial"/>
          <w:i/>
          <w:iCs/>
          <w:noProof w:val="0"/>
        </w:rPr>
        <w:t xml:space="preserve"> Comparative decay of sewage-associated marker genes in beach water and sediment in a subtropical region</w:t>
      </w:r>
      <w:r w:rsidR="00340567" w:rsidRPr="00397A3E">
        <w:rPr>
          <w:rFonts w:cs="Arial"/>
          <w:i/>
          <w:iCs/>
          <w:noProof w:val="0"/>
        </w:rPr>
        <w:t>.</w:t>
      </w:r>
      <w:r w:rsidR="00860D17" w:rsidRPr="00397A3E">
        <w:rPr>
          <w:rFonts w:cs="Arial"/>
          <w:i/>
          <w:iCs/>
          <w:noProof w:val="0"/>
        </w:rPr>
        <w:t xml:space="preserve"> (Qualitative research)</w:t>
      </w:r>
      <w:r w:rsidRPr="00397A3E">
        <w:rPr>
          <w:rFonts w:cs="Arial"/>
          <w:i/>
          <w:iCs/>
          <w:noProof w:val="0"/>
        </w:rPr>
        <w:t>.</w:t>
      </w:r>
    </w:p>
    <w:p w14:paraId="54BD1974" w14:textId="5F22985B" w:rsidR="00F71092" w:rsidRPr="00397A3E" w:rsidRDefault="00171C91" w:rsidP="00860D17">
      <w:pPr>
        <w:rPr>
          <w:rFonts w:cs="Arial"/>
          <w:noProof w:val="0"/>
        </w:rPr>
      </w:pPr>
      <w:r w:rsidRPr="00397A3E">
        <w:rPr>
          <w:rFonts w:cs="Arial"/>
          <w:noProof w:val="0"/>
        </w:rPr>
        <w:t>The primary aim of this study was to investigate the decay of four sewage-associated bacterial and viral markers (HF183, HAdV, HPyV, and crAssphage), in relation to each other and qPCR FIB</w:t>
      </w:r>
      <w:r w:rsidR="00BE7A04" w:rsidRPr="00397A3E">
        <w:rPr>
          <w:rFonts w:cs="Arial"/>
          <w:noProof w:val="0"/>
        </w:rPr>
        <w:t xml:space="preserve"> [</w:t>
      </w:r>
      <w:r w:rsidR="00BE7A04" w:rsidRPr="00397A3E">
        <w:rPr>
          <w:rFonts w:cs="Arial"/>
          <w:i/>
          <w:iCs/>
          <w:noProof w:val="0"/>
        </w:rPr>
        <w:t>E. coli</w:t>
      </w:r>
      <w:r w:rsidR="00BE7A04" w:rsidRPr="00397A3E">
        <w:rPr>
          <w:rFonts w:cs="Arial"/>
          <w:noProof w:val="0"/>
        </w:rPr>
        <w:t xml:space="preserve"> (EC), and </w:t>
      </w:r>
      <w:r w:rsidR="00BE7A04" w:rsidRPr="00397A3E">
        <w:rPr>
          <w:rFonts w:cs="Arial"/>
          <w:i/>
          <w:iCs/>
          <w:noProof w:val="0"/>
        </w:rPr>
        <w:t>Enterococcus</w:t>
      </w:r>
      <w:r w:rsidR="00BE7A04" w:rsidRPr="00397A3E">
        <w:rPr>
          <w:rFonts w:cs="Arial"/>
          <w:noProof w:val="0"/>
        </w:rPr>
        <w:t xml:space="preserve"> spp. (ENT) 23S rRNA genes]</w:t>
      </w:r>
      <w:r w:rsidRPr="00397A3E">
        <w:rPr>
          <w:rFonts w:cs="Arial"/>
          <w:noProof w:val="0"/>
        </w:rPr>
        <w:t>, in sewage contaminated fresh and marine waters and accompanying sandy sediments.</w:t>
      </w:r>
    </w:p>
    <w:p w14:paraId="59984095" w14:textId="587E451B" w:rsidR="00F71092" w:rsidRPr="00397A3E" w:rsidRDefault="00171C91" w:rsidP="00860D17">
      <w:pPr>
        <w:rPr>
          <w:rFonts w:cs="Arial"/>
          <w:noProof w:val="0"/>
        </w:rPr>
      </w:pPr>
      <w:r w:rsidRPr="00397A3E">
        <w:rPr>
          <w:rFonts w:cs="Arial"/>
          <w:noProof w:val="0"/>
        </w:rPr>
        <w:t>Outdoor mesocosms containing water and sediment were inoculated with untreated sewage, and qPCR assays were used to quantify each target over 40 days to determine their decay rates.</w:t>
      </w:r>
    </w:p>
    <w:p w14:paraId="32881134" w14:textId="0CEECB76" w:rsidR="00F71092" w:rsidRPr="00397A3E" w:rsidRDefault="00171C91" w:rsidP="00D93130">
      <w:pPr>
        <w:rPr>
          <w:rFonts w:cs="Arial"/>
          <w:noProof w:val="0"/>
        </w:rPr>
      </w:pPr>
      <w:r w:rsidRPr="00397A3E">
        <w:rPr>
          <w:rFonts w:cs="Arial"/>
          <w:noProof w:val="0"/>
        </w:rPr>
        <w:t>Water samples were collected from two marine sites and one freshwater lake environment</w:t>
      </w:r>
      <w:r w:rsidR="00D93130" w:rsidRPr="00397A3E">
        <w:rPr>
          <w:rFonts w:cs="Arial"/>
          <w:noProof w:val="0"/>
        </w:rPr>
        <w:t>.  Three replicate mesocosms (8-L plastic containers filled with sediment (4 - 5 cm depth) were constructed for each source of water giving nine mesocosms in total.</w:t>
      </w:r>
    </w:p>
    <w:p w14:paraId="02D376A0" w14:textId="1019249E" w:rsidR="00FA600D" w:rsidRPr="00397A3E" w:rsidRDefault="00171C91" w:rsidP="00860D17">
      <w:pPr>
        <w:rPr>
          <w:rFonts w:cs="Arial"/>
          <w:noProof w:val="0"/>
        </w:rPr>
      </w:pPr>
      <w:r w:rsidRPr="00397A3E">
        <w:rPr>
          <w:rFonts w:cs="Arial"/>
          <w:noProof w:val="0"/>
        </w:rPr>
        <w:t>From each mesocosm, one water sample (100 mL) was collected on each of days 0, 1, 4, 8, 14, 24 and 40. On day 0, water in the mesocosms was sampled, using a 25mL pipette, within 30 min after sewage inoculation. Sediment core samplers, made by cutting the ends of plastic 10 mL pipettes, were used for sampling sediment from each mesocosm. One sediment sample (approximately 1 g) was collected from each mesocosm on days 0,</w:t>
      </w:r>
      <w:r w:rsidR="001B3DDF">
        <w:rPr>
          <w:rFonts w:cs="Arial"/>
          <w:noProof w:val="0"/>
        </w:rPr>
        <w:t xml:space="preserve"> </w:t>
      </w:r>
      <w:r w:rsidRPr="00397A3E">
        <w:rPr>
          <w:rFonts w:cs="Arial"/>
          <w:noProof w:val="0"/>
        </w:rPr>
        <w:t>1, 4, 8,</w:t>
      </w:r>
      <w:r w:rsidR="001B3DDF">
        <w:rPr>
          <w:rFonts w:cs="Arial"/>
          <w:noProof w:val="0"/>
        </w:rPr>
        <w:t xml:space="preserve"> </w:t>
      </w:r>
      <w:r w:rsidRPr="00397A3E">
        <w:rPr>
          <w:rFonts w:cs="Arial"/>
          <w:noProof w:val="0"/>
        </w:rPr>
        <w:t>14, 24 and 40. Water samples were collected prior to sediment samples to avoid sediment disturbance.</w:t>
      </w:r>
    </w:p>
    <w:p w14:paraId="4B97AA1B" w14:textId="4D3BB38C" w:rsidR="00FA600D" w:rsidRPr="00397A3E" w:rsidRDefault="00171C91" w:rsidP="00860D17">
      <w:pPr>
        <w:rPr>
          <w:rFonts w:cs="Arial"/>
          <w:noProof w:val="0"/>
        </w:rPr>
      </w:pPr>
      <w:r w:rsidRPr="00397A3E">
        <w:rPr>
          <w:rFonts w:cs="Arial"/>
          <w:noProof w:val="0"/>
        </w:rPr>
        <w:t>Decay rates of EC 23S rRNA, ENT 23S rRNA, and HF183 16S rRNA were significantly (p &lt; 0.05) faster than the HAdV, HPyV and crAssphage markers in water samples from all mesocosms. In general, decay rates of bacterial targets were similar in the water columns of the studied mesocosms. Similarly, decay rates of viral targets were also alike in mesocosm water columns in relation to each other. The decay rates of FIB and sewage-associated markers were significantly faster in water samples compared to sediments in all three mesocosms</w:t>
      </w:r>
      <w:r w:rsidR="00BE7A04" w:rsidRPr="00397A3E">
        <w:rPr>
          <w:rFonts w:cs="Arial"/>
          <w:noProof w:val="0"/>
        </w:rPr>
        <w:t>.</w:t>
      </w:r>
    </w:p>
    <w:p w14:paraId="5A365171" w14:textId="5D36F7D6" w:rsidR="00067016" w:rsidRPr="00397A3E" w:rsidRDefault="00171C91" w:rsidP="00860D17">
      <w:pPr>
        <w:rPr>
          <w:rFonts w:cs="Arial"/>
          <w:noProof w:val="0"/>
        </w:rPr>
      </w:pPr>
      <w:r w:rsidRPr="00397A3E">
        <w:rPr>
          <w:rFonts w:cs="Arial"/>
          <w:noProof w:val="0"/>
        </w:rPr>
        <w:t>Also i</w:t>
      </w:r>
      <w:r w:rsidR="0015021A" w:rsidRPr="00397A3E">
        <w:rPr>
          <w:rFonts w:cs="Arial"/>
          <w:noProof w:val="0"/>
        </w:rPr>
        <w:t>n water mesocosm samples d</w:t>
      </w:r>
      <w:r w:rsidR="003344BD" w:rsidRPr="00397A3E">
        <w:rPr>
          <w:rFonts w:cs="Arial"/>
          <w:noProof w:val="0"/>
        </w:rPr>
        <w:t xml:space="preserve">ecay rates of bacterial targets (two FIB and HF183) were fast and similar across three mesocosms. Similarly, decay rates of viral targets (HAdV, HPyV and crAssphage) were similar in water samples, however, viral targets persisted significantly </w:t>
      </w:r>
      <w:r w:rsidR="00BE7A04" w:rsidRPr="00397A3E">
        <w:rPr>
          <w:rFonts w:cs="Arial"/>
          <w:noProof w:val="0"/>
        </w:rPr>
        <w:t xml:space="preserve">longer </w:t>
      </w:r>
      <w:r w:rsidR="003344BD" w:rsidRPr="00397A3E">
        <w:rPr>
          <w:rFonts w:cs="Arial"/>
          <w:noProof w:val="0"/>
        </w:rPr>
        <w:t xml:space="preserve">(p &lt; 0.05) than did bacterial targets. </w:t>
      </w:r>
    </w:p>
    <w:p w14:paraId="390AFBF7" w14:textId="4105A7ED" w:rsidR="00067016" w:rsidRPr="00397A3E" w:rsidRDefault="00171C91" w:rsidP="00860D17">
      <w:pPr>
        <w:rPr>
          <w:rFonts w:cs="Arial"/>
          <w:noProof w:val="0"/>
        </w:rPr>
      </w:pPr>
      <w:r w:rsidRPr="00397A3E">
        <w:rPr>
          <w:rFonts w:cs="Arial"/>
          <w:noProof w:val="0"/>
        </w:rPr>
        <w:t>In sediment mesocosm samples d</w:t>
      </w:r>
      <w:r w:rsidR="003344BD" w:rsidRPr="00397A3E">
        <w:rPr>
          <w:rFonts w:cs="Arial"/>
          <w:noProof w:val="0"/>
        </w:rPr>
        <w:t xml:space="preserve">ecay rates of FIB and sewage-associated markers varied greatly across the marine and freshwater mesocosms. Decay rates of FIB and sewage-associated markers were significantly faster in water samples compared to sediment in all mesocosms. </w:t>
      </w:r>
    </w:p>
    <w:p w14:paraId="4069D5FD" w14:textId="36D1E6A5" w:rsidR="00F71092" w:rsidRPr="00397A3E" w:rsidRDefault="00171C91" w:rsidP="00860D17">
      <w:pPr>
        <w:rPr>
          <w:rFonts w:cs="Arial"/>
          <w:noProof w:val="0"/>
        </w:rPr>
      </w:pPr>
      <w:r w:rsidRPr="00397A3E">
        <w:rPr>
          <w:rFonts w:cs="Arial"/>
          <w:noProof w:val="0"/>
        </w:rPr>
        <w:t>FIB (EC and/or ENT) exhibited biphasic decay rates compared to MST markers in water and sediment samples from all mesocosms. Due to the nature of decay, the</w:t>
      </w:r>
      <w:r w:rsidR="00BE7A04" w:rsidRPr="00397A3E">
        <w:rPr>
          <w:rFonts w:cs="Arial"/>
          <w:noProof w:val="0"/>
        </w:rPr>
        <w:t xml:space="preserve"> authors concluded that they</w:t>
      </w:r>
      <w:r w:rsidRPr="00397A3E">
        <w:rPr>
          <w:rFonts w:cs="Arial"/>
          <w:noProof w:val="0"/>
        </w:rPr>
        <w:t xml:space="preserve"> may not be reliable markers to detect recent </w:t>
      </w:r>
      <w:r w:rsidR="00067016" w:rsidRPr="00397A3E">
        <w:rPr>
          <w:rFonts w:cs="Arial"/>
          <w:noProof w:val="0"/>
        </w:rPr>
        <w:t>faecal</w:t>
      </w:r>
      <w:r w:rsidRPr="00397A3E">
        <w:rPr>
          <w:rFonts w:cs="Arial"/>
          <w:noProof w:val="0"/>
        </w:rPr>
        <w:t xml:space="preserve"> pollution.</w:t>
      </w:r>
    </w:p>
    <w:p w14:paraId="262AA852" w14:textId="77777777" w:rsidR="00F71092" w:rsidRPr="005903C7" w:rsidRDefault="00F71092" w:rsidP="00860D17">
      <w:pPr>
        <w:rPr>
          <w:rFonts w:cs="Arial"/>
          <w:noProof w:val="0"/>
        </w:rPr>
      </w:pPr>
    </w:p>
    <w:p w14:paraId="1C9D7CBD" w14:textId="1034B95C" w:rsidR="000A3880" w:rsidRPr="00397A3E" w:rsidRDefault="00171C91" w:rsidP="00B26B16">
      <w:pPr>
        <w:keepNext/>
        <w:rPr>
          <w:rFonts w:cs="Arial"/>
          <w:i/>
          <w:iCs/>
          <w:noProof w:val="0"/>
        </w:rPr>
      </w:pPr>
      <w:r w:rsidRPr="00397A3E">
        <w:rPr>
          <w:rFonts w:cs="Arial"/>
          <w:i/>
          <w:iCs/>
          <w:noProof w:val="0"/>
        </w:rPr>
        <w:t xml:space="preserve">J6: </w:t>
      </w:r>
      <w:r w:rsidRPr="00397A3E">
        <w:rPr>
          <w:rFonts w:cs="Arial"/>
          <w:i/>
          <w:iCs/>
          <w:noProof w:val="0"/>
        </w:rPr>
        <w:fldChar w:fldCharType="begin"/>
      </w:r>
      <w:r w:rsidR="00F84CE9" w:rsidRPr="00397A3E">
        <w:rPr>
          <w:rFonts w:cs="Arial"/>
          <w:i/>
          <w:iCs/>
          <w:noProof w:val="0"/>
        </w:rPr>
        <w:instrText xml:space="preserve"> ADDIN ZOTERO_ITEM CSL_CITATION {"citationID":"e2EnRtdo","properties":{"custom":"Arnold, Schiff, et al., (2017)","formattedCitation":"Arnold, Schiff, et al., (2017)","plainCitation":"Arnold, Schiff, et al., (2017)","noteIndex":0},"citationItems":[{"id":17433,"uris":["http://zotero.org/users/148142/items/CUJ53VZF"],"uri":["http://zotero.org/users/148142/items/CUJ53VZF"],"itemData":{"id":17433,"type":"article-journal","abstract":"Rainstorms increase levels of fecal indicator bacteria in urban coastal waters, but it is unknown whether exposure to seawater after rainstorms increases rates of acute illness. Our objective was to provide the first estimates of rates of acute illness after seawater exposure during both dry- and wet-weather periods and to determine the relationship between levels of indicator bacteria and illness among surfers, a population with a high potential for exposure after rain. We enrolled 654 surfers in San Diego, California, and followed them longitudinally during the 2013–2014 and 2014–2015 winters (33,377 days of observation, 10,081 surf sessions). We measured daily surf activities and illness symptoms (gastrointestinal illness, sinus infections, ear infections, infected wounds). Compared with no exposure, exposure to seawater during dry weather increased incidence rates of all outcomes (e.g., for earache or infection, adjusted incidence rate ratio (IRR) = 1.86, 95% confidence interval (CI): 1.27, 2.71; for infected wounds, IRR = 3.04, 95% CI: 1.54, 5.98); exposure during wet weather further increased rates (e.g., for earache or infection, IRR = 3.28, 95% CI: 1.95, 5.51; for infected wounds, IRR = 4.96, 95% CI: 2.18, 11.29). Fecal indicator bacteria measured in seawater (Enterococcus species, fecal coliforms, total coliforms) were strongly associated with incident illness only during wet weather. Urban coastal seawater exposure increases the incidence rates of many acute illnesses among surfers, with higher incidence rates after rainstorms.","container-title":"American Journal of Epidemiology","DOI":"10.1093/aje/kwx019","ISSN":"0002-9262","issue":"7","journalAbbreviation":"American Journal of Epidemiology","page":"866-875","source":"Silverchair","title":"Acute Illness Among Surfers After Exposure to Seawater in Dry- and Wet-Weather Conditions","URL":"https://doi.org/10.1093/aje/kwx019","volume":"186","author":[{"family":"Arnold","given":"Benjamin F."},{"family":"Schiff","given":"Kenneth C."},{"family":"Ercumen","given":"Ayse"},{"family":"Benjamin-Chung","given":"Jade"},{"family":"Steele","given":"Joshua A."},{"family":"Griffith","given":"John F."},{"family":"Steinberg","given":"Steven J."},{"family":"Smith","given":"Paul"},{"family":"McGee","given":"Charles D."},{"family":"Wilson","given":"Richard"},{"family":"Nelsen","given":"Chad"},{"family":"Weisberg","given":"Stephen B."},{"family":"Colford","given":"John M.","suffix":"Jr."}],"accessed":{"date-parts":[["2021",3,10]]},"issued":{"date-parts":[["2017",10,1]]}}}],"schema":"https://github.com/citation-style-language/schema/raw/master/csl-citation.json"} </w:instrText>
      </w:r>
      <w:r w:rsidRPr="00397A3E">
        <w:rPr>
          <w:rFonts w:cs="Arial"/>
          <w:i/>
          <w:iCs/>
          <w:noProof w:val="0"/>
        </w:rPr>
        <w:fldChar w:fldCharType="separate"/>
      </w:r>
      <w:r w:rsidRPr="00397A3E">
        <w:rPr>
          <w:rFonts w:cs="Arial"/>
          <w:i/>
          <w:iCs/>
          <w:noProof w:val="0"/>
        </w:rPr>
        <w:t>Arnold, Schiff, et al., (2017)</w:t>
      </w:r>
      <w:r w:rsidRPr="00397A3E">
        <w:rPr>
          <w:rFonts w:cs="Arial"/>
          <w:i/>
          <w:iCs/>
          <w:noProof w:val="0"/>
        </w:rPr>
        <w:fldChar w:fldCharType="end"/>
      </w:r>
      <w:r w:rsidR="00860D17" w:rsidRPr="00397A3E">
        <w:rPr>
          <w:rFonts w:cs="Arial"/>
          <w:i/>
          <w:iCs/>
          <w:noProof w:val="0"/>
        </w:rPr>
        <w:t xml:space="preserve"> </w:t>
      </w:r>
      <w:r w:rsidRPr="00397A3E">
        <w:rPr>
          <w:rFonts w:cs="Arial"/>
          <w:i/>
          <w:iCs/>
          <w:noProof w:val="0"/>
        </w:rPr>
        <w:t>Acute Illness Among Surfers After Exposure to Seawater in Dry- and Wet-Weather Conditions</w:t>
      </w:r>
      <w:r w:rsidR="00340567" w:rsidRPr="00397A3E">
        <w:rPr>
          <w:rFonts w:cs="Arial"/>
          <w:i/>
          <w:iCs/>
          <w:noProof w:val="0"/>
        </w:rPr>
        <w:t>.</w:t>
      </w:r>
      <w:r w:rsidR="00860D17" w:rsidRPr="00397A3E">
        <w:rPr>
          <w:rFonts w:cs="Arial"/>
          <w:i/>
          <w:iCs/>
          <w:noProof w:val="0"/>
        </w:rPr>
        <w:t xml:space="preserve"> (Cohort study)</w:t>
      </w:r>
      <w:r w:rsidRPr="00397A3E">
        <w:rPr>
          <w:rFonts w:cs="Arial"/>
          <w:i/>
          <w:iCs/>
          <w:noProof w:val="0"/>
        </w:rPr>
        <w:t>.</w:t>
      </w:r>
    </w:p>
    <w:p w14:paraId="1FF9415F" w14:textId="73EC37AA" w:rsidR="00131B1A" w:rsidRPr="00397A3E" w:rsidRDefault="00171C91" w:rsidP="00131B1A">
      <w:pPr>
        <w:rPr>
          <w:rFonts w:cs="Arial"/>
          <w:noProof w:val="0"/>
        </w:rPr>
      </w:pPr>
      <w:r w:rsidRPr="00397A3E">
        <w:rPr>
          <w:rFonts w:cs="Arial"/>
          <w:noProof w:val="0"/>
        </w:rPr>
        <w:fldChar w:fldCharType="begin"/>
      </w:r>
      <w:r w:rsidR="0069143F" w:rsidRPr="00397A3E">
        <w:rPr>
          <w:rFonts w:cs="Arial"/>
          <w:noProof w:val="0"/>
        </w:rPr>
        <w:instrText xml:space="preserve"> ADDIN ZOTERO_ITEM CSL_CITATION {"citationID":"ATio2e5G","properties":{"custom":"Arnold, Schiff, et al., (2017)","formattedCitation":"Arnold, Schiff, et al., (2017)","plainCitation":"Arnold, Schiff, et al., (2017)","noteIndex":0},"citationItems":[{"id":17433,"uris":["http://zotero.org/users/148142/items/CUJ53VZF"],"uri":["http://zotero.org/users/148142/items/CUJ53VZF"],"itemData":{"id":17433,"type":"article-journal","abstract":"Rainstorms increase levels of fecal indicator bacteria in urban coastal waters, but it is unknown whether exposure to seawater after rainstorms increases rates of acute illness. Our objective was to provide the first estimates of rates of acute illness after seawater exposure during both dry- and wet-weather periods and to determine the relationship between levels of indicator bacteria and illness among surfers, a population with a high potential for exposure after rain. We enrolled 654 surfers in San Diego, California, and followed them longitudinally during the 2013–2014 and 2014–2015 winters (33,377 days of observation, 10,081 surf sessions). We measured daily surf activities and illness symptoms (gastrointestinal illness, sinus infections, ear infections, infected wounds). Compared with no exposure, exposure to seawater during dry weather increased incidence rates of all outcomes (e.g., for earache or infection, adjusted incidence rate ratio (IRR) = 1.86, 95% confidence interval (CI): 1.27, 2.71; for infected wounds, IRR = 3.04, 95% CI: 1.54, 5.98); exposure during wet weather further increased rates (e.g., for earache or infection, IRR = 3.28, 95% CI: 1.95, 5.51; for infected wounds, IRR = 4.96, 95% CI: 2.18, 11.29). Fecal indicator bacteria measured in seawater (Enterococcus species, fecal coliforms, total coliforms) were strongly associated with incident illness only during wet weather. Urban coastal seawater exposure increases the incidence rates of many acute illnesses among surfers, with higher incidence rates after rainstorms.","container-title":"American Journal of Epidemiology","DOI":"10.1093/aje/kwx019","ISSN":"0002-9262","issue":"7","journalAbbreviation":"American Journal of Epidemiology","page":"866-875","source":"Silverchair","title":"Acute Illness Among Surfers After Exposure to Seawater in Dry- and Wet-Weather Conditions","URL":"https://doi.org/10.1093/aje/kwx019","volume":"186","author":[{"family":"Arnold","given":"Benjamin F."},{"family":"Schiff","given":"Kenneth C."},{"family":"Ercumen","given":"Ayse"},{"family":"Benjamin-Chung","given":"Jade"},{"family":"Steele","given":"Joshua A."},{"family":"Griffith","given":"John F."},{"family":"Steinberg","given":"Steven J."},{"family":"Smith","given":"Paul"},{"family":"McGee","given":"Charles D."},{"family":"Wilson","given":"Richard"},{"family":"Nelsen","given":"Chad"},{"family":"Weisberg","given":"Stephen B."},{"family":"Colford","given":"John M.","suffix":"Jr."}],"accessed":{"date-parts":[["2021",3,10]]},"issued":{"date-parts":[["2017",10,1]]}}}],"schema":"https://github.com/citation-style-language/schema/raw/master/csl-citation.json"} </w:instrText>
      </w:r>
      <w:r w:rsidRPr="00397A3E">
        <w:rPr>
          <w:rFonts w:cs="Arial"/>
          <w:noProof w:val="0"/>
        </w:rPr>
        <w:fldChar w:fldCharType="separate"/>
      </w:r>
      <w:r w:rsidRPr="00397A3E">
        <w:rPr>
          <w:rFonts w:cs="Arial"/>
          <w:noProof w:val="0"/>
        </w:rPr>
        <w:t>Arnold, Schiff, et al., (2017)</w:t>
      </w:r>
      <w:r w:rsidRPr="00397A3E">
        <w:rPr>
          <w:rFonts w:cs="Arial"/>
          <w:noProof w:val="0"/>
        </w:rPr>
        <w:fldChar w:fldCharType="end"/>
      </w:r>
      <w:r w:rsidRPr="00397A3E">
        <w:rPr>
          <w:rFonts w:cs="Arial"/>
          <w:noProof w:val="0"/>
        </w:rPr>
        <w:t xml:space="preserve"> sought to determine </w:t>
      </w:r>
      <w:r w:rsidR="00464006" w:rsidRPr="00397A3E">
        <w:rPr>
          <w:rFonts w:cs="Arial"/>
          <w:noProof w:val="0"/>
        </w:rPr>
        <w:t>if</w:t>
      </w:r>
      <w:r w:rsidRPr="00397A3E">
        <w:rPr>
          <w:rFonts w:cs="Arial"/>
          <w:noProof w:val="0"/>
        </w:rPr>
        <w:t xml:space="preserve"> exposure to seawater increased rates of incident illness among a longitudinal cohort of surfers in San Diego, California</w:t>
      </w:r>
      <w:r w:rsidR="00464006" w:rsidRPr="00397A3E">
        <w:rPr>
          <w:rFonts w:cs="Arial"/>
          <w:noProof w:val="0"/>
        </w:rPr>
        <w:t>. Illness rates after surf periods were</w:t>
      </w:r>
      <w:r w:rsidRPr="00397A3E">
        <w:rPr>
          <w:rFonts w:cs="Arial"/>
          <w:noProof w:val="0"/>
        </w:rPr>
        <w:t xml:space="preserve"> compared with periods </w:t>
      </w:r>
      <w:r w:rsidR="00464006" w:rsidRPr="00397A3E">
        <w:rPr>
          <w:rFonts w:cs="Arial"/>
          <w:noProof w:val="0"/>
        </w:rPr>
        <w:t>after no surfing</w:t>
      </w:r>
      <w:r w:rsidRPr="00397A3E">
        <w:rPr>
          <w:rFonts w:cs="Arial"/>
          <w:noProof w:val="0"/>
        </w:rPr>
        <w:t xml:space="preserve"> in order to determine whether exposure during or immediately after rainstorms increased rates more than did exposure during dry weather. </w:t>
      </w:r>
    </w:p>
    <w:p w14:paraId="44FFEB96" w14:textId="1D67CF3B" w:rsidR="00DA372C" w:rsidRPr="00397A3E" w:rsidRDefault="00171C91" w:rsidP="00DA372C">
      <w:pPr>
        <w:rPr>
          <w:rFonts w:cs="Arial"/>
          <w:noProof w:val="0"/>
        </w:rPr>
      </w:pPr>
      <w:r w:rsidRPr="00397A3E">
        <w:rPr>
          <w:rFonts w:cs="Arial"/>
          <w:noProof w:val="0"/>
        </w:rPr>
        <w:t>Beach water quality sampling was undertaken at two surf beaches receiving stormwater drainage.  The study was undertaken over two winter periods presumably to capture sufficient rainfall events.  A total of 654 individuals were enrolled who contributed on average 51 days of follow-up.</w:t>
      </w:r>
    </w:p>
    <w:p w14:paraId="364D9B74" w14:textId="132893B4" w:rsidR="00131B1A" w:rsidRPr="00397A3E" w:rsidRDefault="00171C91" w:rsidP="00131B1A">
      <w:pPr>
        <w:rPr>
          <w:rFonts w:cs="Arial"/>
          <w:noProof w:val="0"/>
        </w:rPr>
      </w:pPr>
      <w:r w:rsidRPr="00397A3E">
        <w:rPr>
          <w:rFonts w:cs="Arial"/>
          <w:noProof w:val="0"/>
        </w:rPr>
        <w:t xml:space="preserve">To examine illness rates separately for dry- and wet-weather exposures, the authors created a 3-level categorical exposure that classified each participant’s follow-up time into unexposed, dry-weather exposure, and wet-weather exposure periods. </w:t>
      </w:r>
      <w:r w:rsidR="00EF7B8C" w:rsidRPr="00397A3E">
        <w:rPr>
          <w:rFonts w:cs="Arial"/>
          <w:noProof w:val="0"/>
        </w:rPr>
        <w:t>W</w:t>
      </w:r>
      <w:r w:rsidRPr="00397A3E">
        <w:rPr>
          <w:rFonts w:cs="Arial"/>
          <w:noProof w:val="0"/>
        </w:rPr>
        <w:t xml:space="preserve">et-weather exposure </w:t>
      </w:r>
      <w:r w:rsidR="00EF7B8C" w:rsidRPr="00397A3E">
        <w:rPr>
          <w:rFonts w:cs="Arial"/>
          <w:noProof w:val="0"/>
        </w:rPr>
        <w:t xml:space="preserve">was defined </w:t>
      </w:r>
      <w:r w:rsidRPr="00397A3E">
        <w:rPr>
          <w:rFonts w:cs="Arial"/>
          <w:noProof w:val="0"/>
        </w:rPr>
        <w:t>as exposure to seawater within 3 days of 0.25 cm or more of rainfall in a 24-hour period and all other seawater exposure as dry-weather exposure.  The wet weather criterion is the same rainfall criterion used by</w:t>
      </w:r>
      <w:r w:rsidR="00EF7B8C" w:rsidRPr="00397A3E">
        <w:rPr>
          <w:rFonts w:cs="Arial"/>
          <w:noProof w:val="0"/>
        </w:rPr>
        <w:t xml:space="preserve"> the local county (</w:t>
      </w:r>
      <w:r w:rsidRPr="00397A3E">
        <w:rPr>
          <w:rFonts w:cs="Arial"/>
          <w:noProof w:val="0"/>
        </w:rPr>
        <w:t>San Diego</w:t>
      </w:r>
      <w:r w:rsidR="00EF7B8C" w:rsidRPr="00397A3E">
        <w:rPr>
          <w:rFonts w:cs="Arial"/>
          <w:noProof w:val="0"/>
        </w:rPr>
        <w:t>)</w:t>
      </w:r>
      <w:r w:rsidRPr="00397A3E">
        <w:rPr>
          <w:rFonts w:cs="Arial"/>
          <w:noProof w:val="0"/>
        </w:rPr>
        <w:t xml:space="preserve"> for posting wet-weather beach advisories</w:t>
      </w:r>
      <w:r w:rsidR="00404431" w:rsidRPr="00397A3E">
        <w:rPr>
          <w:rFonts w:cs="Arial"/>
          <w:noProof w:val="0"/>
        </w:rPr>
        <w:t>.</w:t>
      </w:r>
    </w:p>
    <w:p w14:paraId="6E0BB550" w14:textId="66D42ECB" w:rsidR="005631E2" w:rsidRPr="00397A3E" w:rsidRDefault="00171C91" w:rsidP="00860D17">
      <w:pPr>
        <w:rPr>
          <w:rFonts w:cs="Arial"/>
          <w:noProof w:val="0"/>
        </w:rPr>
      </w:pPr>
      <w:r w:rsidRPr="00397A3E">
        <w:rPr>
          <w:rFonts w:cs="Arial"/>
          <w:noProof w:val="0"/>
        </w:rPr>
        <w:t>Findings related to i</w:t>
      </w:r>
      <w:r w:rsidR="006A438B" w:rsidRPr="00397A3E">
        <w:rPr>
          <w:rFonts w:cs="Arial"/>
          <w:noProof w:val="0"/>
        </w:rPr>
        <w:t>llness associated with seawater exposure</w:t>
      </w:r>
      <w:r w:rsidR="001A5A86" w:rsidRPr="00397A3E">
        <w:rPr>
          <w:rFonts w:cs="Arial"/>
          <w:noProof w:val="0"/>
        </w:rPr>
        <w:t xml:space="preserve"> while surfing</w:t>
      </w:r>
      <w:r w:rsidR="006A438B" w:rsidRPr="00397A3E">
        <w:rPr>
          <w:rFonts w:cs="Arial"/>
          <w:noProof w:val="0"/>
        </w:rPr>
        <w:t>:</w:t>
      </w:r>
    </w:p>
    <w:p w14:paraId="3E26987D" w14:textId="76625994" w:rsidR="005631E2" w:rsidRPr="00397A3E" w:rsidRDefault="00171C91" w:rsidP="00764500">
      <w:pPr>
        <w:pStyle w:val="ListParagraph"/>
        <w:numPr>
          <w:ilvl w:val="0"/>
          <w:numId w:val="35"/>
        </w:numPr>
        <w:ind w:hanging="357"/>
        <w:contextualSpacing/>
        <w:rPr>
          <w:noProof w:val="0"/>
          <w:lang w:val="en-AU"/>
        </w:rPr>
      </w:pPr>
      <w:r w:rsidRPr="00397A3E">
        <w:rPr>
          <w:noProof w:val="0"/>
          <w:lang w:val="en-AU"/>
        </w:rPr>
        <w:t>Seawater exposure in the past 3 days was associated with increased incidence rates of gastrointestinal illness, diarrhea, sinus pain or infection, earache or infection, infection of open wound, skin rash, and fever, but not upper respiratory illness</w:t>
      </w:r>
      <w:r w:rsidR="001A5A86" w:rsidRPr="00397A3E">
        <w:rPr>
          <w:noProof w:val="0"/>
          <w:lang w:val="en-AU"/>
        </w:rPr>
        <w:t>.</w:t>
      </w:r>
    </w:p>
    <w:p w14:paraId="5544A3AD" w14:textId="33388220" w:rsidR="005631E2" w:rsidRPr="00397A3E" w:rsidRDefault="00171C91" w:rsidP="00764500">
      <w:pPr>
        <w:pStyle w:val="ListParagraph"/>
        <w:numPr>
          <w:ilvl w:val="0"/>
          <w:numId w:val="35"/>
        </w:numPr>
        <w:ind w:hanging="357"/>
        <w:contextualSpacing/>
        <w:rPr>
          <w:noProof w:val="0"/>
          <w:lang w:val="en-AU"/>
        </w:rPr>
      </w:pPr>
      <w:r w:rsidRPr="00397A3E">
        <w:rPr>
          <w:noProof w:val="0"/>
          <w:lang w:val="en-AU"/>
        </w:rPr>
        <w:t>With the exception of fever and skin rash, incidence rates increased from unexposed to dry-weather exposure to wet-weather exposure periods, a pattern also present on the risk scale.</w:t>
      </w:r>
    </w:p>
    <w:p w14:paraId="760178ED" w14:textId="5D9B60D4" w:rsidR="005631E2" w:rsidRPr="00397A3E" w:rsidRDefault="00171C91" w:rsidP="00764500">
      <w:pPr>
        <w:pStyle w:val="ListParagraph"/>
        <w:numPr>
          <w:ilvl w:val="0"/>
          <w:numId w:val="35"/>
        </w:numPr>
        <w:ind w:hanging="357"/>
        <w:contextualSpacing/>
        <w:rPr>
          <w:noProof w:val="0"/>
          <w:lang w:val="en-AU"/>
        </w:rPr>
      </w:pPr>
      <w:r w:rsidRPr="00397A3E">
        <w:rPr>
          <w:noProof w:val="0"/>
          <w:lang w:val="en-AU"/>
        </w:rPr>
        <w:t>Compared with unexposed periods, wet-weather exposure led to the largest relative increase in:</w:t>
      </w:r>
    </w:p>
    <w:p w14:paraId="71B6C2D2" w14:textId="6F3B3FC5" w:rsidR="005631E2" w:rsidRPr="00397A3E" w:rsidRDefault="00171C91" w:rsidP="00764500">
      <w:pPr>
        <w:pStyle w:val="ListParagraph"/>
        <w:numPr>
          <w:ilvl w:val="1"/>
          <w:numId w:val="35"/>
        </w:numPr>
        <w:ind w:hanging="357"/>
        <w:contextualSpacing/>
        <w:rPr>
          <w:noProof w:val="0"/>
          <w:lang w:val="en-AU"/>
        </w:rPr>
      </w:pPr>
      <w:r w:rsidRPr="00397A3E">
        <w:rPr>
          <w:noProof w:val="0"/>
          <w:lang w:val="en-AU"/>
        </w:rPr>
        <w:t>earaches/infections (adjusted incidence rate ratio (IRR) = 3.28, 95% confidence interval (CI): 1.95, 5.51); and</w:t>
      </w:r>
    </w:p>
    <w:p w14:paraId="06AD4AA9" w14:textId="3F51A34A" w:rsidR="005631E2" w:rsidRPr="00397A3E" w:rsidRDefault="00171C91" w:rsidP="00764500">
      <w:pPr>
        <w:pStyle w:val="ListParagraph"/>
        <w:numPr>
          <w:ilvl w:val="1"/>
          <w:numId w:val="35"/>
        </w:numPr>
        <w:ind w:hanging="357"/>
        <w:contextualSpacing/>
        <w:rPr>
          <w:noProof w:val="0"/>
          <w:lang w:val="en-AU"/>
        </w:rPr>
      </w:pPr>
      <w:r w:rsidRPr="00397A3E">
        <w:rPr>
          <w:noProof w:val="0"/>
          <w:lang w:val="en-AU"/>
        </w:rPr>
        <w:t xml:space="preserve">infection of open wounds (adjusted IRR: 4.96, 95% CI: 2.18, 11.29). </w:t>
      </w:r>
    </w:p>
    <w:p w14:paraId="01BB975E" w14:textId="1C3117C0" w:rsidR="005631E2" w:rsidRPr="00397A3E" w:rsidRDefault="00171C91" w:rsidP="00860D17">
      <w:pPr>
        <w:rPr>
          <w:rFonts w:cs="Arial"/>
          <w:noProof w:val="0"/>
        </w:rPr>
      </w:pPr>
      <w:r w:rsidRPr="00397A3E">
        <w:rPr>
          <w:rFonts w:cs="Arial"/>
          <w:noProof w:val="0"/>
        </w:rPr>
        <w:t>Findings related to i</w:t>
      </w:r>
      <w:r w:rsidR="006A438B" w:rsidRPr="00397A3E">
        <w:rPr>
          <w:rFonts w:cs="Arial"/>
          <w:noProof w:val="0"/>
        </w:rPr>
        <w:t>llness associated with faecal indicator bacteria levels</w:t>
      </w:r>
      <w:r w:rsidRPr="00397A3E">
        <w:rPr>
          <w:rFonts w:cs="Arial"/>
          <w:noProof w:val="0"/>
        </w:rPr>
        <w:t>:</w:t>
      </w:r>
    </w:p>
    <w:p w14:paraId="710A44D7" w14:textId="28156FA0" w:rsidR="005631E2" w:rsidRPr="00397A3E" w:rsidRDefault="00171C91" w:rsidP="00764500">
      <w:pPr>
        <w:pStyle w:val="ListParagraph"/>
        <w:numPr>
          <w:ilvl w:val="0"/>
          <w:numId w:val="35"/>
        </w:numPr>
        <w:ind w:hanging="357"/>
        <w:contextualSpacing/>
        <w:rPr>
          <w:noProof w:val="0"/>
          <w:lang w:val="en-AU"/>
        </w:rPr>
      </w:pPr>
      <w:r w:rsidRPr="00397A3E">
        <w:rPr>
          <w:noProof w:val="0"/>
          <w:lang w:val="en-AU"/>
        </w:rPr>
        <w:t xml:space="preserve">FIB </w:t>
      </w:r>
      <w:r w:rsidRPr="00397A3E">
        <w:rPr>
          <w:i/>
          <w:iCs/>
          <w:noProof w:val="0"/>
          <w:lang w:val="en-AU"/>
        </w:rPr>
        <w:t>(</w:t>
      </w:r>
      <w:r w:rsidR="006A438B" w:rsidRPr="00397A3E">
        <w:rPr>
          <w:i/>
          <w:iCs/>
          <w:noProof w:val="0"/>
          <w:lang w:val="en-AU"/>
        </w:rPr>
        <w:t>Enterococcus</w:t>
      </w:r>
      <w:r w:rsidRPr="00397A3E">
        <w:rPr>
          <w:i/>
          <w:iCs/>
          <w:noProof w:val="0"/>
          <w:lang w:val="en-AU"/>
        </w:rPr>
        <w:t>)</w:t>
      </w:r>
      <w:r w:rsidR="006A438B" w:rsidRPr="00397A3E">
        <w:rPr>
          <w:noProof w:val="0"/>
          <w:lang w:val="en-AU"/>
        </w:rPr>
        <w:t xml:space="preserve">, total coliform, and faecal coliform levels were positively associated with increased incidence of almost all outcomes during the study. </w:t>
      </w:r>
    </w:p>
    <w:p w14:paraId="40D1B330" w14:textId="0E92E294" w:rsidR="005631E2" w:rsidRPr="00397A3E" w:rsidRDefault="00171C91" w:rsidP="00764500">
      <w:pPr>
        <w:pStyle w:val="ListParagraph"/>
        <w:numPr>
          <w:ilvl w:val="0"/>
          <w:numId w:val="35"/>
        </w:numPr>
        <w:ind w:hanging="357"/>
        <w:contextualSpacing/>
        <w:rPr>
          <w:noProof w:val="0"/>
          <w:lang w:val="en-AU"/>
        </w:rPr>
      </w:pPr>
      <w:r w:rsidRPr="00397A3E">
        <w:rPr>
          <w:noProof w:val="0"/>
          <w:lang w:val="en-AU"/>
        </w:rPr>
        <w:t>Rainfall was a strong effect modifier of the association.</w:t>
      </w:r>
    </w:p>
    <w:p w14:paraId="303243EB" w14:textId="257D5DE0" w:rsidR="005631E2" w:rsidRPr="00397A3E" w:rsidRDefault="00171C91" w:rsidP="00764500">
      <w:pPr>
        <w:pStyle w:val="ListParagraph"/>
        <w:numPr>
          <w:ilvl w:val="0"/>
          <w:numId w:val="35"/>
        </w:numPr>
        <w:ind w:hanging="357"/>
        <w:contextualSpacing/>
        <w:rPr>
          <w:noProof w:val="0"/>
          <w:lang w:val="en-AU"/>
        </w:rPr>
      </w:pPr>
      <w:r w:rsidRPr="00397A3E">
        <w:rPr>
          <w:noProof w:val="0"/>
          <w:lang w:val="en-AU"/>
        </w:rPr>
        <w:t xml:space="preserve">During dry weather, there was no association between </w:t>
      </w:r>
      <w:r w:rsidRPr="00397A3E">
        <w:rPr>
          <w:i/>
          <w:iCs/>
          <w:noProof w:val="0"/>
          <w:lang w:val="en-AU"/>
        </w:rPr>
        <w:t>Enterococcus</w:t>
      </w:r>
      <w:r w:rsidRPr="00397A3E">
        <w:rPr>
          <w:noProof w:val="0"/>
          <w:lang w:val="en-AU"/>
        </w:rPr>
        <w:t xml:space="preserve"> levels and illness except for infected wounds, but </w:t>
      </w:r>
      <w:r w:rsidRPr="00397A3E">
        <w:rPr>
          <w:i/>
          <w:iCs/>
          <w:noProof w:val="0"/>
          <w:lang w:val="en-AU"/>
        </w:rPr>
        <w:t>Enterococcus</w:t>
      </w:r>
      <w:r w:rsidRPr="00397A3E">
        <w:rPr>
          <w:noProof w:val="0"/>
          <w:lang w:val="en-AU"/>
        </w:rPr>
        <w:t xml:space="preserve"> was strongly associated with illness after wet-weather exposure (e.g., for each log10 increase, gastrointestinal illness IRR = 2.17, 95% CI: 1.16, 4.03). </w:t>
      </w:r>
    </w:p>
    <w:p w14:paraId="0E9CCA2E" w14:textId="2A4A2680" w:rsidR="005631E2" w:rsidRPr="00397A3E" w:rsidRDefault="00171C91" w:rsidP="00764500">
      <w:pPr>
        <w:pStyle w:val="ListParagraph"/>
        <w:numPr>
          <w:ilvl w:val="0"/>
          <w:numId w:val="35"/>
        </w:numPr>
        <w:ind w:hanging="357"/>
        <w:contextualSpacing/>
        <w:rPr>
          <w:noProof w:val="0"/>
          <w:lang w:val="en-AU"/>
        </w:rPr>
      </w:pPr>
      <w:r w:rsidRPr="00397A3E">
        <w:rPr>
          <w:noProof w:val="0"/>
          <w:lang w:val="en-AU"/>
        </w:rPr>
        <w:t xml:space="preserve">There was evidence for excess risk of gastrointestinal illness at higher </w:t>
      </w:r>
      <w:r w:rsidRPr="00397A3E">
        <w:rPr>
          <w:i/>
          <w:iCs/>
          <w:noProof w:val="0"/>
          <w:lang w:val="en-AU"/>
        </w:rPr>
        <w:t>Enterococcus</w:t>
      </w:r>
      <w:r w:rsidRPr="00397A3E">
        <w:rPr>
          <w:noProof w:val="0"/>
          <w:lang w:val="en-AU"/>
        </w:rPr>
        <w:t xml:space="preserve"> levels only during wet-weather periods: The predicted excess risk that corresponded to the current US </w:t>
      </w:r>
      <w:r w:rsidR="00127DE7" w:rsidRPr="00397A3E">
        <w:rPr>
          <w:noProof w:val="0"/>
          <w:lang w:val="en-AU"/>
        </w:rPr>
        <w:t>EPA</w:t>
      </w:r>
      <w:r w:rsidRPr="00397A3E">
        <w:rPr>
          <w:noProof w:val="0"/>
          <w:lang w:val="en-AU"/>
        </w:rPr>
        <w:t xml:space="preserve"> regulatory guideline of 35 colony-forming units per 100 mL was 16 episodes per 1,000 (95% CI: 5, 27). </w:t>
      </w:r>
    </w:p>
    <w:p w14:paraId="19B24E78" w14:textId="3F5100C4" w:rsidR="006A438B" w:rsidRPr="00397A3E" w:rsidRDefault="00171C91" w:rsidP="00764500">
      <w:pPr>
        <w:pStyle w:val="ListParagraph"/>
        <w:numPr>
          <w:ilvl w:val="0"/>
          <w:numId w:val="35"/>
        </w:numPr>
        <w:ind w:hanging="357"/>
        <w:contextualSpacing/>
        <w:rPr>
          <w:noProof w:val="0"/>
          <w:lang w:val="en-AU"/>
        </w:rPr>
      </w:pPr>
      <w:r w:rsidRPr="00397A3E">
        <w:rPr>
          <w:noProof w:val="0"/>
          <w:lang w:val="en-AU"/>
        </w:rPr>
        <w:t>Negative control analyses showed no consistent association between faecal indicator bacteria and illness among participants during periods in which they had no recent seawater contact.</w:t>
      </w:r>
    </w:p>
    <w:p w14:paraId="04ECBEEA" w14:textId="16478B2B" w:rsidR="006A438B" w:rsidRPr="00397A3E" w:rsidRDefault="00171C91" w:rsidP="00860D17">
      <w:pPr>
        <w:rPr>
          <w:rFonts w:cs="Arial"/>
          <w:noProof w:val="0"/>
        </w:rPr>
      </w:pPr>
      <w:r w:rsidRPr="00397A3E">
        <w:rPr>
          <w:rFonts w:cs="Arial"/>
          <w:noProof w:val="0"/>
        </w:rPr>
        <w:t xml:space="preserve">Surfing was associated with increased incidence of several categories of symptoms, and associations were stronger if surfing took place shortly after rainstorms. Higher levels of </w:t>
      </w:r>
      <w:r w:rsidR="00127DE7" w:rsidRPr="00397A3E">
        <w:rPr>
          <w:rFonts w:cs="Arial"/>
          <w:noProof w:val="0"/>
        </w:rPr>
        <w:t>FIB</w:t>
      </w:r>
      <w:r w:rsidRPr="00397A3E">
        <w:rPr>
          <w:rFonts w:cs="Arial"/>
          <w:noProof w:val="0"/>
        </w:rPr>
        <w:t xml:space="preserve"> were strongly associated with fever, sinus pain/infection, wound infection, and gastrointestinal symptoms within 3 days of rainstorms. The internal consistency between water-quality measurements, patterns of illness after dry- and wet-weather exposures, and incidence profiles with time since rainstorms lead the authors to conclude that seawater exposure during or close to rainstorms at beaches impacted by urban runoff in southern California increases the incidence rates of a broad set of acute illnesses among surfers. The</w:t>
      </w:r>
      <w:r w:rsidR="00334D91" w:rsidRPr="00397A3E">
        <w:rPr>
          <w:rFonts w:cs="Arial"/>
          <w:noProof w:val="0"/>
        </w:rPr>
        <w:t xml:space="preserve"> authors concluded that the</w:t>
      </w:r>
      <w:r w:rsidRPr="00397A3E">
        <w:rPr>
          <w:rFonts w:cs="Arial"/>
          <w:noProof w:val="0"/>
        </w:rPr>
        <w:t xml:space="preserve"> findings provide strong evidence to support the posting of beach warnings after rainstorms and initiatives that would reduce pathogen sources in urban runoff that flows to coastal waters.</w:t>
      </w:r>
    </w:p>
    <w:p w14:paraId="6C184953" w14:textId="0735A254" w:rsidR="003F5752" w:rsidRPr="005903C7" w:rsidRDefault="003F5752" w:rsidP="00860D17">
      <w:pPr>
        <w:rPr>
          <w:rFonts w:cs="Arial"/>
          <w:noProof w:val="0"/>
        </w:rPr>
      </w:pPr>
    </w:p>
    <w:p w14:paraId="5781E016" w14:textId="7043F08E" w:rsidR="000A3880" w:rsidRPr="00397A3E" w:rsidRDefault="00171C91" w:rsidP="00B26B16">
      <w:pPr>
        <w:keepNext/>
        <w:rPr>
          <w:rFonts w:cs="Arial"/>
          <w:i/>
          <w:iCs/>
          <w:noProof w:val="0"/>
        </w:rPr>
      </w:pPr>
      <w:r w:rsidRPr="00397A3E">
        <w:rPr>
          <w:rFonts w:cs="Arial"/>
          <w:i/>
          <w:iCs/>
          <w:noProof w:val="0"/>
        </w:rPr>
        <w:t xml:space="preserve">J15: </w:t>
      </w:r>
      <w:r w:rsidRPr="00397A3E">
        <w:rPr>
          <w:rFonts w:cs="Arial"/>
          <w:i/>
          <w:iCs/>
          <w:noProof w:val="0"/>
        </w:rPr>
        <w:fldChar w:fldCharType="begin"/>
      </w:r>
      <w:r w:rsidR="00F84CE9" w:rsidRPr="00397A3E">
        <w:rPr>
          <w:rFonts w:cs="Arial"/>
          <w:i/>
          <w:iCs/>
          <w:noProof w:val="0"/>
        </w:rPr>
        <w:instrText xml:space="preserve"> ADDIN ZOTERO_ITEM CSL_CITATION {"citationID":"MHyZnpnN","properties":{"custom":"Gitter, Mena, et al., (2020)","formattedCitation":"Gitter, Mena, et al., (2020)","plainCitation":"Gitter, Mena, et al., (2020)","noteIndex":0},"citationItems":[{"id":12650,"uris":["http://zotero.org/users/148142/items/4QS8UY2D"],"uri":["http://zotero.org/users/148142/items/4QS8UY2D"],"itemData":{"id":12650,"type":"article-journal","archive":"Scopus","container-title":"Water (Switzerland)","DOI":"10.3390/w12020327","issue":"2","title":"Human health risks associated with recreational waters: Preliminary approach of integrating quantitative microbial risk assessment with microbial source tracking","URL":"https://www.scopus.com/inward/record.uri?eid=2-s2.0-85081546265&amp;doi=10.3390%2fw12020327&amp;partnerID=40&amp;md5=f48942230d1dbe0b5426d168ad1f982d","volume":"12","author":[{"family":"Gitter","given":"A."},{"family":"Mena","given":"K. D."},{"family":"Wagner","given":"K. L."},{"family":"Boellstorff","given":"D. E."},{"family":"Borel","given":"K. E."},{"family":"Gregory","given":"L. F."},{"family":"Gentry","given":"T. J."},{"family":"Karthikeyan","given":"R."}],"issued":{"date-parts":[["2020"]]}}}],"schema":"https://github.com/citation-style-language/schema/raw/master/csl-citation.json"} </w:instrText>
      </w:r>
      <w:r w:rsidRPr="00397A3E">
        <w:rPr>
          <w:rFonts w:cs="Arial"/>
          <w:i/>
          <w:iCs/>
          <w:noProof w:val="0"/>
        </w:rPr>
        <w:fldChar w:fldCharType="separate"/>
      </w:r>
      <w:r w:rsidRPr="00397A3E">
        <w:rPr>
          <w:rFonts w:cs="Arial"/>
          <w:i/>
          <w:iCs/>
          <w:noProof w:val="0"/>
        </w:rPr>
        <w:t>Gitter, Mena, et al., (2020)</w:t>
      </w:r>
      <w:r w:rsidRPr="00397A3E">
        <w:rPr>
          <w:rFonts w:cs="Arial"/>
          <w:i/>
          <w:iCs/>
          <w:noProof w:val="0"/>
        </w:rPr>
        <w:fldChar w:fldCharType="end"/>
      </w:r>
      <w:r w:rsidR="00860D17" w:rsidRPr="00397A3E">
        <w:rPr>
          <w:rFonts w:cs="Arial"/>
          <w:i/>
          <w:iCs/>
          <w:noProof w:val="0"/>
        </w:rPr>
        <w:t xml:space="preserve"> </w:t>
      </w:r>
      <w:r w:rsidRPr="00397A3E">
        <w:rPr>
          <w:rFonts w:cs="Arial"/>
          <w:i/>
          <w:iCs/>
          <w:noProof w:val="0"/>
        </w:rPr>
        <w:t>Human health risks associated with recreational waters: Preliminary approach of integrating quantitative microbial risk assessment with microbial source tracking</w:t>
      </w:r>
      <w:r w:rsidR="00340567" w:rsidRPr="00397A3E">
        <w:rPr>
          <w:rFonts w:cs="Arial"/>
          <w:i/>
          <w:iCs/>
          <w:noProof w:val="0"/>
        </w:rPr>
        <w:t>.</w:t>
      </w:r>
      <w:r w:rsidR="00860D17" w:rsidRPr="00397A3E">
        <w:rPr>
          <w:rFonts w:cs="Arial"/>
          <w:i/>
          <w:iCs/>
          <w:noProof w:val="0"/>
        </w:rPr>
        <w:t xml:space="preserve"> (Qualitative research)</w:t>
      </w:r>
      <w:r w:rsidRPr="00397A3E">
        <w:rPr>
          <w:rFonts w:cs="Arial"/>
          <w:i/>
          <w:iCs/>
          <w:noProof w:val="0"/>
        </w:rPr>
        <w:t>.</w:t>
      </w:r>
    </w:p>
    <w:p w14:paraId="11ED73D5" w14:textId="77777777" w:rsidR="00D73AAE" w:rsidRPr="00397A3E" w:rsidRDefault="00171C91" w:rsidP="00BF377E">
      <w:pPr>
        <w:rPr>
          <w:rFonts w:cs="Arial"/>
          <w:noProof w:val="0"/>
        </w:rPr>
      </w:pPr>
      <w:r w:rsidRPr="00397A3E">
        <w:rPr>
          <w:rFonts w:cs="Arial"/>
          <w:noProof w:val="0"/>
        </w:rPr>
        <w:t>The objective of the study was to conduct a QMRA estimating the risk for GI illness using MST data describing the primary sources contributing to a bacteria impairment in</w:t>
      </w:r>
      <w:r w:rsidR="00F115C6" w:rsidRPr="00397A3E">
        <w:rPr>
          <w:rFonts w:cs="Arial"/>
          <w:noProof w:val="0"/>
        </w:rPr>
        <w:t xml:space="preserve"> particular waterbody; using</w:t>
      </w:r>
      <w:r w:rsidRPr="00397A3E">
        <w:rPr>
          <w:rFonts w:cs="Arial"/>
          <w:noProof w:val="0"/>
        </w:rPr>
        <w:t xml:space="preserve"> </w:t>
      </w:r>
      <w:r w:rsidR="00DD025D" w:rsidRPr="00397A3E">
        <w:rPr>
          <w:rFonts w:cs="Arial"/>
          <w:noProof w:val="0"/>
        </w:rPr>
        <w:t>Walnut Creek</w:t>
      </w:r>
      <w:r w:rsidR="00F115C6" w:rsidRPr="00397A3E">
        <w:rPr>
          <w:rFonts w:cs="Arial"/>
          <w:noProof w:val="0"/>
        </w:rPr>
        <w:t>,</w:t>
      </w:r>
      <w:r w:rsidR="00DD025D" w:rsidRPr="00397A3E">
        <w:rPr>
          <w:rFonts w:cs="Arial"/>
          <w:noProof w:val="0"/>
        </w:rPr>
        <w:t xml:space="preserve"> Brazos River Basin, Texas</w:t>
      </w:r>
      <w:r w:rsidR="00F115C6" w:rsidRPr="00397A3E">
        <w:rPr>
          <w:rFonts w:cs="Arial"/>
          <w:noProof w:val="0"/>
        </w:rPr>
        <w:t xml:space="preserve"> as an example</w:t>
      </w:r>
      <w:r w:rsidRPr="00397A3E">
        <w:rPr>
          <w:rFonts w:cs="Arial"/>
          <w:noProof w:val="0"/>
        </w:rPr>
        <w:t>.</w:t>
      </w:r>
      <w:r w:rsidR="00227BAC" w:rsidRPr="00397A3E">
        <w:rPr>
          <w:rFonts w:cs="Arial"/>
          <w:noProof w:val="0"/>
        </w:rPr>
        <w:t xml:space="preserve">  </w:t>
      </w:r>
      <w:r w:rsidRPr="00397A3E">
        <w:rPr>
          <w:rFonts w:cs="Arial"/>
          <w:i/>
          <w:noProof w:val="0"/>
        </w:rPr>
        <w:t>E. coli</w:t>
      </w:r>
      <w:r w:rsidRPr="00397A3E">
        <w:rPr>
          <w:rFonts w:cs="Arial"/>
          <w:noProof w:val="0"/>
        </w:rPr>
        <w:t xml:space="preserve"> concentrations were used to predict reference pathogen concentrations from</w:t>
      </w:r>
      <w:r w:rsidR="00F115C6" w:rsidRPr="00397A3E">
        <w:rPr>
          <w:rFonts w:ascii="Calibri" w:hAnsi="Calibri" w:cs="Calibri"/>
          <w:noProof w:val="0"/>
          <w:sz w:val="16"/>
          <w:szCs w:val="16"/>
        </w:rPr>
        <w:t xml:space="preserve"> </w:t>
      </w:r>
      <w:r w:rsidR="004763B7" w:rsidRPr="00397A3E">
        <w:rPr>
          <w:rFonts w:cs="Arial"/>
          <w:noProof w:val="0"/>
        </w:rPr>
        <w:t xml:space="preserve">cattle </w:t>
      </w:r>
      <w:r w:rsidR="00F115C6" w:rsidRPr="00397A3E">
        <w:rPr>
          <w:rFonts w:cs="Arial"/>
          <w:noProof w:val="0"/>
        </w:rPr>
        <w:t>(</w:t>
      </w:r>
      <w:r w:rsidR="00F115C6" w:rsidRPr="00397A3E">
        <w:rPr>
          <w:rFonts w:cs="Arial"/>
          <w:i/>
          <w:iCs/>
          <w:noProof w:val="0"/>
        </w:rPr>
        <w:t>Campylobacter</w:t>
      </w:r>
      <w:r w:rsidR="00F115C6" w:rsidRPr="00397A3E">
        <w:rPr>
          <w:rFonts w:cs="Arial"/>
          <w:noProof w:val="0"/>
        </w:rPr>
        <w:t xml:space="preserve">), </w:t>
      </w:r>
      <w:r w:rsidR="004763B7" w:rsidRPr="00397A3E">
        <w:rPr>
          <w:rFonts w:cs="Arial"/>
          <w:noProof w:val="0"/>
        </w:rPr>
        <w:t xml:space="preserve">human </w:t>
      </w:r>
      <w:r w:rsidR="00F115C6" w:rsidRPr="00397A3E">
        <w:rPr>
          <w:rFonts w:cs="Arial"/>
          <w:noProof w:val="0"/>
        </w:rPr>
        <w:t xml:space="preserve">(Norovirus), and </w:t>
      </w:r>
      <w:r w:rsidR="004763B7" w:rsidRPr="00397A3E">
        <w:rPr>
          <w:rFonts w:cs="Arial"/>
          <w:noProof w:val="0"/>
        </w:rPr>
        <w:t xml:space="preserve">wildlife/domestic animals </w:t>
      </w:r>
      <w:r w:rsidR="00F115C6" w:rsidRPr="00397A3E">
        <w:rPr>
          <w:rFonts w:cs="Arial"/>
          <w:noProof w:val="0"/>
        </w:rPr>
        <w:t>(</w:t>
      </w:r>
      <w:r w:rsidR="00F115C6" w:rsidRPr="00397A3E">
        <w:rPr>
          <w:rFonts w:cs="Arial"/>
          <w:i/>
          <w:iCs/>
          <w:noProof w:val="0"/>
        </w:rPr>
        <w:t>Cryptosporidium</w:t>
      </w:r>
      <w:r w:rsidR="00F115C6" w:rsidRPr="00397A3E">
        <w:rPr>
          <w:rFonts w:cs="Arial"/>
          <w:noProof w:val="0"/>
        </w:rPr>
        <w:t>)</w:t>
      </w:r>
      <w:r w:rsidRPr="00397A3E">
        <w:rPr>
          <w:rFonts w:cs="Arial"/>
          <w:noProof w:val="0"/>
        </w:rPr>
        <w:t>, and thus the relative risk of GI illness from each source.</w:t>
      </w:r>
    </w:p>
    <w:p w14:paraId="0D03CE84" w14:textId="13D8FE20" w:rsidR="00A851E6" w:rsidRPr="00397A3E" w:rsidRDefault="00171C91" w:rsidP="00BF377E">
      <w:pPr>
        <w:rPr>
          <w:rFonts w:cs="Arial"/>
          <w:noProof w:val="0"/>
        </w:rPr>
      </w:pPr>
      <w:r w:rsidRPr="00397A3E">
        <w:rPr>
          <w:rFonts w:cs="Arial"/>
          <w:noProof w:val="0"/>
        </w:rPr>
        <w:t xml:space="preserve">Known source faecal samples and </w:t>
      </w:r>
      <w:r w:rsidRPr="00397A3E">
        <w:rPr>
          <w:rFonts w:cs="Arial"/>
          <w:i/>
          <w:iCs/>
          <w:noProof w:val="0"/>
        </w:rPr>
        <w:t>E. coli</w:t>
      </w:r>
      <w:r w:rsidRPr="00397A3E">
        <w:rPr>
          <w:rFonts w:cs="Arial"/>
          <w:noProof w:val="0"/>
        </w:rPr>
        <w:t xml:space="preserve"> isolates from water samples were used in MST analyses.   The analyses combined ERIC-PCR and Riboprinting in which isolates from water samples were compared against the Texas MST Library and a local library to identify sources and enhance accuracy of results.</w:t>
      </w:r>
    </w:p>
    <w:p w14:paraId="1852CF62" w14:textId="5EB7970B" w:rsidR="00DD025D" w:rsidRPr="00397A3E" w:rsidRDefault="00171C91" w:rsidP="00860D17">
      <w:pPr>
        <w:rPr>
          <w:rFonts w:cs="Arial"/>
          <w:noProof w:val="0"/>
        </w:rPr>
      </w:pPr>
      <w:r w:rsidRPr="00397A3E">
        <w:rPr>
          <w:rFonts w:cs="Arial"/>
          <w:noProof w:val="0"/>
        </w:rPr>
        <w:t>The three scenarios assessed the effects of changing the contributing percentages of different sources on the overall human health risk</w:t>
      </w:r>
      <w:r w:rsidR="00C2408B" w:rsidRPr="00397A3E">
        <w:rPr>
          <w:rFonts w:cs="Arial"/>
          <w:noProof w:val="0"/>
        </w:rPr>
        <w:t xml:space="preserve"> (assuming primary contact recreation)</w:t>
      </w:r>
      <w:r w:rsidRPr="00397A3E">
        <w:rPr>
          <w:rFonts w:cs="Arial"/>
          <w:noProof w:val="0"/>
        </w:rPr>
        <w:t>. The simulated scenarios included:</w:t>
      </w:r>
    </w:p>
    <w:p w14:paraId="3515C633" w14:textId="74934381" w:rsidR="00DD025D" w:rsidRPr="00397A3E" w:rsidRDefault="00171C91" w:rsidP="00764500">
      <w:pPr>
        <w:pStyle w:val="ListParagraph"/>
        <w:numPr>
          <w:ilvl w:val="0"/>
          <w:numId w:val="36"/>
        </w:numPr>
        <w:ind w:left="851" w:hanging="284"/>
        <w:rPr>
          <w:rFonts w:cs="Arial"/>
          <w:noProof w:val="0"/>
          <w:lang w:val="en-AU"/>
        </w:rPr>
      </w:pPr>
      <w:r w:rsidRPr="00397A3E">
        <w:rPr>
          <w:rFonts w:cs="Arial"/>
          <w:noProof w:val="0"/>
          <w:lang w:val="en-AU"/>
        </w:rPr>
        <w:t xml:space="preserve">each faecal source contributes 100% to the FIB concentration; </w:t>
      </w:r>
    </w:p>
    <w:p w14:paraId="786479DC" w14:textId="719B73FC" w:rsidR="00DD025D" w:rsidRPr="00397A3E" w:rsidRDefault="00171C91" w:rsidP="00764500">
      <w:pPr>
        <w:pStyle w:val="ListParagraph"/>
        <w:numPr>
          <w:ilvl w:val="0"/>
          <w:numId w:val="36"/>
        </w:numPr>
        <w:ind w:left="851" w:hanging="284"/>
        <w:rPr>
          <w:rFonts w:cs="Arial"/>
          <w:noProof w:val="0"/>
          <w:lang w:val="en-AU"/>
        </w:rPr>
      </w:pPr>
      <w:r w:rsidRPr="00397A3E">
        <w:rPr>
          <w:rFonts w:cs="Arial"/>
          <w:noProof w:val="0"/>
          <w:lang w:val="en-AU"/>
        </w:rPr>
        <w:t xml:space="preserve">each faecal source contributes based upon results: 10% human (combined with unidentified), 25% cattle/domestic animals, and 65% wildlife; </w:t>
      </w:r>
    </w:p>
    <w:p w14:paraId="472BE933" w14:textId="39BAB70B" w:rsidR="00DD025D" w:rsidRPr="00397A3E" w:rsidRDefault="00171C91" w:rsidP="00764500">
      <w:pPr>
        <w:pStyle w:val="ListParagraph"/>
        <w:numPr>
          <w:ilvl w:val="0"/>
          <w:numId w:val="36"/>
        </w:numPr>
        <w:ind w:left="851" w:hanging="284"/>
        <w:rPr>
          <w:rFonts w:cs="Arial"/>
          <w:noProof w:val="0"/>
          <w:lang w:val="en-AU"/>
        </w:rPr>
      </w:pPr>
      <w:r w:rsidRPr="00397A3E">
        <w:rPr>
          <w:rFonts w:cs="Arial"/>
          <w:noProof w:val="0"/>
          <w:lang w:val="en-AU"/>
        </w:rPr>
        <w:t>each faecal source contributes based upon modified MST results, separating cattle and domestic animals: 7% human, 20% cattle, and 73% wildlife/domestic animals/unidentified.</w:t>
      </w:r>
    </w:p>
    <w:p w14:paraId="01F0F29E" w14:textId="01B797DF" w:rsidR="00A851E6" w:rsidRPr="00397A3E" w:rsidRDefault="00171C91" w:rsidP="00860D17">
      <w:pPr>
        <w:rPr>
          <w:rFonts w:cs="Arial"/>
          <w:noProof w:val="0"/>
        </w:rPr>
      </w:pPr>
      <w:r w:rsidRPr="00397A3E">
        <w:rPr>
          <w:rFonts w:cs="Arial"/>
          <w:noProof w:val="0"/>
        </w:rPr>
        <w:t xml:space="preserve">For each scenario, which included a mixture of faecal sources, the median risk for a GI illness was at least 0.31. The difference in total health risk when the human source contributed 10% as opposed to 7% </w:t>
      </w:r>
      <w:r w:rsidR="008A65CF" w:rsidRPr="00397A3E">
        <w:rPr>
          <w:rFonts w:cs="Arial"/>
          <w:noProof w:val="0"/>
        </w:rPr>
        <w:t xml:space="preserve">(i.e. scenarios ii and iii) </w:t>
      </w:r>
      <w:r w:rsidRPr="00397A3E">
        <w:rPr>
          <w:rFonts w:cs="Arial"/>
          <w:noProof w:val="0"/>
        </w:rPr>
        <w:t>was negligible. High human infectivity of norovirus and the smaller ratio of faecal indicator bacteria to norovirus than for the other pathogens, resulted in the risk being relatively similar across each scenario. These findings indicate that the proportion of cattle/domestic animals and wildlife faecal loading had a much less substantial impact on the overall risk for a GI illness</w:t>
      </w:r>
      <w:r w:rsidR="00227BAC" w:rsidRPr="00397A3E">
        <w:rPr>
          <w:rFonts w:cs="Arial"/>
          <w:noProof w:val="0"/>
        </w:rPr>
        <w:t xml:space="preserve"> than human </w:t>
      </w:r>
      <w:r w:rsidR="003D4621" w:rsidRPr="00397A3E">
        <w:rPr>
          <w:rFonts w:cs="Arial"/>
          <w:noProof w:val="0"/>
        </w:rPr>
        <w:t>faecal</w:t>
      </w:r>
      <w:r w:rsidR="00227BAC" w:rsidRPr="00397A3E">
        <w:rPr>
          <w:rFonts w:cs="Arial"/>
          <w:noProof w:val="0"/>
        </w:rPr>
        <w:t xml:space="preserve"> sources.</w:t>
      </w:r>
    </w:p>
    <w:p w14:paraId="7111644E" w14:textId="77777777" w:rsidR="00B26B16" w:rsidRPr="00397A3E" w:rsidRDefault="00B26B16" w:rsidP="00860D17">
      <w:pPr>
        <w:rPr>
          <w:rFonts w:cs="Arial"/>
          <w:noProof w:val="0"/>
        </w:rPr>
      </w:pPr>
    </w:p>
    <w:p w14:paraId="7323A6AC" w14:textId="1BF13487" w:rsidR="000A3880" w:rsidRPr="00397A3E" w:rsidRDefault="00171C91" w:rsidP="00B26B16">
      <w:pPr>
        <w:keepNext/>
        <w:rPr>
          <w:rFonts w:cs="Arial"/>
          <w:i/>
          <w:iCs/>
          <w:noProof w:val="0"/>
        </w:rPr>
      </w:pPr>
      <w:r w:rsidRPr="00397A3E">
        <w:rPr>
          <w:rFonts w:cs="Arial"/>
          <w:i/>
          <w:iCs/>
          <w:noProof w:val="0"/>
        </w:rPr>
        <w:t xml:space="preserve">J18: </w:t>
      </w:r>
      <w:bookmarkStart w:id="388" w:name="_Hlk93051802"/>
      <w:r w:rsidRPr="00397A3E">
        <w:rPr>
          <w:rFonts w:cs="Arial"/>
          <w:i/>
          <w:iCs/>
          <w:noProof w:val="0"/>
        </w:rPr>
        <w:fldChar w:fldCharType="begin"/>
      </w:r>
      <w:r w:rsidR="00F84CE9" w:rsidRPr="00397A3E">
        <w:rPr>
          <w:rFonts w:cs="Arial"/>
          <w:i/>
          <w:iCs/>
          <w:noProof w:val="0"/>
        </w:rPr>
        <w:instrText xml:space="preserve"> ADDIN ZOTERO_ITEM CSL_CITATION {"citationID":"Pn0hyeYP","properties":{"custom":"Henry, Schang, et al., (2016)","formattedCitation":"Henry, Schang, et al., (2016)","plainCitation":"Henry, Schang, et al., (2016)","noteIndex":0},"citationItems":[{"id":12475,"uris":["http://zotero.org/users/148142/items/WYMGXRTP"],"uri":["http://zotero.org/users/148142/items/WYMGXRTP"],"itemData":{"id":12475,"type":"article-journal","archive":"Scopus","container-title":"Water Research","DOI":"10.1016/j.watres.2016.02.029","page":"242-253","title":"Into the deep: Evaluation of SourceTracker for assessment of faecal contamination of coastal waters","URL":"https://www.scopus.com/inward/record.uri?eid=2-s2.0-84958973030&amp;doi=10.1016%2fj.watres.2016.02.029&amp;partnerID=40&amp;md5=857b1be61a85ed86ed706842b9f6584f","volume":"93","author":[{"family":"Henry","given":"R."},{"family":"Schang","given":"C."},{"family":"Coutts","given":"S."},{"family":"Kolotelo","given":"P."},{"family":"Prosser","given":"T."},{"family":"Crosbie","given":"N."},{"family":"Grant","given":"T."},{"family":"Cottam","given":"D."},{"family":"O'Brien","given":"P."},{"family":"Deletic","given":"A."},{"family":"McCarthy","given":"D."}],"issued":{"date-parts":[["2016"]]}}}],"schema":"https://github.com/citation-style-language/schema/raw/master/csl-citation.json"} </w:instrText>
      </w:r>
      <w:r w:rsidRPr="00397A3E">
        <w:rPr>
          <w:rFonts w:cs="Arial"/>
          <w:i/>
          <w:iCs/>
          <w:noProof w:val="0"/>
        </w:rPr>
        <w:fldChar w:fldCharType="separate"/>
      </w:r>
      <w:r w:rsidRPr="00397A3E">
        <w:rPr>
          <w:rFonts w:cs="Arial"/>
          <w:i/>
          <w:iCs/>
          <w:noProof w:val="0"/>
        </w:rPr>
        <w:t>Henry, Schang, et al., (2016)</w:t>
      </w:r>
      <w:r w:rsidRPr="00397A3E">
        <w:rPr>
          <w:rFonts w:cs="Arial"/>
          <w:i/>
          <w:iCs/>
          <w:noProof w:val="0"/>
        </w:rPr>
        <w:fldChar w:fldCharType="end"/>
      </w:r>
      <w:bookmarkEnd w:id="388"/>
      <w:r w:rsidRPr="00397A3E">
        <w:rPr>
          <w:rFonts w:cs="Arial"/>
          <w:i/>
          <w:iCs/>
          <w:noProof w:val="0"/>
        </w:rPr>
        <w:t xml:space="preserve"> Into the deep: Evaluation of SourceTracker for assessment of faecal contamination of coastal waters</w:t>
      </w:r>
      <w:r w:rsidR="00340567" w:rsidRPr="00397A3E">
        <w:rPr>
          <w:rFonts w:cs="Arial"/>
          <w:i/>
          <w:iCs/>
          <w:noProof w:val="0"/>
        </w:rPr>
        <w:t>.</w:t>
      </w:r>
      <w:r w:rsidR="00860D17" w:rsidRPr="00397A3E">
        <w:rPr>
          <w:rFonts w:cs="Arial"/>
          <w:i/>
          <w:iCs/>
          <w:noProof w:val="0"/>
        </w:rPr>
        <w:t xml:space="preserve"> (Qualitative research)</w:t>
      </w:r>
      <w:r w:rsidRPr="00397A3E">
        <w:rPr>
          <w:rFonts w:cs="Arial"/>
          <w:i/>
          <w:iCs/>
          <w:noProof w:val="0"/>
        </w:rPr>
        <w:t xml:space="preserve">. </w:t>
      </w:r>
    </w:p>
    <w:p w14:paraId="1A5B07D2" w14:textId="12C1900A" w:rsidR="00AD27FE" w:rsidRPr="00397A3E" w:rsidRDefault="00171C91" w:rsidP="00AD27FE">
      <w:pPr>
        <w:rPr>
          <w:rFonts w:cs="Arial"/>
          <w:noProof w:val="0"/>
        </w:rPr>
      </w:pPr>
      <w:r w:rsidRPr="00397A3E">
        <w:rPr>
          <w:rFonts w:cs="Arial"/>
          <w:noProof w:val="0"/>
        </w:rPr>
        <w:fldChar w:fldCharType="begin"/>
      </w:r>
      <w:r w:rsidR="0069143F" w:rsidRPr="00397A3E">
        <w:rPr>
          <w:rFonts w:cs="Arial"/>
          <w:noProof w:val="0"/>
        </w:rPr>
        <w:instrText xml:space="preserve"> ADDIN ZOTERO_ITEM CSL_CITATION {"citationID":"7sJ9lN2g","properties":{"custom":"Henry, Schang, et al., (2016)","formattedCitation":"Henry, Schang, et al., (2016)","plainCitation":"Henry, Schang, et al., (2016)","noteIndex":0},"citationItems":[{"id":12475,"uris":["http://zotero.org/users/148142/items/WYMGXRTP"],"uri":["http://zotero.org/users/148142/items/WYMGXRTP"],"itemData":{"id":12475,"type":"article-journal","archive":"Scopus","container-title":"Water Research","DOI":"10.1016/j.watres.2016.02.029","page":"242-253","title":"Into the deep: Evaluation of SourceTracker for assessment of faecal contamination of coastal waters","URL":"https://www.scopus.com/inward/record.uri?eid=2-s2.0-84958973030&amp;doi=10.1016%2fj.watres.2016.02.029&amp;partnerID=40&amp;md5=857b1be61a85ed86ed706842b9f6584f","volume":"93","author":[{"family":"Henry","given":"R."},{"family":"Schang","given":"C."},{"family":"Coutts","given":"S."},{"family":"Kolotelo","given":"P."},{"family":"Prosser","given":"T."},{"family":"Crosbie","given":"N."},{"family":"Grant","given":"T."},{"family":"Cottam","given":"D."},{"family":"O'Brien","given":"P."},{"family":"Deletic","given":"A."},{"family":"McCarthy","given":"D."}],"issued":{"date-parts":[["2016"]]}}}],"schema":"https://github.com/citation-style-language/schema/raw/master/csl-citation.json"} </w:instrText>
      </w:r>
      <w:r w:rsidRPr="00397A3E">
        <w:rPr>
          <w:rFonts w:cs="Arial"/>
          <w:noProof w:val="0"/>
        </w:rPr>
        <w:fldChar w:fldCharType="separate"/>
      </w:r>
      <w:r w:rsidRPr="00397A3E">
        <w:rPr>
          <w:rFonts w:cs="Arial"/>
          <w:noProof w:val="0"/>
        </w:rPr>
        <w:t>Henry, Schang, et al., (2016)</w:t>
      </w:r>
      <w:r w:rsidRPr="00397A3E">
        <w:rPr>
          <w:rFonts w:cs="Arial"/>
          <w:noProof w:val="0"/>
        </w:rPr>
        <w:fldChar w:fldCharType="end"/>
      </w:r>
      <w:r w:rsidRPr="00397A3E">
        <w:rPr>
          <w:rFonts w:cs="Arial"/>
          <w:noProof w:val="0"/>
        </w:rPr>
        <w:t xml:space="preserve"> undertook an observational study of sewage genetic marker decay rates in recreational freshwater and marine habitats.</w:t>
      </w:r>
    </w:p>
    <w:p w14:paraId="3A47CE2C" w14:textId="401D1400" w:rsidR="00E12441" w:rsidRPr="00397A3E" w:rsidRDefault="00171C91" w:rsidP="00E12441">
      <w:pPr>
        <w:rPr>
          <w:rFonts w:cs="Arial"/>
          <w:noProof w:val="0"/>
        </w:rPr>
      </w:pPr>
      <w:r w:rsidRPr="00397A3E">
        <w:rPr>
          <w:rFonts w:cs="Arial"/>
          <w:noProof w:val="0"/>
        </w:rPr>
        <w:t>The stated aim of th</w:t>
      </w:r>
      <w:r w:rsidR="00AD27FE" w:rsidRPr="00397A3E">
        <w:rPr>
          <w:rFonts w:cs="Arial"/>
          <w:noProof w:val="0"/>
        </w:rPr>
        <w:t>e</w:t>
      </w:r>
      <w:r w:rsidRPr="00397A3E">
        <w:rPr>
          <w:rFonts w:cs="Arial"/>
          <w:noProof w:val="0"/>
        </w:rPr>
        <w:t xml:space="preserve"> study was to use recreational water quality site microbial data</w:t>
      </w:r>
      <w:r w:rsidR="00DD47FA">
        <w:rPr>
          <w:rFonts w:cs="Arial"/>
          <w:noProof w:val="0"/>
        </w:rPr>
        <w:t xml:space="preserve"> (</w:t>
      </w:r>
      <w:r w:rsidR="00DD47FA" w:rsidRPr="00DD47FA">
        <w:rPr>
          <w:rFonts w:cs="Arial"/>
          <w:noProof w:val="0"/>
        </w:rPr>
        <w:t>16S rRNA amplicon data</w:t>
      </w:r>
      <w:r w:rsidR="00DD47FA">
        <w:rPr>
          <w:rFonts w:cs="Arial"/>
          <w:noProof w:val="0"/>
        </w:rPr>
        <w:t>)</w:t>
      </w:r>
      <w:r w:rsidRPr="00397A3E">
        <w:rPr>
          <w:rFonts w:cs="Arial"/>
          <w:noProof w:val="0"/>
        </w:rPr>
        <w:t xml:space="preserve"> in high-throughput sequencing (HTS) and SourceTracker</w:t>
      </w:r>
      <w:r w:rsidR="00AD27FE" w:rsidRPr="00397A3E">
        <w:rPr>
          <w:rFonts w:cs="Arial"/>
          <w:noProof w:val="0"/>
        </w:rPr>
        <w:t xml:space="preserve"> (a statistical tool for assessment of faecal contamination of coastal waters)</w:t>
      </w:r>
      <w:r w:rsidRPr="00397A3E">
        <w:rPr>
          <w:rFonts w:cs="Arial"/>
          <w:noProof w:val="0"/>
        </w:rPr>
        <w:t xml:space="preserve"> to identify the main sources of contamination and thus assist water managers with achieving better understanding of the sources of contamination at several recreational beaches in the Port Philip Bay (Victoria) area. </w:t>
      </w:r>
    </w:p>
    <w:p w14:paraId="4B5F5C7D" w14:textId="6040AE87" w:rsidR="00E12441" w:rsidRPr="00397A3E" w:rsidRDefault="00171C91" w:rsidP="00E12441">
      <w:pPr>
        <w:rPr>
          <w:rFonts w:cs="Arial"/>
          <w:noProof w:val="0"/>
        </w:rPr>
      </w:pPr>
      <w:r w:rsidRPr="00397A3E">
        <w:rPr>
          <w:rFonts w:cs="Arial"/>
          <w:noProof w:val="0"/>
        </w:rPr>
        <w:t>Marine water sample collection in Port Phillip Bay was between December 2014 and March 2015 (42 samples).  A further 83 samples of regional riverine, estuarine, greywater, stormwater, sewage and potable source waters, plus and faecal and sand samples (as a source of MST markers) were collected between Dec 2014 and Feb 2015.</w:t>
      </w:r>
    </w:p>
    <w:p w14:paraId="4BAF6522" w14:textId="77777777" w:rsidR="00EF7055" w:rsidRPr="00397A3E" w:rsidRDefault="00171C91" w:rsidP="00860D17">
      <w:pPr>
        <w:rPr>
          <w:rFonts w:cs="Arial"/>
          <w:noProof w:val="0"/>
        </w:rPr>
      </w:pPr>
      <w:r w:rsidRPr="00397A3E">
        <w:rPr>
          <w:rFonts w:cs="Arial"/>
          <w:noProof w:val="0"/>
        </w:rPr>
        <w:t xml:space="preserve">The study applied artificial and in-laboratory derived bacterial communities to define the potential and limitations associated with the use of SourceTracker, prior to its application for faecal source tracking at three recreational beaches near Port Phillip Bay (Victoria, Australia). </w:t>
      </w:r>
    </w:p>
    <w:p w14:paraId="4789374D" w14:textId="53C51B26" w:rsidR="00E12441" w:rsidRPr="00397A3E" w:rsidRDefault="00171C91" w:rsidP="00860D17">
      <w:pPr>
        <w:rPr>
          <w:rFonts w:cs="Arial"/>
          <w:noProof w:val="0"/>
        </w:rPr>
      </w:pPr>
      <w:r w:rsidRPr="00397A3E">
        <w:rPr>
          <w:rFonts w:cs="Arial"/>
          <w:noProof w:val="0"/>
        </w:rPr>
        <w:t>The results demonstrated that at minimum multiple model runs of the SourceTracker modelling tool (i.e. technical replicates) were required to identify potential false positive predictions. The calculation of relative standard deviations (RSDs) for each attributed source improved overall predictive confidence in the results. In general, default parameter settings provided high sensitivity, specificity, accuracy, and precision. Application of SourceTracker to recreational beach samples identified treated effluent as major source of human derived</w:t>
      </w:r>
      <w:r w:rsidR="00D31237" w:rsidRPr="00397A3E">
        <w:rPr>
          <w:rFonts w:cs="Arial"/>
          <w:noProof w:val="0"/>
        </w:rPr>
        <w:t xml:space="preserve"> </w:t>
      </w:r>
      <w:r w:rsidRPr="00397A3E">
        <w:rPr>
          <w:rFonts w:cs="Arial"/>
          <w:noProof w:val="0"/>
        </w:rPr>
        <w:t>faecal contamination, present in 69% of samples. Site-specific sources, such as raw sewage, stormwater and bacterial populations associated with the Yarra River estuary were also identified. Rainfall and associated sand resuspension at each location correlated with observed human faecal indicators. The results of the optimised SourceTracker analysis suggests that local sources of contamination have the greatest effect on recreational coastal water quality.</w:t>
      </w:r>
    </w:p>
    <w:p w14:paraId="0670CAD4" w14:textId="77777777" w:rsidR="009C5D2C" w:rsidRPr="005903C7" w:rsidRDefault="009C5D2C" w:rsidP="00860D17">
      <w:pPr>
        <w:rPr>
          <w:rFonts w:cs="Arial"/>
          <w:noProof w:val="0"/>
        </w:rPr>
      </w:pPr>
    </w:p>
    <w:p w14:paraId="33F4349C" w14:textId="38AC78D9" w:rsidR="000A3880" w:rsidRPr="00397A3E" w:rsidRDefault="00171C91" w:rsidP="00B26B16">
      <w:pPr>
        <w:keepNext/>
        <w:rPr>
          <w:rFonts w:cs="Arial"/>
          <w:i/>
          <w:iCs/>
          <w:noProof w:val="0"/>
        </w:rPr>
      </w:pPr>
      <w:r w:rsidRPr="00397A3E">
        <w:rPr>
          <w:rFonts w:cs="Arial"/>
          <w:i/>
          <w:iCs/>
          <w:noProof w:val="0"/>
        </w:rPr>
        <w:t xml:space="preserve">J20: </w:t>
      </w:r>
      <w:bookmarkStart w:id="389" w:name="_Hlk93053923"/>
      <w:r w:rsidRPr="00397A3E">
        <w:rPr>
          <w:rFonts w:cs="Arial"/>
          <w:i/>
          <w:iCs/>
          <w:noProof w:val="0"/>
        </w:rPr>
        <w:fldChar w:fldCharType="begin"/>
      </w:r>
      <w:r w:rsidR="00F84CE9" w:rsidRPr="00397A3E">
        <w:rPr>
          <w:rFonts w:cs="Arial"/>
          <w:i/>
          <w:iCs/>
          <w:noProof w:val="0"/>
        </w:rPr>
        <w:instrText xml:space="preserve"> ADDIN ZOTERO_ITEM CSL_CITATION {"citationID":"k37WLJdv","properties":{"custom":"Kelly, Feng, et al., (2018)","formattedCitation":"Kelly, Feng, et al., (2018)","plainCitation":"Kelly, Feng, et al., (2018)","noteIndex":0},"citationItems":[{"id":13166,"uris":["http://zotero.org/users/148142/items/NGHIVZBT"],"uri":["http://zotero.org/users/148142/items/NGHIVZBT"],"itemData":{"id":13166,"type":"article-journal","abstract":"When beach water monitoring programs identify poor water quality, the causes are frequently unknown. We hypothesize that management policies play an important role in the frequency of fecal indicator bacteria (FIB) exceedances (enterococci and fecal coliform) at recreational beaches. To test this hypothesis we implemented an innovative approach utilizing large amounts of monitoring data (n&gt;150,000 measurements per FIB) to determine associations between the frequency of contaminant exceedances and beach management practices. The large FIB database was augmented with results from a survey designed to assess management policies for 316 beaches throughout the state of Florida. The FIB and survey data were analyzed using t-tests, ANOVA, factor analysis, and linear regression. Results show that beach geomorphology (beach type) was highly associated with exceedance of regulatory standards. Low enterococci exceedances were associated with open coast beaches (n=211) that have sparse human densities, no homeless populations, low densities of dogs and birds, bird management policies, low densities of seaweed, beach renourishment, charge access fees, employ lifeguards, without nearby marinas, and those that manage storm water. Factor analysis and a linear regression confirmed beach type as the predominant factor with secondary influences from grooming activities (including seaweed densities and beach renourishment) and beach access (including charging fees, employing lifeguards, and without nearby marinas). Our results were observable primarily because of the very large public FIB database available for analyses; similar approaches can be adopted at other beaches. The findings of this research have important policy implications because the selected beach management practices that were associated with low levels of FIB can be implemented in other parts of the US and around the world to improve recreational beach water quality. (C) 2018 Elsevier Ltd. All rights reserved.","container-title":"Journal of Environmental Management","DOI":"10.1016/j.jenvman.2018.02.012","ISSN":"0301-4797","journalAbbreviation":"J. Environ. Manage.","language":"English","page":"266-277","source":"Web of Science","title":"Effect of beach management policies on recreational water quality","URL":"https://repository.tudelft.nl/islandora/object/uuid%3A4cae77ec-45fd-4029-b8e5-5c3e68015b34/datastream/OBJ/download","volume":"212","author":[{"family":"Kelly","given":"Elizabeth A."},{"family":"Feng","given":"Zhixuan"},{"family":"Gidley","given":"Maribeth L."},{"family":"Sinigalliano","given":"Christopher D."},{"family":"Kumar","given":"Naresh"},{"family":"Donahue","given":"Allison G."},{"family":"Reniers","given":"Adrianus J. H. M."},{"family":"Solo-Gabriele","given":"Helena M."}],"issued":{"date-parts":[["2018",4,15]]}}}],"schema":"https://github.com/citation-style-language/schema/raw/master/csl-citation.json"} </w:instrText>
      </w:r>
      <w:r w:rsidRPr="00397A3E">
        <w:rPr>
          <w:rFonts w:cs="Arial"/>
          <w:i/>
          <w:iCs/>
          <w:noProof w:val="0"/>
        </w:rPr>
        <w:fldChar w:fldCharType="separate"/>
      </w:r>
      <w:r w:rsidRPr="00397A3E">
        <w:rPr>
          <w:rFonts w:cs="Arial"/>
          <w:i/>
          <w:iCs/>
          <w:noProof w:val="0"/>
        </w:rPr>
        <w:t>Kelly, Feng, et al., (2018)</w:t>
      </w:r>
      <w:r w:rsidRPr="00397A3E">
        <w:rPr>
          <w:rFonts w:cs="Arial"/>
          <w:i/>
          <w:iCs/>
          <w:noProof w:val="0"/>
        </w:rPr>
        <w:fldChar w:fldCharType="end"/>
      </w:r>
      <w:bookmarkEnd w:id="389"/>
      <w:r w:rsidRPr="00397A3E">
        <w:rPr>
          <w:rFonts w:cs="Arial"/>
          <w:i/>
          <w:iCs/>
          <w:noProof w:val="0"/>
        </w:rPr>
        <w:t xml:space="preserve"> Effect of beach management policies on recreational water quality</w:t>
      </w:r>
      <w:r w:rsidR="00840160" w:rsidRPr="00397A3E">
        <w:rPr>
          <w:rFonts w:cs="Arial"/>
          <w:i/>
          <w:iCs/>
          <w:noProof w:val="0"/>
        </w:rPr>
        <w:t>.</w:t>
      </w:r>
      <w:r w:rsidR="00860D17" w:rsidRPr="00397A3E">
        <w:rPr>
          <w:rFonts w:cs="Arial"/>
          <w:i/>
          <w:iCs/>
          <w:noProof w:val="0"/>
        </w:rPr>
        <w:t xml:space="preserve"> (Qualitative research)</w:t>
      </w:r>
      <w:r w:rsidRPr="00397A3E">
        <w:rPr>
          <w:rFonts w:cs="Arial"/>
          <w:i/>
          <w:iCs/>
          <w:noProof w:val="0"/>
        </w:rPr>
        <w:t xml:space="preserve">. </w:t>
      </w:r>
    </w:p>
    <w:p w14:paraId="4581ED91" w14:textId="6FE960E4" w:rsidR="00941C7D" w:rsidRPr="00397A3E" w:rsidRDefault="00171C91" w:rsidP="00941C7D">
      <w:pPr>
        <w:rPr>
          <w:rFonts w:cs="Arial"/>
          <w:noProof w:val="0"/>
        </w:rPr>
      </w:pPr>
      <w:r w:rsidRPr="00397A3E">
        <w:rPr>
          <w:rFonts w:cs="Arial"/>
          <w:noProof w:val="0"/>
        </w:rPr>
        <w:fldChar w:fldCharType="begin"/>
      </w:r>
      <w:r w:rsidR="0069143F" w:rsidRPr="00397A3E">
        <w:rPr>
          <w:rFonts w:cs="Arial"/>
          <w:noProof w:val="0"/>
        </w:rPr>
        <w:instrText xml:space="preserve"> ADDIN ZOTERO_ITEM CSL_CITATION {"citationID":"xTAtNoK1","properties":{"custom":"Kelly, Feng, et al., (2018)","formattedCitation":"Kelly, Feng, et al., (2018)","plainCitation":"Kelly, Feng, et al., (2018)","noteIndex":0},"citationItems":[{"id":13166,"uris":["http://zotero.org/users/148142/items/NGHIVZBT"],"uri":["http://zotero.org/users/148142/items/NGHIVZBT"],"itemData":{"id":13166,"type":"article-journal","abstract":"When beach water monitoring programs identify poor water quality, the causes are frequently unknown. We hypothesize that management policies play an important role in the frequency of fecal indicator bacteria (FIB) exceedances (enterococci and fecal coliform) at recreational beaches. To test this hypothesis we implemented an innovative approach utilizing large amounts of monitoring data (n&gt;150,000 measurements per FIB) to determine associations between the frequency of contaminant exceedances and beach management practices. The large FIB database was augmented with results from a survey designed to assess management policies for 316 beaches throughout the state of Florida. The FIB and survey data were analyzed using t-tests, ANOVA, factor analysis, and linear regression. Results show that beach geomorphology (beach type) was highly associated with exceedance of regulatory standards. Low enterococci exceedances were associated with open coast beaches (n=211) that have sparse human densities, no homeless populations, low densities of dogs and birds, bird management policies, low densities of seaweed, beach renourishment, charge access fees, employ lifeguards, without nearby marinas, and those that manage storm water. Factor analysis and a linear regression confirmed beach type as the predominant factor with secondary influences from grooming activities (including seaweed densities and beach renourishment) and beach access (including charging fees, employing lifeguards, and without nearby marinas). Our results were observable primarily because of the very large public FIB database available for analyses; similar approaches can be adopted at other beaches. The findings of this research have important policy implications because the selected beach management practices that were associated with low levels of FIB can be implemented in other parts of the US and around the world to improve recreational beach water quality. (C) 2018 Elsevier Ltd. All rights reserved.","container-title":"Journal of Environmental Management","DOI":"10.1016/j.jenvman.2018.02.012","ISSN":"0301-4797","journalAbbreviation":"J. Environ. Manage.","language":"English","page":"266-277","source":"Web of Science","title":"Effect of beach management policies on recreational water quality","URL":"https://repository.tudelft.nl/islandora/object/uuid%3A4cae77ec-45fd-4029-b8e5-5c3e68015b34/datastream/OBJ/download","volume":"212","author":[{"family":"Kelly","given":"Elizabeth A."},{"family":"Feng","given":"Zhixuan"},{"family":"Gidley","given":"Maribeth L."},{"family":"Sinigalliano","given":"Christopher D."},{"family":"Kumar","given":"Naresh"},{"family":"Donahue","given":"Allison G."},{"family":"Reniers","given":"Adrianus J. H. M."},{"family":"Solo-Gabriele","given":"Helena M."}],"issued":{"date-parts":[["2018",4,15]]}}}],"schema":"https://github.com/citation-style-language/schema/raw/master/csl-citation.json"} </w:instrText>
      </w:r>
      <w:r w:rsidRPr="00397A3E">
        <w:rPr>
          <w:rFonts w:cs="Arial"/>
          <w:noProof w:val="0"/>
        </w:rPr>
        <w:fldChar w:fldCharType="separate"/>
      </w:r>
      <w:r w:rsidRPr="00397A3E">
        <w:rPr>
          <w:rFonts w:cs="Arial"/>
          <w:noProof w:val="0"/>
        </w:rPr>
        <w:t>Kelly, Feng, et al., (2018)</w:t>
      </w:r>
      <w:r w:rsidRPr="00397A3E">
        <w:rPr>
          <w:rFonts w:cs="Arial"/>
          <w:noProof w:val="0"/>
        </w:rPr>
        <w:fldChar w:fldCharType="end"/>
      </w:r>
      <w:r w:rsidRPr="00397A3E">
        <w:rPr>
          <w:rFonts w:cs="Arial"/>
          <w:noProof w:val="0"/>
        </w:rPr>
        <w:t xml:space="preserve"> utilised a large data set of FIB monitoring from Florida, USA beaches (Florida Healthy Beaches Program FHBP) plus a large survey of beach management agency regional offices with the aim of evaluating whether beaches characterized by a set of management policies are associated with lower FIB levels.</w:t>
      </w:r>
    </w:p>
    <w:p w14:paraId="6B176D73" w14:textId="77777777" w:rsidR="00941C7D" w:rsidRPr="00397A3E" w:rsidRDefault="00171C91" w:rsidP="00976D31">
      <w:pPr>
        <w:rPr>
          <w:rFonts w:cs="Arial"/>
          <w:noProof w:val="0"/>
        </w:rPr>
      </w:pPr>
      <w:r w:rsidRPr="00397A3E">
        <w:rPr>
          <w:rFonts w:cs="Arial"/>
          <w:noProof w:val="0"/>
        </w:rPr>
        <w:t>The study utilised a dataset of enterococci and faecal coliform data collected through the FHBP from July 31, 2000 to December 31, 2015.</w:t>
      </w:r>
    </w:p>
    <w:p w14:paraId="2020AA6B" w14:textId="26A24A0E" w:rsidR="009C5D2C" w:rsidRPr="00397A3E" w:rsidRDefault="00171C91" w:rsidP="00860D17">
      <w:pPr>
        <w:rPr>
          <w:rFonts w:cs="Arial"/>
          <w:noProof w:val="0"/>
        </w:rPr>
      </w:pPr>
      <w:r w:rsidRPr="00397A3E">
        <w:rPr>
          <w:rFonts w:cs="Arial"/>
          <w:noProof w:val="0"/>
        </w:rPr>
        <w:t>Specific sources are not addressed, but risk factors including beach management practices are identified that are associated</w:t>
      </w:r>
      <w:r w:rsidR="00941C7D" w:rsidRPr="00397A3E">
        <w:rPr>
          <w:rFonts w:cs="Arial"/>
          <w:noProof w:val="0"/>
        </w:rPr>
        <w:t xml:space="preserve"> with</w:t>
      </w:r>
      <w:r w:rsidRPr="00397A3E">
        <w:rPr>
          <w:rFonts w:cs="Arial"/>
          <w:noProof w:val="0"/>
        </w:rPr>
        <w:t xml:space="preserve"> increased FIB concentrations (e.g. animals such as dogs and birds, humans, availability of amenities, beach aspect and type (open ocean vs marshy areas), and beach grooming methods (disturbance of heavy wrack can increase FIB).</w:t>
      </w:r>
    </w:p>
    <w:p w14:paraId="5AC0E765" w14:textId="5C844613" w:rsidR="00941C7D" w:rsidRPr="00397A3E" w:rsidRDefault="00171C91" w:rsidP="00860D17">
      <w:pPr>
        <w:rPr>
          <w:rFonts w:cs="Arial"/>
          <w:noProof w:val="0"/>
        </w:rPr>
      </w:pPr>
      <w:r w:rsidRPr="00397A3E">
        <w:rPr>
          <w:rFonts w:cs="Arial"/>
          <w:noProof w:val="0"/>
        </w:rPr>
        <w:t xml:space="preserve">Analyses showed that beach geomorphology (beach type) was highly associated with exceedance of regulatory standards. Low </w:t>
      </w:r>
      <w:r w:rsidR="007C34F5" w:rsidRPr="00397A3E">
        <w:rPr>
          <w:rFonts w:cs="Arial"/>
          <w:noProof w:val="0"/>
        </w:rPr>
        <w:t>e</w:t>
      </w:r>
      <w:r w:rsidRPr="00397A3E">
        <w:rPr>
          <w:rFonts w:cs="Arial"/>
          <w:noProof w:val="0"/>
        </w:rPr>
        <w:t xml:space="preserve">nterococci exceedances were associated with open coast beaches (n = 211) that have sparse human densities, no homeless populations, low densities of dogs and birds, bird management policies, low densities of seaweed, beach renourishment, charge access fees, employ lifeguards, without nearby marinas, and those that manage stormwater.  </w:t>
      </w:r>
    </w:p>
    <w:p w14:paraId="1F3BEB78" w14:textId="23965ED5" w:rsidR="00976D31" w:rsidRPr="00397A3E" w:rsidRDefault="00171C91" w:rsidP="00860D17">
      <w:pPr>
        <w:rPr>
          <w:rFonts w:cs="Arial"/>
          <w:noProof w:val="0"/>
        </w:rPr>
      </w:pPr>
      <w:r w:rsidRPr="00397A3E">
        <w:rPr>
          <w:rFonts w:cs="Arial"/>
          <w:noProof w:val="0"/>
        </w:rPr>
        <w:t>Factor analysis and a linear regression confirmed beach type as the predominant factor with secondary influences from grooming activities (including seaweed densities and beach renourishment) and beach access (including charging fees, employing lifeguards, and without nearby marinas).</w:t>
      </w:r>
    </w:p>
    <w:p w14:paraId="46499A2B" w14:textId="77777777" w:rsidR="00941C7D" w:rsidRPr="00397A3E" w:rsidRDefault="00171C91" w:rsidP="00860D17">
      <w:pPr>
        <w:rPr>
          <w:rFonts w:cs="Arial"/>
          <w:noProof w:val="0"/>
        </w:rPr>
      </w:pPr>
      <w:r w:rsidRPr="00397A3E">
        <w:rPr>
          <w:rFonts w:cs="Arial"/>
          <w:noProof w:val="0"/>
        </w:rPr>
        <w:t>The study supported the work of researchers who found that:</w:t>
      </w:r>
    </w:p>
    <w:p w14:paraId="3C0EFA69" w14:textId="3FFA33D8" w:rsidR="00941C7D" w:rsidRPr="00397A3E" w:rsidRDefault="00171C91" w:rsidP="00764500">
      <w:pPr>
        <w:pStyle w:val="ListParagraph"/>
        <w:numPr>
          <w:ilvl w:val="0"/>
          <w:numId w:val="37"/>
        </w:numPr>
        <w:ind w:left="714" w:hanging="357"/>
        <w:contextualSpacing/>
        <w:rPr>
          <w:rFonts w:cs="Arial"/>
          <w:noProof w:val="0"/>
          <w:lang w:val="en-AU"/>
        </w:rPr>
      </w:pPr>
      <w:r w:rsidRPr="00397A3E">
        <w:rPr>
          <w:rFonts w:cs="Arial"/>
          <w:noProof w:val="0"/>
          <w:lang w:val="en-AU"/>
        </w:rPr>
        <w:t>The presence of birds, humans, and dogs, cause an increase in FIB at recreational beaches.</w:t>
      </w:r>
    </w:p>
    <w:p w14:paraId="6BB146A0" w14:textId="6B01D2A0" w:rsidR="00941C7D" w:rsidRPr="00397A3E" w:rsidRDefault="00171C91" w:rsidP="00764500">
      <w:pPr>
        <w:pStyle w:val="ListParagraph"/>
        <w:numPr>
          <w:ilvl w:val="0"/>
          <w:numId w:val="37"/>
        </w:numPr>
        <w:ind w:left="714" w:hanging="357"/>
        <w:contextualSpacing/>
        <w:rPr>
          <w:rFonts w:cs="Arial"/>
          <w:noProof w:val="0"/>
          <w:lang w:val="en-AU"/>
        </w:rPr>
      </w:pPr>
      <w:r w:rsidRPr="00397A3E">
        <w:rPr>
          <w:rFonts w:cs="Arial"/>
          <w:noProof w:val="0"/>
          <w:lang w:val="en-AU"/>
        </w:rPr>
        <w:t>Beach sand can provide an area in which FIBs can proliferate</w:t>
      </w:r>
      <w:r w:rsidR="007C34F5" w:rsidRPr="00397A3E">
        <w:rPr>
          <w:rFonts w:cs="Arial"/>
          <w:noProof w:val="0"/>
          <w:lang w:val="en-AU"/>
        </w:rPr>
        <w:t>.</w:t>
      </w:r>
    </w:p>
    <w:p w14:paraId="1CE4174E" w14:textId="6DB73F5E" w:rsidR="00941C7D" w:rsidRPr="00397A3E" w:rsidRDefault="00171C91" w:rsidP="00764500">
      <w:pPr>
        <w:pStyle w:val="ListParagraph"/>
        <w:numPr>
          <w:ilvl w:val="0"/>
          <w:numId w:val="37"/>
        </w:numPr>
        <w:ind w:left="714" w:hanging="357"/>
        <w:contextualSpacing/>
        <w:rPr>
          <w:rFonts w:cs="Arial"/>
          <w:noProof w:val="0"/>
          <w:lang w:val="en-AU"/>
        </w:rPr>
      </w:pPr>
      <w:r w:rsidRPr="00397A3E">
        <w:rPr>
          <w:rFonts w:cs="Arial"/>
          <w:noProof w:val="0"/>
          <w:lang w:val="en-AU"/>
        </w:rPr>
        <w:t>Grooming in areas with heavy beach wrack that involve disturbance of the wrack may actually increase concentrations.</w:t>
      </w:r>
    </w:p>
    <w:p w14:paraId="4E32AA17" w14:textId="77777777" w:rsidR="00941C7D" w:rsidRPr="00397A3E" w:rsidRDefault="00171C91" w:rsidP="00860D17">
      <w:pPr>
        <w:rPr>
          <w:rFonts w:cs="Arial"/>
          <w:noProof w:val="0"/>
        </w:rPr>
      </w:pPr>
      <w:r w:rsidRPr="00397A3E">
        <w:rPr>
          <w:rFonts w:cs="Arial"/>
          <w:noProof w:val="0"/>
        </w:rPr>
        <w:t>The study also found that the availability of restrooms and showers; concession stands; solid waste management; and fees to access the beach can have an effect on FIBs.</w:t>
      </w:r>
    </w:p>
    <w:p w14:paraId="1F7F4340" w14:textId="2FF216C1" w:rsidR="00976D31" w:rsidRPr="00397A3E" w:rsidRDefault="00171C91" w:rsidP="00860D17">
      <w:pPr>
        <w:rPr>
          <w:rFonts w:cs="Arial"/>
          <w:noProof w:val="0"/>
        </w:rPr>
      </w:pPr>
      <w:r w:rsidRPr="00397A3E">
        <w:rPr>
          <w:rFonts w:cs="Arial"/>
          <w:noProof w:val="0"/>
        </w:rPr>
        <w:t xml:space="preserve">Given the associations demonstrated between beach management and FIBs, the study results support the concept of sustainable beach management. </w:t>
      </w:r>
      <w:r w:rsidR="007C34F5" w:rsidRPr="00397A3E">
        <w:rPr>
          <w:rFonts w:cs="Arial"/>
          <w:noProof w:val="0"/>
        </w:rPr>
        <w:t xml:space="preserve"> </w:t>
      </w:r>
      <w:r w:rsidRPr="00397A3E">
        <w:rPr>
          <w:rFonts w:cs="Arial"/>
          <w:noProof w:val="0"/>
        </w:rPr>
        <w:t>Such management would streamline or even unify the operations of different agencies that manage beach erosion, wildlife, solid waste, beach patrol and law enforcement, amenities for beach visitors, water quality monitoring, and maintenance.</w:t>
      </w:r>
    </w:p>
    <w:p w14:paraId="64486319" w14:textId="77777777" w:rsidR="009C5D2C" w:rsidRPr="005903C7" w:rsidRDefault="009C5D2C" w:rsidP="00860D17">
      <w:pPr>
        <w:rPr>
          <w:rFonts w:cs="Arial"/>
          <w:noProof w:val="0"/>
        </w:rPr>
      </w:pPr>
    </w:p>
    <w:p w14:paraId="14BEB421" w14:textId="47C7131E" w:rsidR="000A3880" w:rsidRPr="00397A3E" w:rsidRDefault="00171C91" w:rsidP="00B26B16">
      <w:pPr>
        <w:keepNext/>
        <w:rPr>
          <w:rFonts w:cs="Arial"/>
          <w:i/>
          <w:iCs/>
          <w:noProof w:val="0"/>
        </w:rPr>
      </w:pPr>
      <w:r w:rsidRPr="00397A3E">
        <w:rPr>
          <w:rFonts w:cs="Arial"/>
          <w:i/>
          <w:iCs/>
          <w:noProof w:val="0"/>
        </w:rPr>
        <w:t xml:space="preserve">J23: </w:t>
      </w:r>
      <w:r w:rsidRPr="00397A3E">
        <w:rPr>
          <w:rFonts w:cs="Arial"/>
          <w:i/>
          <w:iCs/>
          <w:noProof w:val="0"/>
        </w:rPr>
        <w:fldChar w:fldCharType="begin"/>
      </w:r>
      <w:r w:rsidR="00F84CE9" w:rsidRPr="00397A3E">
        <w:rPr>
          <w:rFonts w:cs="Arial"/>
          <w:i/>
          <w:iCs/>
          <w:noProof w:val="0"/>
        </w:rPr>
        <w:instrText xml:space="preserve"> ADDIN ZOTERO_ITEM CSL_CITATION {"citationID":"bf3ccllK","properties":{"custom":"Lugg, Cook, et al., (2012)","formattedCitation":"Lugg, Cook, et al., (2012)","plainCitation":"Lugg, Cook, et al., (2012)","noteIndex":0},"citationItems":[{"id":5545,"uris":["http://zotero.org/users/148142/items/V73KP9MB"],"uri":["http://zotero.org/users/148142/items/V73KP9MB"],"itemData":{"id":5545,"type":"chapter","container-title":"The Significance of Faecal Indicators in Water: A Global Perspective.","event-place":"Cambridge","ISBN":"978-1-84973-169-0","page":"62-71","publisher":"RSC Publishing","publisher-place":"Cambridge","source":"CrossRef","title":"Estimating 95th Percentiles from Microbial Sampling: A Novel Approach to Standardising their Application to Recreational Waters","title-short":"Estimating 95th Percentiles from Microbial Sampling","URL":"http://ebook.rsc.org/?DOI=10.1039/9781849735421-00062","editor":[{"family":"Kay","given":"David"},{"family":"Fricker","given":"C"}],"author":[{"family":"Lugg","given":"R.S.W."},{"family":"Cook","given":"A."},{"family":"Devine","given":"B."}],"accessed":{"date-parts":[["2014",12,17]]},"issued":{"date-parts":[["2012"]]}}}],"schema":"https://github.com/citation-style-language/schema/raw/master/csl-citation.json"} </w:instrText>
      </w:r>
      <w:r w:rsidRPr="00397A3E">
        <w:rPr>
          <w:rFonts w:cs="Arial"/>
          <w:i/>
          <w:iCs/>
          <w:noProof w:val="0"/>
        </w:rPr>
        <w:fldChar w:fldCharType="separate"/>
      </w:r>
      <w:r w:rsidRPr="00397A3E">
        <w:rPr>
          <w:rFonts w:cs="Arial"/>
          <w:i/>
          <w:iCs/>
          <w:noProof w:val="0"/>
        </w:rPr>
        <w:t>Lugg, Cook, et al., (2012)</w:t>
      </w:r>
      <w:r w:rsidRPr="00397A3E">
        <w:rPr>
          <w:rFonts w:cs="Arial"/>
          <w:i/>
          <w:iCs/>
          <w:noProof w:val="0"/>
        </w:rPr>
        <w:fldChar w:fldCharType="end"/>
      </w:r>
      <w:r w:rsidRPr="00397A3E">
        <w:rPr>
          <w:rFonts w:cs="Arial"/>
          <w:i/>
          <w:iCs/>
          <w:noProof w:val="0"/>
        </w:rPr>
        <w:t xml:space="preserve"> Estimating 95th Percentiles from Microbial Sampling: A Novel Approach to Standardising their Application to Recreational Waters</w:t>
      </w:r>
      <w:r w:rsidR="00840160" w:rsidRPr="00397A3E">
        <w:rPr>
          <w:rFonts w:cs="Arial"/>
          <w:i/>
          <w:iCs/>
          <w:noProof w:val="0"/>
        </w:rPr>
        <w:t>.</w:t>
      </w:r>
      <w:r w:rsidR="00860D17" w:rsidRPr="00397A3E">
        <w:rPr>
          <w:rFonts w:cs="Arial"/>
          <w:i/>
          <w:iCs/>
          <w:noProof w:val="0"/>
        </w:rPr>
        <w:t xml:space="preserve"> (Qualitative research).</w:t>
      </w:r>
      <w:r w:rsidRPr="00397A3E">
        <w:rPr>
          <w:rFonts w:cs="Arial"/>
          <w:i/>
          <w:iCs/>
          <w:noProof w:val="0"/>
        </w:rPr>
        <w:t xml:space="preserve"> </w:t>
      </w:r>
    </w:p>
    <w:p w14:paraId="73F028AB" w14:textId="77667D5F" w:rsidR="009C5D2C" w:rsidRPr="00397A3E" w:rsidRDefault="00171C91" w:rsidP="00860D17">
      <w:pPr>
        <w:rPr>
          <w:rFonts w:cs="Arial"/>
          <w:noProof w:val="0"/>
        </w:rPr>
      </w:pPr>
      <w:r w:rsidRPr="00397A3E">
        <w:rPr>
          <w:rFonts w:cs="Arial"/>
          <w:noProof w:val="0"/>
        </w:rPr>
        <w:t>The study seeks to facilitate the application of recreational water guidelines that use the Wyer equation [Water Research 1999(33):715</w:t>
      </w:r>
      <w:r w:rsidR="00B168A0" w:rsidRPr="00397A3E">
        <w:rPr>
          <w:rFonts w:cs="Arial"/>
          <w:noProof w:val="0"/>
        </w:rPr>
        <w:t>] for</w:t>
      </w:r>
      <w:r w:rsidRPr="00397A3E">
        <w:rPr>
          <w:rFonts w:cs="Arial"/>
          <w:noProof w:val="0"/>
        </w:rPr>
        <w:t xml:space="preserve"> the purpose of allocating </w:t>
      </w:r>
      <w:r w:rsidR="001B3DDF" w:rsidRPr="00397A3E">
        <w:rPr>
          <w:rFonts w:cs="Arial"/>
          <w:noProof w:val="0"/>
        </w:rPr>
        <w:t>microbial</w:t>
      </w:r>
      <w:r w:rsidRPr="00397A3E">
        <w:rPr>
          <w:rFonts w:cs="Arial"/>
          <w:noProof w:val="0"/>
        </w:rPr>
        <w:t xml:space="preserve"> water assessment categories (MACs).  The paper describes development and application of the EnteroTester Excel tool, </w:t>
      </w:r>
      <w:bookmarkStart w:id="390" w:name="_Hlk94016526"/>
      <w:r w:rsidRPr="00397A3E">
        <w:rPr>
          <w:rFonts w:cs="Arial"/>
          <w:noProof w:val="0"/>
        </w:rPr>
        <w:t>which facilitates the appropriate computation for 95</w:t>
      </w:r>
      <w:r w:rsidRPr="00397A3E">
        <w:rPr>
          <w:rFonts w:cs="Arial"/>
          <w:noProof w:val="0"/>
          <w:vertAlign w:val="superscript"/>
        </w:rPr>
        <w:t>th</w:t>
      </w:r>
      <w:r w:rsidRPr="00397A3E">
        <w:rPr>
          <w:rFonts w:cs="Arial"/>
          <w:noProof w:val="0"/>
        </w:rPr>
        <w:t xml:space="preserve"> percentiles and corresponding</w:t>
      </w:r>
      <w:r w:rsidR="003911CC" w:rsidRPr="00397A3E">
        <w:rPr>
          <w:rFonts w:cs="Arial"/>
          <w:noProof w:val="0"/>
        </w:rPr>
        <w:t xml:space="preserve"> classification</w:t>
      </w:r>
      <w:r w:rsidRPr="00397A3E">
        <w:rPr>
          <w:rFonts w:cs="Arial"/>
          <w:noProof w:val="0"/>
        </w:rPr>
        <w:t xml:space="preserve"> for beach recreational water quality classifications (MACs) A, B and C</w:t>
      </w:r>
      <w:r w:rsidR="008B679E" w:rsidRPr="00397A3E">
        <w:rPr>
          <w:rFonts w:cs="Arial"/>
          <w:noProof w:val="0"/>
        </w:rPr>
        <w:t>,</w:t>
      </w:r>
      <w:r w:rsidRPr="00397A3E">
        <w:rPr>
          <w:rFonts w:cs="Arial"/>
          <w:noProof w:val="0"/>
        </w:rPr>
        <w:t xml:space="preserve"> each with a defined range of infection risk</w:t>
      </w:r>
      <w:bookmarkEnd w:id="390"/>
      <w:r w:rsidRPr="00397A3E">
        <w:rPr>
          <w:rFonts w:cs="Arial"/>
          <w:noProof w:val="0"/>
        </w:rPr>
        <w:t>.</w:t>
      </w:r>
    </w:p>
    <w:p w14:paraId="52AD7BEE" w14:textId="33320589" w:rsidR="004D3BDE" w:rsidRPr="00397A3E" w:rsidRDefault="00171C91" w:rsidP="004D3BDE">
      <w:pPr>
        <w:rPr>
          <w:rFonts w:cs="Arial"/>
          <w:noProof w:val="0"/>
        </w:rPr>
      </w:pPr>
      <w:r w:rsidRPr="00397A3E">
        <w:rPr>
          <w:rFonts w:cs="Arial"/>
          <w:noProof w:val="0"/>
        </w:rPr>
        <w:t>The performance of the EnteroTester tool was assessed through Monte Carlo simulations and via practical application at c</w:t>
      </w:r>
      <w:r w:rsidR="00222C7A" w:rsidRPr="00397A3E">
        <w:rPr>
          <w:noProof w:val="0"/>
        </w:rPr>
        <w:t xml:space="preserve"> </w:t>
      </w:r>
      <w:r w:rsidR="00222C7A" w:rsidRPr="00397A3E">
        <w:rPr>
          <w:rFonts w:cs="Arial"/>
          <w:noProof w:val="0"/>
        </w:rPr>
        <w:t>coastal beaches and freshwater sites in WA, NSW and the NT</w:t>
      </w:r>
      <w:r w:rsidRPr="00397A3E">
        <w:rPr>
          <w:rFonts w:cs="Arial"/>
          <w:noProof w:val="0"/>
        </w:rPr>
        <w:t>.</w:t>
      </w:r>
    </w:p>
    <w:p w14:paraId="64783CE4" w14:textId="31E49741" w:rsidR="004D3BDE" w:rsidRPr="00397A3E" w:rsidRDefault="00171C91" w:rsidP="004D3BDE">
      <w:pPr>
        <w:rPr>
          <w:rFonts w:cs="Arial"/>
          <w:noProof w:val="0"/>
        </w:rPr>
      </w:pPr>
      <w:r w:rsidRPr="00397A3E">
        <w:rPr>
          <w:rFonts w:cs="Arial"/>
          <w:noProof w:val="0"/>
        </w:rPr>
        <w:t>Monte Carlo simulation was used to evaluate different methods for 95</w:t>
      </w:r>
      <w:r w:rsidRPr="00397A3E">
        <w:rPr>
          <w:rFonts w:cs="Arial"/>
          <w:noProof w:val="0"/>
          <w:vertAlign w:val="superscript"/>
        </w:rPr>
        <w:t>th</w:t>
      </w:r>
      <w:r w:rsidRPr="00397A3E">
        <w:rPr>
          <w:rFonts w:cs="Arial"/>
          <w:noProof w:val="0"/>
        </w:rPr>
        <w:t xml:space="preserve"> percentile calculations on randomly generated datasets from the reference lognormal distribution (95th%ile = 200, log10 SD = 0.81) with simulations run from sample sizes 8 to 100 - all values below 10 were </w:t>
      </w:r>
      <w:r w:rsidR="001B3DDF" w:rsidRPr="00397A3E">
        <w:rPr>
          <w:rFonts w:cs="Arial"/>
          <w:noProof w:val="0"/>
        </w:rPr>
        <w:t>treated</w:t>
      </w:r>
      <w:r w:rsidRPr="00397A3E">
        <w:rPr>
          <w:rFonts w:cs="Arial"/>
          <w:noProof w:val="0"/>
        </w:rPr>
        <w:t xml:space="preserve"> as censored.</w:t>
      </w:r>
    </w:p>
    <w:p w14:paraId="786592B7" w14:textId="77777777" w:rsidR="004D3BDE" w:rsidRPr="005903C7" w:rsidRDefault="004D3BDE" w:rsidP="00860D17">
      <w:pPr>
        <w:rPr>
          <w:rFonts w:cs="Arial"/>
          <w:noProof w:val="0"/>
        </w:rPr>
      </w:pPr>
    </w:p>
    <w:p w14:paraId="1C857A62" w14:textId="3EBB35C0" w:rsidR="000A3880" w:rsidRPr="00CD7146" w:rsidRDefault="00171C91" w:rsidP="00860D17">
      <w:pPr>
        <w:rPr>
          <w:rFonts w:cs="Arial"/>
          <w:i/>
          <w:iCs/>
          <w:noProof w:val="0"/>
        </w:rPr>
      </w:pPr>
      <w:r w:rsidRPr="00CD7146">
        <w:rPr>
          <w:rFonts w:cs="Arial"/>
          <w:i/>
          <w:iCs/>
          <w:noProof w:val="0"/>
        </w:rPr>
        <w:t>J30:</w:t>
      </w:r>
      <w:r w:rsidRPr="00CD7146">
        <w:rPr>
          <w:rFonts w:cs="Arial"/>
          <w:i/>
          <w:iCs/>
          <w:noProof w:val="0"/>
        </w:rPr>
        <w:fldChar w:fldCharType="begin"/>
      </w:r>
      <w:r w:rsidR="00F84CE9" w:rsidRPr="00CD7146">
        <w:rPr>
          <w:rFonts w:cs="Arial"/>
          <w:i/>
          <w:iCs/>
          <w:noProof w:val="0"/>
        </w:rPr>
        <w:instrText xml:space="preserve"> ADDIN ZOTERO_ITEM CSL_CITATION {"citationID":"D9u1huHu","properties":{"custom":"Robins, Farkas, et al., (2019)","formattedCitation":"Robins, Farkas, et al., (2019)","plainCitation":"Robins, Farkas, et al., (2019)","noteIndex":0},"citationItems":[{"id":12627,"uris":["http://zotero.org/users/148142/items/TNZSNJDD"],"uri":["http://zotero.org/users/148142/items/TNZSNJDD"],"itemData":{"id":12627,"type":"article-journal","archive":"Scopus","container-title":"Environment International","DOI":"10.1016/j.envint.2019.02.042","page":"430-442","title":"Viral dispersal in the coastal zone: A method to quantify water quality risk","URL":"https://www.scopus.com/inward/record.uri?eid=2-s2.0-85062216772&amp;doi=10.1016%2fj.envint.2019.02.042&amp;partnerID=40&amp;md5=72fcd9a789a4b4dd475a16a0e31978dc","volume":"126","author":[{"family":"Robins","given":"P. E."},{"family":"Farkas","given":"K."},{"family":"Cooper","given":"D."},{"family":"Malham","given":"S. K."},{"family":"Jones","given":"D. L."}],"issued":{"date-parts":[["2019"]]}}}],"schema":"https://github.com/citation-style-language/schema/raw/master/csl-citation.json"} </w:instrText>
      </w:r>
      <w:r w:rsidRPr="00CD7146">
        <w:rPr>
          <w:rFonts w:cs="Arial"/>
          <w:i/>
          <w:iCs/>
          <w:noProof w:val="0"/>
        </w:rPr>
        <w:fldChar w:fldCharType="separate"/>
      </w:r>
      <w:r w:rsidRPr="00CD7146">
        <w:rPr>
          <w:rFonts w:cs="Arial"/>
          <w:i/>
          <w:iCs/>
          <w:noProof w:val="0"/>
        </w:rPr>
        <w:t>Robins, Farkas, et al., (2019)</w:t>
      </w:r>
      <w:r w:rsidRPr="00CD7146">
        <w:rPr>
          <w:rFonts w:cs="Arial"/>
          <w:i/>
          <w:iCs/>
          <w:noProof w:val="0"/>
        </w:rPr>
        <w:fldChar w:fldCharType="end"/>
      </w:r>
      <w:r w:rsidRPr="00CD7146">
        <w:rPr>
          <w:rFonts w:cs="Arial"/>
          <w:i/>
          <w:iCs/>
          <w:noProof w:val="0"/>
        </w:rPr>
        <w:t xml:space="preserve"> Viral dispersal in the coastal zone: A method to quantify water quality risk</w:t>
      </w:r>
      <w:r w:rsidR="00AF4A48" w:rsidRPr="00CD7146">
        <w:rPr>
          <w:rFonts w:cs="Arial"/>
          <w:i/>
          <w:iCs/>
          <w:noProof w:val="0"/>
        </w:rPr>
        <w:t>.</w:t>
      </w:r>
      <w:r w:rsidR="00860D17" w:rsidRPr="00CD7146">
        <w:rPr>
          <w:rFonts w:cs="Arial"/>
          <w:i/>
          <w:iCs/>
          <w:noProof w:val="0"/>
        </w:rPr>
        <w:t xml:space="preserve"> (Qualitative research)</w:t>
      </w:r>
      <w:r w:rsidRPr="00CD7146">
        <w:rPr>
          <w:rFonts w:cs="Arial"/>
          <w:i/>
          <w:iCs/>
          <w:noProof w:val="0"/>
        </w:rPr>
        <w:t xml:space="preserve">. </w:t>
      </w:r>
    </w:p>
    <w:p w14:paraId="14DB79E8" w14:textId="77777777" w:rsidR="002D7EEA" w:rsidRPr="00397A3E" w:rsidRDefault="00171C91" w:rsidP="00E07BBA">
      <w:pPr>
        <w:rPr>
          <w:rFonts w:cs="Arial"/>
          <w:noProof w:val="0"/>
        </w:rPr>
      </w:pPr>
      <w:r w:rsidRPr="00397A3E">
        <w:rPr>
          <w:rFonts w:cs="Arial"/>
          <w:noProof w:val="0"/>
        </w:rPr>
        <w:t>The study aim was to investigate the relative importance of some of the key processes influencing viral dispersal through a river-estuary-coast system by applying a hydrodynamic model to simulate fluxes at a national monitoring site (Conwy estuary, North Wales, UK).</w:t>
      </w:r>
    </w:p>
    <w:p w14:paraId="1B5779C9" w14:textId="4047649A" w:rsidR="005225F7" w:rsidRPr="00397A3E" w:rsidRDefault="00171C91" w:rsidP="00E07BBA">
      <w:pPr>
        <w:rPr>
          <w:rFonts w:cs="Arial"/>
          <w:noProof w:val="0"/>
        </w:rPr>
      </w:pPr>
      <w:r w:rsidRPr="00397A3E">
        <w:rPr>
          <w:rFonts w:cs="Arial"/>
          <w:noProof w:val="0"/>
        </w:rPr>
        <w:t xml:space="preserve">The authors developed a river-estuary-coast hydraulic model to simulate virus dispersal, driven by point source discharges and river flows in combination with tidal forcing. </w:t>
      </w:r>
      <w:r w:rsidR="00013AA7" w:rsidRPr="00397A3E">
        <w:rPr>
          <w:rFonts w:cs="Arial"/>
          <w:noProof w:val="0"/>
        </w:rPr>
        <w:t xml:space="preserve"> </w:t>
      </w:r>
      <w:r w:rsidRPr="00397A3E">
        <w:rPr>
          <w:rFonts w:cs="Arial"/>
          <w:noProof w:val="0"/>
        </w:rPr>
        <w:t xml:space="preserve">Viral inputs were based on measured wastewater adenovirus concentrations and the model was implemented with or without viral die-off. </w:t>
      </w:r>
    </w:p>
    <w:p w14:paraId="42E064F7" w14:textId="298B6844" w:rsidR="002D7EEA" w:rsidRPr="00397A3E" w:rsidRDefault="00171C91" w:rsidP="00E07BBA">
      <w:pPr>
        <w:rPr>
          <w:rFonts w:cs="Arial"/>
          <w:noProof w:val="0"/>
        </w:rPr>
      </w:pPr>
      <w:r w:rsidRPr="00397A3E">
        <w:rPr>
          <w:rFonts w:cs="Arial"/>
          <w:noProof w:val="0"/>
        </w:rPr>
        <w:t xml:space="preserve">The model was applied to the Conwy </w:t>
      </w:r>
      <w:r w:rsidR="001B3DDF" w:rsidRPr="00397A3E">
        <w:rPr>
          <w:rFonts w:cs="Arial"/>
          <w:noProof w:val="0"/>
        </w:rPr>
        <w:t>River</w:t>
      </w:r>
      <w:r w:rsidRPr="00397A3E">
        <w:rPr>
          <w:rFonts w:cs="Arial"/>
          <w:noProof w:val="0"/>
        </w:rPr>
        <w:t xml:space="preserve"> through the estuary, to the Irish Sea coast where bathing waters and shellfisheries are known to be prone to viral contamination.</w:t>
      </w:r>
    </w:p>
    <w:p w14:paraId="28250194" w14:textId="77777777" w:rsidR="005225F7" w:rsidRPr="00397A3E" w:rsidRDefault="00171C91" w:rsidP="002D7EEA">
      <w:pPr>
        <w:rPr>
          <w:rFonts w:cs="Arial"/>
          <w:noProof w:val="0"/>
        </w:rPr>
      </w:pPr>
      <w:r w:rsidRPr="00397A3E">
        <w:rPr>
          <w:rFonts w:cs="Arial"/>
          <w:noProof w:val="0"/>
        </w:rPr>
        <w:t>Five scenarios are described for modelling.  These address factors such as dispersal, dilution, tide and include a worst case scenario.  The scenarios were:</w:t>
      </w:r>
    </w:p>
    <w:p w14:paraId="3BB02E26" w14:textId="77777777" w:rsidR="005225F7" w:rsidRPr="00397A3E" w:rsidRDefault="00171C91" w:rsidP="00013AA7">
      <w:pPr>
        <w:ind w:left="720"/>
        <w:contextualSpacing/>
        <w:rPr>
          <w:rFonts w:cs="Arial"/>
          <w:noProof w:val="0"/>
        </w:rPr>
      </w:pPr>
      <w:r w:rsidRPr="00397A3E">
        <w:rPr>
          <w:rFonts w:cs="Arial"/>
          <w:noProof w:val="0"/>
        </w:rPr>
        <w:t>Run 1: annual simulation of viral dispersal</w:t>
      </w:r>
    </w:p>
    <w:p w14:paraId="74BF723D" w14:textId="77777777" w:rsidR="005225F7" w:rsidRPr="00397A3E" w:rsidRDefault="00171C91" w:rsidP="00013AA7">
      <w:pPr>
        <w:ind w:left="720"/>
        <w:contextualSpacing/>
        <w:rPr>
          <w:rFonts w:cs="Arial"/>
          <w:noProof w:val="0"/>
        </w:rPr>
      </w:pPr>
      <w:r w:rsidRPr="00397A3E">
        <w:rPr>
          <w:rFonts w:cs="Arial"/>
          <w:noProof w:val="0"/>
        </w:rPr>
        <w:t>Run 2: virus dilution in space</w:t>
      </w:r>
    </w:p>
    <w:p w14:paraId="478E7ED9" w14:textId="77777777" w:rsidR="005225F7" w:rsidRPr="00397A3E" w:rsidRDefault="00171C91" w:rsidP="00013AA7">
      <w:pPr>
        <w:ind w:left="720"/>
        <w:contextualSpacing/>
        <w:rPr>
          <w:rFonts w:cs="Arial"/>
          <w:noProof w:val="0"/>
        </w:rPr>
      </w:pPr>
      <w:r w:rsidRPr="00397A3E">
        <w:rPr>
          <w:rFonts w:cs="Arial"/>
          <w:noProof w:val="0"/>
        </w:rPr>
        <w:t>Run 3: influence of hydrology on viral dispersal</w:t>
      </w:r>
    </w:p>
    <w:p w14:paraId="197FB78A" w14:textId="77777777" w:rsidR="005225F7" w:rsidRPr="00397A3E" w:rsidRDefault="00171C91" w:rsidP="00013AA7">
      <w:pPr>
        <w:ind w:left="720"/>
        <w:contextualSpacing/>
        <w:rPr>
          <w:rFonts w:cs="Arial"/>
          <w:noProof w:val="0"/>
        </w:rPr>
      </w:pPr>
      <w:r w:rsidRPr="00397A3E">
        <w:rPr>
          <w:rFonts w:cs="Arial"/>
          <w:noProof w:val="0"/>
        </w:rPr>
        <w:t>Run 4: influence of the tide on viral dispersal</w:t>
      </w:r>
    </w:p>
    <w:p w14:paraId="2C2BBA0F" w14:textId="40A51E14" w:rsidR="002D7EEA" w:rsidRPr="00397A3E" w:rsidRDefault="00171C91" w:rsidP="00013AA7">
      <w:pPr>
        <w:ind w:left="720"/>
        <w:rPr>
          <w:rFonts w:cs="Arial"/>
          <w:noProof w:val="0"/>
        </w:rPr>
      </w:pPr>
      <w:r w:rsidRPr="00397A3E">
        <w:rPr>
          <w:rFonts w:cs="Arial"/>
          <w:noProof w:val="0"/>
        </w:rPr>
        <w:t>Run 5: worst case scenario</w:t>
      </w:r>
    </w:p>
    <w:p w14:paraId="32EE3879" w14:textId="77777777" w:rsidR="005225F7" w:rsidRPr="00397A3E" w:rsidRDefault="00171C91" w:rsidP="00860D17">
      <w:pPr>
        <w:rPr>
          <w:rFonts w:cs="Arial"/>
          <w:noProof w:val="0"/>
        </w:rPr>
      </w:pPr>
      <w:r w:rsidRPr="00397A3E">
        <w:rPr>
          <w:rFonts w:cs="Arial"/>
          <w:noProof w:val="0"/>
        </w:rPr>
        <w:t xml:space="preserve">Using the suite of scenarios described above, the authors showed that river flow was the primary control of viral export to the coast. </w:t>
      </w:r>
    </w:p>
    <w:p w14:paraId="595D12D3" w14:textId="77777777" w:rsidR="005225F7" w:rsidRPr="00397A3E" w:rsidRDefault="00171C91" w:rsidP="00860D17">
      <w:pPr>
        <w:rPr>
          <w:rFonts w:cs="Arial"/>
          <w:noProof w:val="0"/>
        </w:rPr>
      </w:pPr>
      <w:r w:rsidRPr="00397A3E">
        <w:rPr>
          <w:rFonts w:cs="Arial"/>
          <w:noProof w:val="0"/>
        </w:rPr>
        <w:t xml:space="preserve">Since the Conwy catchment is short and steep, and the estuary is small and river-dominated, short-duration high intensity ‘flash floods’ were shown to transport viruses through the estuary and out to sea, despite dilution or die-off effects. </w:t>
      </w:r>
    </w:p>
    <w:p w14:paraId="32B2D39A" w14:textId="77777777" w:rsidR="005225F7" w:rsidRPr="00397A3E" w:rsidRDefault="00171C91" w:rsidP="00860D17">
      <w:pPr>
        <w:rPr>
          <w:rFonts w:cs="Arial"/>
          <w:noProof w:val="0"/>
        </w:rPr>
      </w:pPr>
      <w:r w:rsidRPr="00397A3E">
        <w:rPr>
          <w:rFonts w:cs="Arial"/>
          <w:noProof w:val="0"/>
        </w:rPr>
        <w:t xml:space="preserve">Duplicating flow events (i.e., storm clustering) did not double the virus export since the virus re-entered the estuary on the flood tide. </w:t>
      </w:r>
    </w:p>
    <w:p w14:paraId="4424676F" w14:textId="77777777" w:rsidR="005225F7" w:rsidRPr="00397A3E" w:rsidRDefault="00171C91" w:rsidP="00860D17">
      <w:pPr>
        <w:rPr>
          <w:rFonts w:cs="Arial"/>
          <w:noProof w:val="0"/>
        </w:rPr>
      </w:pPr>
      <w:r w:rsidRPr="00397A3E">
        <w:rPr>
          <w:rFonts w:cs="Arial"/>
          <w:noProof w:val="0"/>
        </w:rPr>
        <w:t xml:space="preserve">The tidal magnitude and timing of high water relative to peak river flow were also important drivers regulating viral dispersal. </w:t>
      </w:r>
    </w:p>
    <w:p w14:paraId="34E8DA92" w14:textId="43A0E644" w:rsidR="00222C7A" w:rsidRPr="00397A3E" w:rsidRDefault="00171C91" w:rsidP="00860D17">
      <w:pPr>
        <w:rPr>
          <w:rFonts w:cs="Arial"/>
          <w:noProof w:val="0"/>
        </w:rPr>
      </w:pPr>
      <w:r w:rsidRPr="00397A3E">
        <w:rPr>
          <w:rFonts w:cs="Arial"/>
          <w:noProof w:val="0"/>
        </w:rPr>
        <w:t>A worst case event simulation (i.e., combining high river flows with high viral loading and high spring tide) resulted in increased concentrations of virus at nearby coasts, although the spatial spread was similar to the previous scenarios.</w:t>
      </w:r>
    </w:p>
    <w:p w14:paraId="687298FE" w14:textId="29FA68E1" w:rsidR="002D7EEA" w:rsidRPr="00397A3E" w:rsidRDefault="00171C91" w:rsidP="00860D17">
      <w:pPr>
        <w:rPr>
          <w:rFonts w:cs="Arial"/>
          <w:noProof w:val="0"/>
        </w:rPr>
      </w:pPr>
      <w:r w:rsidRPr="00397A3E">
        <w:rPr>
          <w:rFonts w:cs="Arial"/>
          <w:noProof w:val="0"/>
        </w:rPr>
        <w:t>The study applies to small, well-mixed estuaries (reviewer's note: these are common on the NSW coast)</w:t>
      </w:r>
      <w:r w:rsidR="00B33655" w:rsidRPr="00397A3E">
        <w:rPr>
          <w:rFonts w:cs="Arial"/>
          <w:noProof w:val="0"/>
        </w:rPr>
        <w:t>.</w:t>
      </w:r>
    </w:p>
    <w:p w14:paraId="5F995A98" w14:textId="77777777" w:rsidR="009C5D2C" w:rsidRPr="005903C7" w:rsidRDefault="009C5D2C" w:rsidP="00860D17">
      <w:pPr>
        <w:rPr>
          <w:rFonts w:cs="Arial"/>
          <w:noProof w:val="0"/>
        </w:rPr>
      </w:pPr>
    </w:p>
    <w:p w14:paraId="72C51E2B" w14:textId="57304B9D" w:rsidR="000A3880" w:rsidRPr="00397A3E" w:rsidRDefault="00171C91" w:rsidP="00B26B16">
      <w:pPr>
        <w:keepNext/>
        <w:rPr>
          <w:rFonts w:cs="Arial"/>
          <w:i/>
          <w:iCs/>
          <w:noProof w:val="0"/>
        </w:rPr>
      </w:pPr>
      <w:r w:rsidRPr="00397A3E">
        <w:rPr>
          <w:rFonts w:cs="Arial"/>
          <w:i/>
          <w:iCs/>
          <w:noProof w:val="0"/>
        </w:rPr>
        <w:t xml:space="preserve">J34: </w:t>
      </w:r>
      <w:r w:rsidRPr="00397A3E">
        <w:rPr>
          <w:rFonts w:cs="Arial"/>
          <w:i/>
          <w:iCs/>
          <w:noProof w:val="0"/>
        </w:rPr>
        <w:fldChar w:fldCharType="begin"/>
      </w:r>
      <w:r w:rsidR="00F84CE9" w:rsidRPr="00397A3E">
        <w:rPr>
          <w:rFonts w:cs="Arial"/>
          <w:i/>
          <w:iCs/>
          <w:noProof w:val="0"/>
        </w:rPr>
        <w:instrText xml:space="preserve"> ADDIN ZOTERO_ITEM CSL_CITATION {"citationID":"milc3k7W","properties":{"custom":"Russo, Eftim, et al., (2020)","formattedCitation":"Russo, Eftim, et al., (2020)","plainCitation":"Russo, Eftim, et al., (2020)","noteIndex":0},"citationItems":[{"id":12671,"uris":["http://zotero.org/users/148142/items/W56RG33S"],"uri":["http://zotero.org/users/148142/items/W56RG33S"],"itemData":{"id":12671,"type":"article-journal","archive":"Scopus","container-title":"Water Research","DOI":"10.1016/j.watres.2020.115729","title":"Evaluating health risks associated with exposure to ambient surface waters during recreational activities: A systematic review and meta-analysis","URL":"https://www.scopus.com/inward/record.uri?eid=2-s2.0-85082875333&amp;doi=10.1016%2fj.watres.2020.115729&amp;partnerID=40&amp;md5=b8d28f8b8576aa1d50ad124e4649f95f","volume":"176","author":[{"family":"Russo","given":"G. S."},{"family":"Eftim","given":"S. E."},{"family":"Goldstone","given":"A. E."},{"family":"Dufour","given":"A. P."},{"family":"Nappier","given":"S. P."},{"family":"Wade","given":"T. J."}],"issued":{"date-parts":[["2020"]]}}}],"schema":"https://github.com/citation-style-language/schema/raw/master/csl-citation.json"} </w:instrText>
      </w:r>
      <w:r w:rsidRPr="00397A3E">
        <w:rPr>
          <w:rFonts w:cs="Arial"/>
          <w:i/>
          <w:iCs/>
          <w:noProof w:val="0"/>
        </w:rPr>
        <w:fldChar w:fldCharType="separate"/>
      </w:r>
      <w:r w:rsidRPr="00397A3E">
        <w:rPr>
          <w:rFonts w:cs="Arial"/>
          <w:i/>
          <w:iCs/>
          <w:noProof w:val="0"/>
        </w:rPr>
        <w:t>Russo, Eftim, et al., (2020)</w:t>
      </w:r>
      <w:r w:rsidRPr="00397A3E">
        <w:rPr>
          <w:rFonts w:cs="Arial"/>
          <w:i/>
          <w:iCs/>
          <w:noProof w:val="0"/>
        </w:rPr>
        <w:fldChar w:fldCharType="end"/>
      </w:r>
      <w:r w:rsidRPr="00397A3E">
        <w:rPr>
          <w:rFonts w:cs="Arial"/>
          <w:i/>
          <w:iCs/>
          <w:noProof w:val="0"/>
        </w:rPr>
        <w:t xml:space="preserve"> Evaluating health risks associated with exposure to ambient surface waters during recreational activities: A systematic review and meta-analysis</w:t>
      </w:r>
      <w:r w:rsidR="00AF4A48" w:rsidRPr="00397A3E">
        <w:rPr>
          <w:rFonts w:cs="Arial"/>
          <w:i/>
          <w:iCs/>
          <w:noProof w:val="0"/>
        </w:rPr>
        <w:t>.</w:t>
      </w:r>
      <w:r w:rsidR="00860D17" w:rsidRPr="00397A3E">
        <w:rPr>
          <w:rFonts w:cs="Arial"/>
          <w:i/>
          <w:iCs/>
          <w:noProof w:val="0"/>
        </w:rPr>
        <w:t xml:space="preserve"> (Systematic review)</w:t>
      </w:r>
      <w:r w:rsidRPr="00397A3E">
        <w:rPr>
          <w:rFonts w:cs="Arial"/>
          <w:i/>
          <w:iCs/>
          <w:noProof w:val="0"/>
        </w:rPr>
        <w:t>.</w:t>
      </w:r>
    </w:p>
    <w:p w14:paraId="3CC02147" w14:textId="36014983" w:rsidR="007125A1" w:rsidRPr="00397A3E" w:rsidRDefault="00171C91" w:rsidP="004B3C10">
      <w:pPr>
        <w:rPr>
          <w:rFonts w:cs="Arial"/>
          <w:noProof w:val="0"/>
        </w:rPr>
      </w:pPr>
      <w:r w:rsidRPr="00397A3E">
        <w:rPr>
          <w:rFonts w:cs="Arial"/>
          <w:noProof w:val="0"/>
        </w:rPr>
        <w:fldChar w:fldCharType="begin"/>
      </w:r>
      <w:r w:rsidR="0069143F" w:rsidRPr="00397A3E">
        <w:rPr>
          <w:rFonts w:cs="Arial"/>
          <w:noProof w:val="0"/>
        </w:rPr>
        <w:instrText xml:space="preserve"> ADDIN ZOTERO_ITEM CSL_CITATION {"citationID":"JkZkojtO","properties":{"custom":"Russo, Eftim, et al., (2020)","formattedCitation":"Russo, Eftim, et al., (2020)","plainCitation":"Russo, Eftim, et al., (2020)","noteIndex":0},"citationItems":[{"id":12671,"uris":["http://zotero.org/users/148142/items/W56RG33S"],"uri":["http://zotero.org/users/148142/items/W56RG33S"],"itemData":{"id":12671,"type":"article-journal","archive":"Scopus","container-title":"Water Research","DOI":"10.1016/j.watres.2020.115729","title":"Evaluating health risks associated with exposure to ambient surface waters during recreational activities: A systematic review and meta-analysis","URL":"https://www.scopus.com/inward/record.uri?eid=2-s2.0-85082875333&amp;doi=10.1016%2fj.watres.2020.115729&amp;partnerID=40&amp;md5=b8d28f8b8576aa1d50ad124e4649f95f","volume":"176","author":[{"family":"Russo","given":"G. S."},{"family":"Eftim","given":"S. E."},{"family":"Goldstone","given":"A. E."},{"family":"Dufour","given":"A. P."},{"family":"Nappier","given":"S. P."},{"family":"Wade","given":"T. J."}],"issued":{"date-parts":[["2020"]]}}}],"schema":"https://github.com/citation-style-language/schema/raw/master/csl-citation.json"} </w:instrText>
      </w:r>
      <w:r w:rsidRPr="00397A3E">
        <w:rPr>
          <w:rFonts w:cs="Arial"/>
          <w:noProof w:val="0"/>
        </w:rPr>
        <w:fldChar w:fldCharType="separate"/>
      </w:r>
      <w:r w:rsidRPr="00397A3E">
        <w:rPr>
          <w:rFonts w:cs="Arial"/>
          <w:noProof w:val="0"/>
        </w:rPr>
        <w:t>Russo, Eftim, et al., (2020)</w:t>
      </w:r>
      <w:r w:rsidRPr="00397A3E">
        <w:rPr>
          <w:rFonts w:cs="Arial"/>
          <w:noProof w:val="0"/>
        </w:rPr>
        <w:fldChar w:fldCharType="end"/>
      </w:r>
      <w:r w:rsidRPr="00397A3E">
        <w:rPr>
          <w:rFonts w:cs="Arial"/>
          <w:noProof w:val="0"/>
        </w:rPr>
        <w:t xml:space="preserve"> undertook a systematic review and meta-analysis to evaluate the current scientific evidence for differences in risk of illness between recreational activities typically associated with different levels of contact with water. </w:t>
      </w:r>
    </w:p>
    <w:p w14:paraId="44ED979A" w14:textId="6A845866" w:rsidR="007125A1" w:rsidRPr="00397A3E" w:rsidRDefault="00171C91" w:rsidP="004B3C10">
      <w:pPr>
        <w:rPr>
          <w:rFonts w:cs="Arial"/>
          <w:noProof w:val="0"/>
        </w:rPr>
      </w:pPr>
      <w:r w:rsidRPr="00397A3E">
        <w:rPr>
          <w:rFonts w:cs="Arial"/>
          <w:noProof w:val="0"/>
        </w:rPr>
        <w:t>Three objectives were listed:</w:t>
      </w:r>
    </w:p>
    <w:p w14:paraId="7DF666F8" w14:textId="77777777" w:rsidR="007125A1" w:rsidRPr="00397A3E" w:rsidRDefault="00171C91" w:rsidP="007125A1">
      <w:pPr>
        <w:ind w:left="720"/>
        <w:rPr>
          <w:rFonts w:cs="Arial"/>
          <w:noProof w:val="0"/>
        </w:rPr>
      </w:pPr>
      <w:r w:rsidRPr="00397A3E">
        <w:rPr>
          <w:rFonts w:cs="Arial"/>
          <w:noProof w:val="0"/>
        </w:rPr>
        <w:t xml:space="preserve">(1) assess and summarize the scientific literature on the risk of illness associated with different types of recreational activities and different levels of water contact during recreation; </w:t>
      </w:r>
    </w:p>
    <w:p w14:paraId="59E11B74" w14:textId="77777777" w:rsidR="007125A1" w:rsidRPr="00397A3E" w:rsidRDefault="00171C91" w:rsidP="007125A1">
      <w:pPr>
        <w:ind w:left="720"/>
        <w:rPr>
          <w:rFonts w:cs="Arial"/>
          <w:noProof w:val="0"/>
        </w:rPr>
      </w:pPr>
      <w:r w:rsidRPr="00397A3E">
        <w:rPr>
          <w:rFonts w:cs="Arial"/>
          <w:noProof w:val="0"/>
        </w:rPr>
        <w:t xml:space="preserve">(2) quantitatively estimate the pooled risk of illness associated with different categories of recreational activities and levels of water contact; and </w:t>
      </w:r>
    </w:p>
    <w:p w14:paraId="32D1D8B5" w14:textId="70D942B5" w:rsidR="007125A1" w:rsidRPr="00397A3E" w:rsidRDefault="00171C91" w:rsidP="007125A1">
      <w:pPr>
        <w:ind w:left="720"/>
        <w:rPr>
          <w:rFonts w:cs="Arial"/>
          <w:noProof w:val="0"/>
        </w:rPr>
      </w:pPr>
      <w:r w:rsidRPr="00397A3E">
        <w:rPr>
          <w:rFonts w:cs="Arial"/>
          <w:noProof w:val="0"/>
        </w:rPr>
        <w:t>(3) evaluate risk of illness across activity and water contact categories to better understand illness risk associated with different types of recreation in ambient surface waters.</w:t>
      </w:r>
    </w:p>
    <w:p w14:paraId="37737245" w14:textId="0A653734" w:rsidR="007125A1" w:rsidRPr="00397A3E" w:rsidRDefault="00171C91" w:rsidP="004B3C10">
      <w:pPr>
        <w:rPr>
          <w:rFonts w:cs="Arial"/>
          <w:noProof w:val="0"/>
        </w:rPr>
      </w:pPr>
      <w:r w:rsidRPr="00397A3E">
        <w:rPr>
          <w:rFonts w:cs="Arial"/>
          <w:noProof w:val="0"/>
        </w:rPr>
        <w:t>Systematic review of peer-reviewed publications published during or after 1950 as listed in the bibliographic databases PubMed, Web of Science, and TOXLINE</w:t>
      </w:r>
      <w:r w:rsidR="009D2DE9" w:rsidRPr="00397A3E">
        <w:rPr>
          <w:rFonts w:cs="Arial"/>
          <w:noProof w:val="0"/>
        </w:rPr>
        <w:t xml:space="preserve"> located 8,618 potentially relevant studies which were then screened for quantitative measures of risk using inclusion/exclusion criteria established in advance.</w:t>
      </w:r>
    </w:p>
    <w:p w14:paraId="5C09F4EB" w14:textId="21B579D1" w:rsidR="007125A1" w:rsidRPr="00397A3E" w:rsidRDefault="00171C91" w:rsidP="00860D17">
      <w:pPr>
        <w:rPr>
          <w:rFonts w:cs="Arial"/>
          <w:noProof w:val="0"/>
        </w:rPr>
      </w:pPr>
      <w:r w:rsidRPr="00397A3E">
        <w:rPr>
          <w:rFonts w:cs="Arial"/>
          <w:noProof w:val="0"/>
        </w:rPr>
        <w:t>The risk of illness associated with different categories of recreational activities and water contact was quantitatively evaluated by combining the results of multiple studies using meta-analysis.</w:t>
      </w:r>
    </w:p>
    <w:p w14:paraId="46017076" w14:textId="1D5E6F08" w:rsidR="007125A1" w:rsidRPr="00397A3E" w:rsidRDefault="00171C91" w:rsidP="00860D17">
      <w:pPr>
        <w:rPr>
          <w:rFonts w:cs="Arial"/>
          <w:noProof w:val="0"/>
        </w:rPr>
      </w:pPr>
      <w:r w:rsidRPr="00397A3E">
        <w:rPr>
          <w:rFonts w:cs="Arial"/>
          <w:noProof w:val="0"/>
        </w:rPr>
        <w:t>Odds ratios</w:t>
      </w:r>
      <w:r w:rsidR="009D2DE9" w:rsidRPr="00397A3E">
        <w:rPr>
          <w:rFonts w:cs="Arial"/>
          <w:noProof w:val="0"/>
        </w:rPr>
        <w:t xml:space="preserve"> (OR)</w:t>
      </w:r>
      <w:r w:rsidRPr="00397A3E">
        <w:rPr>
          <w:rFonts w:cs="Arial"/>
          <w:noProof w:val="0"/>
        </w:rPr>
        <w:t xml:space="preserve"> were considered to be reasonable estimates of relative risk because the probability of infection due to water-based recreational activities is generally low.</w:t>
      </w:r>
    </w:p>
    <w:p w14:paraId="1319CE88" w14:textId="77777777" w:rsidR="007125A1" w:rsidRPr="00397A3E" w:rsidRDefault="00171C91" w:rsidP="00860D17">
      <w:pPr>
        <w:rPr>
          <w:rFonts w:cs="Arial"/>
          <w:noProof w:val="0"/>
        </w:rPr>
      </w:pPr>
      <w:r w:rsidRPr="00397A3E">
        <w:rPr>
          <w:rFonts w:cs="Arial"/>
          <w:noProof w:val="0"/>
        </w:rPr>
        <w:t>Pooled risk estimates indicated:</w:t>
      </w:r>
    </w:p>
    <w:p w14:paraId="2359A87C" w14:textId="49A286EB" w:rsidR="007125A1" w:rsidRPr="00397A3E" w:rsidRDefault="00171C91" w:rsidP="00764500">
      <w:pPr>
        <w:pStyle w:val="ListParagraph"/>
        <w:numPr>
          <w:ilvl w:val="0"/>
          <w:numId w:val="38"/>
        </w:numPr>
        <w:ind w:left="714" w:hanging="357"/>
        <w:contextualSpacing/>
        <w:rPr>
          <w:noProof w:val="0"/>
          <w:lang w:val="en-AU"/>
        </w:rPr>
      </w:pPr>
      <w:r w:rsidRPr="00397A3E">
        <w:rPr>
          <w:noProof w:val="0"/>
          <w:lang w:val="en-AU"/>
        </w:rPr>
        <w:t>significant elevation of gastrointestinal illness with the recreational activity categories of swimming (</w:t>
      </w:r>
      <w:r w:rsidR="009D2DE9" w:rsidRPr="00397A3E">
        <w:rPr>
          <w:noProof w:val="0"/>
          <w:lang w:val="en-AU"/>
        </w:rPr>
        <w:t xml:space="preserve">OR </w:t>
      </w:r>
      <w:r w:rsidRPr="00397A3E">
        <w:rPr>
          <w:noProof w:val="0"/>
          <w:lang w:val="en-AU"/>
        </w:rPr>
        <w:t>2.19, 95% CI: 1.82, 2.63) and sports-related contact (</w:t>
      </w:r>
      <w:r w:rsidR="009D2DE9" w:rsidRPr="00397A3E">
        <w:rPr>
          <w:noProof w:val="0"/>
          <w:lang w:val="en-AU"/>
        </w:rPr>
        <w:t xml:space="preserve">OR </w:t>
      </w:r>
      <w:r w:rsidRPr="00397A3E">
        <w:rPr>
          <w:noProof w:val="0"/>
          <w:lang w:val="en-AU"/>
        </w:rPr>
        <w:t>2.69, 95% CI: 1.04, 6.92), and</w:t>
      </w:r>
    </w:p>
    <w:p w14:paraId="6A0D17A0" w14:textId="5F87BF9C" w:rsidR="007125A1" w:rsidRPr="00397A3E" w:rsidRDefault="00171C91" w:rsidP="00764500">
      <w:pPr>
        <w:pStyle w:val="ListParagraph"/>
        <w:numPr>
          <w:ilvl w:val="0"/>
          <w:numId w:val="38"/>
        </w:numPr>
        <w:ind w:left="714" w:hanging="357"/>
        <w:contextualSpacing/>
        <w:rPr>
          <w:noProof w:val="0"/>
          <w:lang w:val="en-AU"/>
        </w:rPr>
      </w:pPr>
      <w:r w:rsidRPr="00397A3E">
        <w:rPr>
          <w:noProof w:val="0"/>
          <w:lang w:val="en-AU"/>
        </w:rPr>
        <w:t>nonsignificant elevation of gastrointestinal illness with minimal contact (</w:t>
      </w:r>
      <w:r w:rsidR="009D2DE9" w:rsidRPr="00397A3E">
        <w:rPr>
          <w:noProof w:val="0"/>
          <w:lang w:val="en-AU"/>
        </w:rPr>
        <w:t xml:space="preserve">OR </w:t>
      </w:r>
      <w:r w:rsidRPr="00397A3E">
        <w:rPr>
          <w:noProof w:val="0"/>
          <w:lang w:val="en-AU"/>
        </w:rPr>
        <w:t xml:space="preserve">1.27, 95% CI: 0.74, 2.16). </w:t>
      </w:r>
    </w:p>
    <w:p w14:paraId="01A6AAB0" w14:textId="7AE9E500" w:rsidR="007125A1" w:rsidRPr="00397A3E" w:rsidRDefault="00171C91" w:rsidP="00764500">
      <w:pPr>
        <w:pStyle w:val="ListParagraph"/>
        <w:numPr>
          <w:ilvl w:val="0"/>
          <w:numId w:val="38"/>
        </w:numPr>
        <w:ind w:left="714" w:hanging="357"/>
        <w:contextualSpacing/>
        <w:rPr>
          <w:noProof w:val="0"/>
          <w:lang w:val="en-AU"/>
        </w:rPr>
      </w:pPr>
      <w:r w:rsidRPr="00397A3E">
        <w:rPr>
          <w:noProof w:val="0"/>
          <w:lang w:val="en-AU"/>
        </w:rPr>
        <w:t>significant elevation of respiratory illness with swimming (</w:t>
      </w:r>
      <w:r w:rsidR="009D2DE9" w:rsidRPr="00397A3E">
        <w:rPr>
          <w:noProof w:val="0"/>
          <w:lang w:val="en-AU"/>
        </w:rPr>
        <w:t xml:space="preserve">OR </w:t>
      </w:r>
      <w:r w:rsidRPr="00397A3E">
        <w:rPr>
          <w:noProof w:val="0"/>
          <w:lang w:val="en-AU"/>
        </w:rPr>
        <w:t>1.78, 95% CI: 1.38, 2.29) and sports-related contact (</w:t>
      </w:r>
      <w:r w:rsidR="009D2DE9" w:rsidRPr="00397A3E">
        <w:rPr>
          <w:noProof w:val="0"/>
          <w:lang w:val="en-AU"/>
        </w:rPr>
        <w:t xml:space="preserve">OR </w:t>
      </w:r>
      <w:r w:rsidRPr="00397A3E">
        <w:rPr>
          <w:noProof w:val="0"/>
          <w:lang w:val="en-AU"/>
        </w:rPr>
        <w:t>1.49, 95% CI: 1.00, 2.24), and</w:t>
      </w:r>
    </w:p>
    <w:p w14:paraId="394BCAE0" w14:textId="68157D28" w:rsidR="009C5D2C" w:rsidRPr="00397A3E" w:rsidRDefault="00171C91" w:rsidP="00764500">
      <w:pPr>
        <w:pStyle w:val="ListParagraph"/>
        <w:numPr>
          <w:ilvl w:val="0"/>
          <w:numId w:val="38"/>
        </w:numPr>
        <w:ind w:left="714" w:hanging="357"/>
        <w:contextualSpacing/>
        <w:rPr>
          <w:noProof w:val="0"/>
          <w:lang w:val="en-AU"/>
        </w:rPr>
      </w:pPr>
      <w:r w:rsidRPr="00397A3E">
        <w:rPr>
          <w:noProof w:val="0"/>
          <w:lang w:val="en-AU"/>
        </w:rPr>
        <w:t>no elevation of respiratory illness with minimal contact (</w:t>
      </w:r>
      <w:r w:rsidR="009D2DE9" w:rsidRPr="00397A3E">
        <w:rPr>
          <w:noProof w:val="0"/>
          <w:lang w:val="en-AU"/>
        </w:rPr>
        <w:t xml:space="preserve">OR </w:t>
      </w:r>
      <w:r w:rsidRPr="00397A3E">
        <w:rPr>
          <w:noProof w:val="0"/>
          <w:lang w:val="en-AU"/>
        </w:rPr>
        <w:t>0.90, 95% CI: 0.71, 1.14)</w:t>
      </w:r>
    </w:p>
    <w:p w14:paraId="71B7BE1A" w14:textId="77777777" w:rsidR="007125A1" w:rsidRPr="00397A3E" w:rsidRDefault="00171C91" w:rsidP="00860D17">
      <w:pPr>
        <w:rPr>
          <w:rFonts w:cs="Arial"/>
          <w:noProof w:val="0"/>
        </w:rPr>
      </w:pPr>
      <w:r w:rsidRPr="00397A3E">
        <w:rPr>
          <w:rFonts w:cs="Arial"/>
          <w:noProof w:val="0"/>
        </w:rPr>
        <w:t>The meta-analysis confirmed a strong association between swimming and both gastrointestinal illness (GI) and respiratory illness (RI). Swimming approximately doubles the risk of GI and increases the risk of RI by approximately 75% compared to no-contact controls.</w:t>
      </w:r>
    </w:p>
    <w:p w14:paraId="4753A3CE" w14:textId="77777777" w:rsidR="002B73C6" w:rsidRPr="005903C7" w:rsidRDefault="002B73C6" w:rsidP="00860D17">
      <w:pPr>
        <w:rPr>
          <w:rFonts w:cs="Arial"/>
          <w:noProof w:val="0"/>
        </w:rPr>
      </w:pPr>
    </w:p>
    <w:p w14:paraId="29BC9836" w14:textId="6E8B3E94" w:rsidR="000A3880" w:rsidRPr="00397A3E" w:rsidRDefault="00171C91" w:rsidP="00B26B16">
      <w:pPr>
        <w:keepNext/>
        <w:rPr>
          <w:rFonts w:cs="Arial"/>
          <w:i/>
          <w:iCs/>
          <w:noProof w:val="0"/>
        </w:rPr>
      </w:pPr>
      <w:r w:rsidRPr="00397A3E">
        <w:rPr>
          <w:rFonts w:cs="Arial"/>
          <w:i/>
          <w:iCs/>
          <w:noProof w:val="0"/>
        </w:rPr>
        <w:t xml:space="preserve">J35: </w:t>
      </w:r>
      <w:bookmarkStart w:id="391" w:name="_Hlk94008543"/>
      <w:r w:rsidRPr="00397A3E">
        <w:rPr>
          <w:rFonts w:cs="Arial"/>
          <w:i/>
          <w:iCs/>
          <w:noProof w:val="0"/>
        </w:rPr>
        <w:fldChar w:fldCharType="begin"/>
      </w:r>
      <w:r w:rsidR="00F84CE9" w:rsidRPr="00397A3E">
        <w:rPr>
          <w:rFonts w:cs="Arial"/>
          <w:i/>
          <w:iCs/>
          <w:noProof w:val="0"/>
        </w:rPr>
        <w:instrText xml:space="preserve"> ADDIN ZOTERO_ITEM CSL_CITATION {"citationID":"cY3851Xd","properties":{"custom":"Schoen, Boehm, et al., (2020)","formattedCitation":"Schoen, Boehm, et al., (2020)","plainCitation":"Schoen, Boehm, et al., (2020)","noteIndex":0},"citationItems":[{"id":13550,"uris":["http://zotero.org/users/148142/items/YHHTP6FN"],"uri":["http://zotero.org/users/148142/items/YHHTP6FN"],"itemData":{"id":13550,"type":"article-journal","abstract":"Fecal pollution at beaches can pose a health risk to recreators. Quantitative Microbial Risk Assessment (QMRA) is a tool to evaluate the use of candidate fecal indicators to signify health risk from enteric pathogens in sewage-impacted waters. We extend the QMRA approach to model mixtures of sewage at different ages using genetic marker concentrations for human-associated crAssphage, Bacteroides spp., and polyomavirus in sewage samples from 49 wastewater facilities across the contiguous United States. Risk-based threshold (RBT) estimates varied across different mixture and sewage age scenarios. Fresh sewage RBT estimates were not always protective when aged sewage was present and aged sewage RBT estimates often fell below the marker lower limit of quantification. Conservative RBT estimates of 9.3×102 and 9.1×103 (copies/100 mL) for HF183/BacR287 and CPQ_056, respectively, were predicted when fresh sewage was greater (by volume) than aged at the time of measurement. Conversely, genetic markers may not be effective indicators when aged sewage contributes the majority of pathogens, relative to fresh contamination, but minimal marker levels. Results highlight the utility of QMRA that incorporates pollutant age and mixture scenarios, the potential advantages of a crAssphage fecal indicator, and the potential influence of site-specific factors on estimating RBT values.","container-title":"Environmental Science &amp; Technology","DOI":"10.1021/acs.est.0c02189","ISSN":"1520-5851","journalAbbreviation":"Environ. Sci. Technol.","language":"eng","source":"PubMed","title":"Contamination scenario matters when using viral and bacterial human-associated genetic markers as indicators of health risk in untreated sewage-impacted recreational waters","URL":"http://www.ncbi.nlm.nih.gov/pubmed/32969642","author":[{"family":"Schoen","given":"Mary E."},{"family":"Boehm","given":"Alexandria B."},{"family":"Soller","given":"Jeffrey"},{"family":"Shanks","given":"Orin C."}],"issued":{"date-parts":[["2020",9,24]]}}}],"schema":"https://github.com/citation-style-language/schema/raw/master/csl-citation.json"} </w:instrText>
      </w:r>
      <w:r w:rsidRPr="00397A3E">
        <w:rPr>
          <w:rFonts w:cs="Arial"/>
          <w:i/>
          <w:iCs/>
          <w:noProof w:val="0"/>
        </w:rPr>
        <w:fldChar w:fldCharType="separate"/>
      </w:r>
      <w:r w:rsidRPr="00397A3E">
        <w:rPr>
          <w:rFonts w:cs="Arial"/>
          <w:i/>
          <w:iCs/>
          <w:noProof w:val="0"/>
        </w:rPr>
        <w:t>Schoen, Boehm, et al., (2020)</w:t>
      </w:r>
      <w:r w:rsidRPr="00397A3E">
        <w:rPr>
          <w:rFonts w:cs="Arial"/>
          <w:i/>
          <w:iCs/>
          <w:noProof w:val="0"/>
        </w:rPr>
        <w:fldChar w:fldCharType="end"/>
      </w:r>
      <w:bookmarkEnd w:id="391"/>
      <w:r w:rsidRPr="00397A3E">
        <w:rPr>
          <w:rFonts w:cs="Arial"/>
          <w:i/>
          <w:iCs/>
          <w:noProof w:val="0"/>
        </w:rPr>
        <w:t xml:space="preserve"> Contamination scenario matters when using viral and bacterial human-associated genetic markers as indicators of health risk in untreated sewage-impacted recreational waters</w:t>
      </w:r>
      <w:r w:rsidR="00AF4A48" w:rsidRPr="00397A3E">
        <w:rPr>
          <w:rFonts w:cs="Arial"/>
          <w:i/>
          <w:iCs/>
          <w:noProof w:val="0"/>
        </w:rPr>
        <w:t>.</w:t>
      </w:r>
      <w:r w:rsidR="00860D17" w:rsidRPr="00397A3E">
        <w:rPr>
          <w:rFonts w:cs="Arial"/>
          <w:i/>
          <w:iCs/>
          <w:noProof w:val="0"/>
        </w:rPr>
        <w:t xml:space="preserve"> (Qualitative research)</w:t>
      </w:r>
      <w:r w:rsidRPr="00397A3E">
        <w:rPr>
          <w:rFonts w:cs="Arial"/>
          <w:i/>
          <w:iCs/>
          <w:noProof w:val="0"/>
        </w:rPr>
        <w:t>.</w:t>
      </w:r>
    </w:p>
    <w:p w14:paraId="2C323CCA" w14:textId="18D0133A" w:rsidR="00990E55" w:rsidRPr="00397A3E" w:rsidRDefault="00171C91" w:rsidP="006E438B">
      <w:pPr>
        <w:rPr>
          <w:rFonts w:cs="Arial"/>
          <w:noProof w:val="0"/>
        </w:rPr>
      </w:pPr>
      <w:r w:rsidRPr="00397A3E">
        <w:rPr>
          <w:rFonts w:cs="Arial"/>
          <w:noProof w:val="0"/>
        </w:rPr>
        <w:t xml:space="preserve">The aim of the study </w:t>
      </w:r>
      <w:r w:rsidR="0064622F" w:rsidRPr="00397A3E">
        <w:rPr>
          <w:rFonts w:cs="Arial"/>
          <w:noProof w:val="0"/>
        </w:rPr>
        <w:t>was</w:t>
      </w:r>
      <w:r w:rsidRPr="00397A3E">
        <w:rPr>
          <w:rFonts w:cs="Arial"/>
          <w:noProof w:val="0"/>
        </w:rPr>
        <w:t xml:space="preserve"> to </w:t>
      </w:r>
      <w:bookmarkStart w:id="392" w:name="_Hlk94008524"/>
      <w:r w:rsidRPr="00397A3E">
        <w:rPr>
          <w:rFonts w:cs="Arial"/>
          <w:noProof w:val="0"/>
        </w:rPr>
        <w:t>extend the QMRA approach to model</w:t>
      </w:r>
      <w:r w:rsidR="0028189F" w:rsidRPr="00397A3E">
        <w:rPr>
          <w:rFonts w:cs="Arial"/>
          <w:noProof w:val="0"/>
        </w:rPr>
        <w:t xml:space="preserve"> the effects of sewage age on GI risk-based thresholds (RBT) using</w:t>
      </w:r>
      <w:r w:rsidRPr="00397A3E">
        <w:rPr>
          <w:rFonts w:cs="Arial"/>
          <w:noProof w:val="0"/>
        </w:rPr>
        <w:t xml:space="preserve"> mixtures of sewage at different ages </w:t>
      </w:r>
      <w:r w:rsidR="0028189F" w:rsidRPr="00397A3E">
        <w:rPr>
          <w:rFonts w:cs="Arial"/>
          <w:noProof w:val="0"/>
        </w:rPr>
        <w:t>and</w:t>
      </w:r>
      <w:r w:rsidRPr="00397A3E">
        <w:rPr>
          <w:rFonts w:cs="Arial"/>
          <w:noProof w:val="0"/>
        </w:rPr>
        <w:t xml:space="preserve"> genetic marker concentrations for human associated crAssphage, </w:t>
      </w:r>
      <w:r w:rsidRPr="00397A3E">
        <w:rPr>
          <w:rFonts w:cs="Arial"/>
          <w:i/>
          <w:iCs/>
          <w:noProof w:val="0"/>
        </w:rPr>
        <w:t>Bacteroides</w:t>
      </w:r>
      <w:r w:rsidRPr="00397A3E">
        <w:rPr>
          <w:rFonts w:cs="Arial"/>
          <w:noProof w:val="0"/>
        </w:rPr>
        <w:t xml:space="preserve"> spp., and polyomavirus</w:t>
      </w:r>
      <w:bookmarkEnd w:id="392"/>
      <w:r w:rsidR="0028189F" w:rsidRPr="00397A3E">
        <w:rPr>
          <w:rFonts w:cs="Arial"/>
          <w:noProof w:val="0"/>
        </w:rPr>
        <w:t>. S</w:t>
      </w:r>
      <w:r w:rsidRPr="00397A3E">
        <w:rPr>
          <w:rFonts w:cs="Arial"/>
          <w:noProof w:val="0"/>
        </w:rPr>
        <w:t xml:space="preserve">ewage samples </w:t>
      </w:r>
      <w:r w:rsidR="0028189F" w:rsidRPr="00397A3E">
        <w:rPr>
          <w:rFonts w:cs="Arial"/>
          <w:noProof w:val="0"/>
        </w:rPr>
        <w:t xml:space="preserve">were obtained </w:t>
      </w:r>
      <w:r w:rsidRPr="00397A3E">
        <w:rPr>
          <w:rFonts w:cs="Arial"/>
          <w:noProof w:val="0"/>
        </w:rPr>
        <w:t>from 49 wastewater facilities across the contiguous United States.</w:t>
      </w:r>
    </w:p>
    <w:p w14:paraId="71BDC9B1" w14:textId="498FEE3F" w:rsidR="00990E55" w:rsidRPr="00397A3E" w:rsidRDefault="00171C91" w:rsidP="006E438B">
      <w:pPr>
        <w:rPr>
          <w:rFonts w:cs="Arial"/>
          <w:noProof w:val="0"/>
        </w:rPr>
      </w:pPr>
      <w:r w:rsidRPr="00397A3E">
        <w:rPr>
          <w:rFonts w:cs="Arial"/>
          <w:noProof w:val="0"/>
        </w:rPr>
        <w:t xml:space="preserve">Reference </w:t>
      </w:r>
      <w:r w:rsidR="008110EA" w:rsidRPr="00397A3E">
        <w:rPr>
          <w:rFonts w:cs="Arial"/>
          <w:noProof w:val="0"/>
        </w:rPr>
        <w:t>enteric pathogens were</w:t>
      </w:r>
      <w:r w:rsidRPr="00397A3E">
        <w:rPr>
          <w:rFonts w:cs="Arial"/>
          <w:i/>
          <w:iCs/>
          <w:noProof w:val="0"/>
        </w:rPr>
        <w:t xml:space="preserve"> Salmonella enterica, Campylobacter, E. coli</w:t>
      </w:r>
      <w:r w:rsidRPr="00397A3E">
        <w:rPr>
          <w:rFonts w:cs="Arial"/>
          <w:noProof w:val="0"/>
        </w:rPr>
        <w:t xml:space="preserve"> O157:H7, </w:t>
      </w:r>
      <w:r w:rsidRPr="00397A3E">
        <w:rPr>
          <w:rFonts w:cs="Arial"/>
          <w:i/>
          <w:iCs/>
          <w:noProof w:val="0"/>
        </w:rPr>
        <w:t>Cryptosporidium, Giardia,</w:t>
      </w:r>
      <w:r w:rsidRPr="00397A3E">
        <w:rPr>
          <w:rFonts w:cs="Arial"/>
          <w:noProof w:val="0"/>
        </w:rPr>
        <w:t xml:space="preserve"> norovirus, adenovirus.</w:t>
      </w:r>
    </w:p>
    <w:p w14:paraId="6C3F5096" w14:textId="34A21BFC" w:rsidR="00990E55" w:rsidRPr="00397A3E" w:rsidRDefault="00171C91" w:rsidP="006E438B">
      <w:pPr>
        <w:rPr>
          <w:rFonts w:cs="Arial"/>
          <w:noProof w:val="0"/>
        </w:rPr>
      </w:pPr>
      <w:r w:rsidRPr="00397A3E">
        <w:rPr>
          <w:rFonts w:cs="Arial"/>
          <w:noProof w:val="0"/>
        </w:rPr>
        <w:t>Genetic markers</w:t>
      </w:r>
      <w:r w:rsidR="008110EA" w:rsidRPr="00397A3E">
        <w:rPr>
          <w:rFonts w:cs="Arial"/>
          <w:noProof w:val="0"/>
        </w:rPr>
        <w:t xml:space="preserve"> were</w:t>
      </w:r>
      <w:r w:rsidRPr="00397A3E">
        <w:rPr>
          <w:rFonts w:cs="Arial"/>
          <w:noProof w:val="0"/>
        </w:rPr>
        <w:t xml:space="preserve"> crAssphage (CPQ_056), human-associated </w:t>
      </w:r>
      <w:r w:rsidRPr="00397A3E">
        <w:rPr>
          <w:rFonts w:cs="Arial"/>
          <w:i/>
          <w:iCs/>
          <w:noProof w:val="0"/>
        </w:rPr>
        <w:t>Bacteroides</w:t>
      </w:r>
      <w:r w:rsidRPr="00397A3E">
        <w:rPr>
          <w:rFonts w:cs="Arial"/>
          <w:noProof w:val="0"/>
        </w:rPr>
        <w:t xml:space="preserve"> spp. (HF183/BacR287 and HumM2) and human polyomavirus (HPyV)</w:t>
      </w:r>
      <w:r w:rsidR="008110EA" w:rsidRPr="00397A3E">
        <w:rPr>
          <w:rFonts w:cs="Arial"/>
          <w:noProof w:val="0"/>
        </w:rPr>
        <w:t>.</w:t>
      </w:r>
    </w:p>
    <w:p w14:paraId="24A7FA89" w14:textId="1C627C4B" w:rsidR="00990E55" w:rsidRPr="00397A3E" w:rsidRDefault="00171C91" w:rsidP="006E438B">
      <w:pPr>
        <w:rPr>
          <w:rFonts w:cs="Arial"/>
          <w:noProof w:val="0"/>
        </w:rPr>
      </w:pPr>
      <w:r w:rsidRPr="00397A3E">
        <w:rPr>
          <w:rFonts w:cs="Arial"/>
          <w:noProof w:val="0"/>
        </w:rPr>
        <w:t>QMRA was used to estimate the respective genetic marker concentration in untreated sewage-impacted recreational water that corresponds to the US</w:t>
      </w:r>
      <w:r w:rsidR="00856479">
        <w:rPr>
          <w:rFonts w:cs="Arial"/>
          <w:noProof w:val="0"/>
        </w:rPr>
        <w:t xml:space="preserve"> </w:t>
      </w:r>
      <w:r w:rsidRPr="00397A3E">
        <w:rPr>
          <w:rFonts w:cs="Arial"/>
          <w:noProof w:val="0"/>
        </w:rPr>
        <w:t xml:space="preserve">EPA benchmark of </w:t>
      </w:r>
      <w:r w:rsidRPr="00397A3E">
        <w:rPr>
          <w:rFonts w:ascii="Cambria Math" w:hAnsi="Cambria Math" w:cs="Cambria Math"/>
          <w:noProof w:val="0"/>
        </w:rPr>
        <w:t>∼</w:t>
      </w:r>
      <w:r w:rsidRPr="00397A3E">
        <w:rPr>
          <w:rFonts w:cs="Arial"/>
          <w:noProof w:val="0"/>
        </w:rPr>
        <w:t>32 illnesses per 1000 swimmers</w:t>
      </w:r>
      <w:r w:rsidR="008110EA" w:rsidRPr="00397A3E">
        <w:rPr>
          <w:rFonts w:cs="Arial"/>
          <w:noProof w:val="0"/>
        </w:rPr>
        <w:t>,</w:t>
      </w:r>
      <w:r w:rsidRPr="00397A3E">
        <w:rPr>
          <w:rFonts w:cs="Arial"/>
          <w:noProof w:val="0"/>
        </w:rPr>
        <w:t xml:space="preserve"> referred to as an RBT in this study.</w:t>
      </w:r>
    </w:p>
    <w:p w14:paraId="0B47123C" w14:textId="77777777" w:rsidR="00990E55" w:rsidRPr="00397A3E" w:rsidRDefault="00171C91" w:rsidP="006E438B">
      <w:pPr>
        <w:rPr>
          <w:rFonts w:cs="Arial"/>
          <w:noProof w:val="0"/>
        </w:rPr>
      </w:pPr>
      <w:r w:rsidRPr="00397A3E">
        <w:rPr>
          <w:rFonts w:cs="Arial"/>
          <w:noProof w:val="0"/>
        </w:rPr>
        <w:t>Risk-based threshold (RBT) estimates varied across different mixture and sewage age scenarios. Fresh sewage RBT estimates were not always protective when aged sewage was present, and aged sewage RBT estimates often fell below the marker lower limit of quantification. Conservative RBT estimates of 9.3 × 10</w:t>
      </w:r>
      <w:r w:rsidRPr="00397A3E">
        <w:rPr>
          <w:rFonts w:cs="Arial"/>
          <w:noProof w:val="0"/>
          <w:vertAlign w:val="superscript"/>
        </w:rPr>
        <w:t>2</w:t>
      </w:r>
      <w:r w:rsidRPr="00397A3E">
        <w:rPr>
          <w:rFonts w:cs="Arial"/>
          <w:noProof w:val="0"/>
        </w:rPr>
        <w:t xml:space="preserve"> and 9.1 × 10</w:t>
      </w:r>
      <w:r w:rsidRPr="00397A3E">
        <w:rPr>
          <w:rFonts w:cs="Arial"/>
          <w:noProof w:val="0"/>
          <w:vertAlign w:val="superscript"/>
        </w:rPr>
        <w:t>3</w:t>
      </w:r>
      <w:r w:rsidRPr="00397A3E">
        <w:rPr>
          <w:rFonts w:cs="Arial"/>
          <w:noProof w:val="0"/>
        </w:rPr>
        <w:t xml:space="preserve"> (copies/100 mL) for HF183/BacR287 and CPQ_056, respectively, were predicted when fresh sewage was greater (by volume) than aged at the time of measurement.</w:t>
      </w:r>
    </w:p>
    <w:p w14:paraId="5C43EA85" w14:textId="6325A512" w:rsidR="000A72F5" w:rsidRPr="00397A3E" w:rsidRDefault="00171C91" w:rsidP="000A72F5">
      <w:pPr>
        <w:rPr>
          <w:rFonts w:cs="Arial"/>
          <w:noProof w:val="0"/>
        </w:rPr>
      </w:pPr>
      <w:r w:rsidRPr="00397A3E">
        <w:rPr>
          <w:rFonts w:cs="Arial"/>
          <w:noProof w:val="0"/>
        </w:rPr>
        <w:t xml:space="preserve">The human-associated genetic markers considered in the study varied in abundance in raw sewage and exhibit a range of reported decay rate constants. CrAssphage, a putative </w:t>
      </w:r>
      <w:r w:rsidRPr="00397A3E">
        <w:rPr>
          <w:rFonts w:cs="Arial"/>
          <w:i/>
          <w:iCs/>
          <w:noProof w:val="0"/>
        </w:rPr>
        <w:t>Bacteroides</w:t>
      </w:r>
      <w:r w:rsidRPr="00397A3E">
        <w:rPr>
          <w:rFonts w:cs="Arial"/>
          <w:noProof w:val="0"/>
        </w:rPr>
        <w:t xml:space="preserve"> spp. bacteriophage, showed potential as an effective indicator since it had the lowest reported decay rate constant and was one of the most abundant human-associated genetic markers considered in the study.</w:t>
      </w:r>
    </w:p>
    <w:p w14:paraId="459EFE08" w14:textId="6DBB848C" w:rsidR="00990E55" w:rsidRPr="00397A3E" w:rsidRDefault="00171C91" w:rsidP="00860D17">
      <w:pPr>
        <w:rPr>
          <w:rFonts w:cs="Arial"/>
          <w:noProof w:val="0"/>
        </w:rPr>
      </w:pPr>
      <w:r w:rsidRPr="00397A3E">
        <w:rPr>
          <w:rFonts w:cs="Arial"/>
          <w:noProof w:val="0"/>
        </w:rPr>
        <w:t xml:space="preserve">Systematic QMRA analyses demonstrated the important relationship between these factors for selecting a robust human-associated genetic marker indicator for surface waters. As untreated sewage ages, differences in genetic marker abundance and decay rate constants become more pronounced, ultimately reducing indicator concentrations below typical analytical </w:t>
      </w:r>
      <w:r w:rsidR="00C701C5" w:rsidRPr="00C701C5">
        <w:rPr>
          <w:rFonts w:cs="Arial"/>
          <w:noProof w:val="0"/>
        </w:rPr>
        <w:t xml:space="preserve">lower limit of quantification </w:t>
      </w:r>
      <w:r w:rsidRPr="00397A3E">
        <w:rPr>
          <w:rFonts w:cs="Arial"/>
          <w:noProof w:val="0"/>
        </w:rPr>
        <w:t>values, thus rendering an indicator ineffective.</w:t>
      </w:r>
    </w:p>
    <w:p w14:paraId="12BF3D02" w14:textId="77777777" w:rsidR="00990E55" w:rsidRPr="005903C7" w:rsidRDefault="00990E55" w:rsidP="00860D17">
      <w:pPr>
        <w:rPr>
          <w:rFonts w:cs="Arial"/>
          <w:noProof w:val="0"/>
        </w:rPr>
      </w:pPr>
    </w:p>
    <w:p w14:paraId="2F36ECC5" w14:textId="40AB7CFE" w:rsidR="000A3880" w:rsidRPr="00397A3E" w:rsidRDefault="00171C91" w:rsidP="00B26B16">
      <w:pPr>
        <w:keepNext/>
        <w:rPr>
          <w:rFonts w:cs="Arial"/>
          <w:i/>
          <w:iCs/>
          <w:noProof w:val="0"/>
        </w:rPr>
      </w:pPr>
      <w:r w:rsidRPr="00397A3E">
        <w:rPr>
          <w:rFonts w:cs="Arial"/>
          <w:i/>
          <w:iCs/>
          <w:noProof w:val="0"/>
        </w:rPr>
        <w:t xml:space="preserve">J36: </w:t>
      </w:r>
      <w:r w:rsidRPr="00397A3E">
        <w:rPr>
          <w:rFonts w:cs="Arial"/>
          <w:i/>
          <w:iCs/>
          <w:noProof w:val="0"/>
        </w:rPr>
        <w:fldChar w:fldCharType="begin"/>
      </w:r>
      <w:r w:rsidR="00F84CE9" w:rsidRPr="00397A3E">
        <w:rPr>
          <w:rFonts w:cs="Arial"/>
          <w:i/>
          <w:iCs/>
          <w:noProof w:val="0"/>
        </w:rPr>
        <w:instrText xml:space="preserve"> ADDIN ZOTERO_ITEM CSL_CITATION {"citationID":"rW3lzXpw","properties":{"custom":"Shrestha and Dorevitch, (2019)","formattedCitation":"Shrestha and Dorevitch, (2019)","plainCitation":"Shrestha and Dorevitch, (2019)","noteIndex":0},"citationItems":[{"id":12632,"uris":["http://zotero.org/users/148142/items/WDBYUYC6"],"uri":["http://zotero.org/users/148142/items/WDBYUYC6"],"itemData":{"id":12632,"type":"article-journal","archive":"Scopus","container-title":"Water Research","DOI":"10.1016/j.watres.2019.03.034","page":"395-403","title":"Evaluation of rapid qPCR method for quantification of E. coli at non-point source impacted Lake Michigan beaches","URL":"https://www.scopus.com/inward/record.uri?eid=2-s2.0-85063941252&amp;doi=10.1016%2fj.watres.2019.03.034&amp;partnerID=40&amp;md5=8d0a3a8e1bd9c65175f11c60ca03b025","volume":"156","author":[{"family":"Shrestha","given":"A."},{"family":"Dorevitch","given":"S."}],"issued":{"date-parts":[["2019"]]}}}],"schema":"https://github.com/citation-style-language/schema/raw/master/csl-citation.json"} </w:instrText>
      </w:r>
      <w:r w:rsidRPr="00397A3E">
        <w:rPr>
          <w:rFonts w:cs="Arial"/>
          <w:i/>
          <w:iCs/>
          <w:noProof w:val="0"/>
        </w:rPr>
        <w:fldChar w:fldCharType="separate"/>
      </w:r>
      <w:r w:rsidRPr="00397A3E">
        <w:rPr>
          <w:rFonts w:cs="Arial"/>
          <w:i/>
          <w:iCs/>
          <w:noProof w:val="0"/>
        </w:rPr>
        <w:t>Shrestha and Dorevitch, (2019)</w:t>
      </w:r>
      <w:r w:rsidRPr="00397A3E">
        <w:rPr>
          <w:rFonts w:cs="Arial"/>
          <w:i/>
          <w:iCs/>
          <w:noProof w:val="0"/>
        </w:rPr>
        <w:fldChar w:fldCharType="end"/>
      </w:r>
      <w:r w:rsidRPr="00397A3E">
        <w:rPr>
          <w:rFonts w:cs="Arial"/>
          <w:i/>
          <w:iCs/>
          <w:noProof w:val="0"/>
        </w:rPr>
        <w:t xml:space="preserve"> Evaluation of rapid qPCR method for quantification of E. coli at non-point source impacted Lake Michigan beaches</w:t>
      </w:r>
      <w:r w:rsidR="00AF4A48" w:rsidRPr="00397A3E">
        <w:rPr>
          <w:rFonts w:cs="Arial"/>
          <w:i/>
          <w:iCs/>
          <w:noProof w:val="0"/>
        </w:rPr>
        <w:t>.</w:t>
      </w:r>
      <w:r w:rsidR="00860D17" w:rsidRPr="00397A3E">
        <w:rPr>
          <w:rFonts w:cs="Arial"/>
          <w:i/>
          <w:iCs/>
          <w:noProof w:val="0"/>
        </w:rPr>
        <w:t xml:space="preserve"> (Qualitative research)</w:t>
      </w:r>
      <w:r w:rsidRPr="00397A3E">
        <w:rPr>
          <w:rFonts w:cs="Arial"/>
          <w:i/>
          <w:iCs/>
          <w:noProof w:val="0"/>
        </w:rPr>
        <w:t>.</w:t>
      </w:r>
    </w:p>
    <w:bookmarkEnd w:id="386"/>
    <w:p w14:paraId="6108484D" w14:textId="4C7CEBE6" w:rsidR="00882021" w:rsidRPr="00397A3E" w:rsidRDefault="00171C91" w:rsidP="00882021">
      <w:pPr>
        <w:rPr>
          <w:noProof w:val="0"/>
        </w:rPr>
      </w:pPr>
      <w:r w:rsidRPr="00397A3E">
        <w:rPr>
          <w:noProof w:val="0"/>
        </w:rPr>
        <w:fldChar w:fldCharType="begin"/>
      </w:r>
      <w:r w:rsidR="0069143F" w:rsidRPr="00397A3E">
        <w:rPr>
          <w:noProof w:val="0"/>
        </w:rPr>
        <w:instrText xml:space="preserve"> ADDIN ZOTERO_ITEM CSL_CITATION {"citationID":"VkfxrMUH","properties":{"custom":"Shrestha and Dorevitch, (2019)","formattedCitation":"Shrestha and Dorevitch, (2019)","plainCitation":"Shrestha and Dorevitch, (2019)","noteIndex":0},"citationItems":[{"id":12632,"uris":["http://zotero.org/users/148142/items/WDBYUYC6"],"uri":["http://zotero.org/users/148142/items/WDBYUYC6"],"itemData":{"id":12632,"type":"article-journal","archive":"Scopus","container-title":"Water Research","DOI":"10.1016/j.watres.2019.03.034","page":"395-403","title":"Evaluation of rapid qPCR method for quantification of E. coli at non-point source impacted Lake Michigan beaches","URL":"https://www.scopus.com/inward/record.uri?eid=2-s2.0-85063941252&amp;doi=10.1016%2fj.watres.2019.03.034&amp;partnerID=40&amp;md5=8d0a3a8e1bd9c65175f11c60ca03b025","volume":"156","author":[{"family":"Shrestha","given":"A."},{"family":"Dorevitch","given":"S."}],"issued":{"date-parts":[["2019"]]}}}],"schema":"https://github.com/citation-style-language/schema/raw/master/csl-citation.json"} </w:instrText>
      </w:r>
      <w:r w:rsidRPr="00397A3E">
        <w:rPr>
          <w:noProof w:val="0"/>
        </w:rPr>
        <w:fldChar w:fldCharType="separate"/>
      </w:r>
      <w:r w:rsidRPr="00397A3E">
        <w:rPr>
          <w:noProof w:val="0"/>
        </w:rPr>
        <w:t>Shrestha and Dorevitch, (2019)</w:t>
      </w:r>
      <w:r w:rsidRPr="00397A3E">
        <w:rPr>
          <w:noProof w:val="0"/>
        </w:rPr>
        <w:fldChar w:fldCharType="end"/>
      </w:r>
      <w:r w:rsidRPr="00397A3E">
        <w:rPr>
          <w:noProof w:val="0"/>
        </w:rPr>
        <w:t xml:space="preserve"> evaluated a draft US EPA </w:t>
      </w:r>
      <w:r w:rsidRPr="00397A3E">
        <w:rPr>
          <w:i/>
          <w:iCs/>
          <w:noProof w:val="0"/>
        </w:rPr>
        <w:t>E. coli</w:t>
      </w:r>
      <w:r w:rsidRPr="00397A3E">
        <w:rPr>
          <w:noProof w:val="0"/>
        </w:rPr>
        <w:t xml:space="preserve"> qPCR method, compared </w:t>
      </w:r>
      <w:r w:rsidRPr="00397A3E">
        <w:rPr>
          <w:i/>
          <w:iCs/>
          <w:noProof w:val="0"/>
        </w:rPr>
        <w:t>E. coli</w:t>
      </w:r>
      <w:r w:rsidRPr="00397A3E">
        <w:rPr>
          <w:noProof w:val="0"/>
        </w:rPr>
        <w:t xml:space="preserve"> qPCR measurements with two established FIB (</w:t>
      </w:r>
      <w:r w:rsidRPr="00397A3E">
        <w:rPr>
          <w:i/>
          <w:iCs/>
          <w:noProof w:val="0"/>
        </w:rPr>
        <w:t>E. coli</w:t>
      </w:r>
      <w:r w:rsidRPr="00397A3E">
        <w:rPr>
          <w:noProof w:val="0"/>
        </w:rPr>
        <w:t xml:space="preserve"> culture and enterococci qPCR) results, and explored potential strategies to establish </w:t>
      </w:r>
      <w:r w:rsidRPr="00397A3E">
        <w:rPr>
          <w:i/>
          <w:iCs/>
          <w:noProof w:val="0"/>
        </w:rPr>
        <w:t>E. coli</w:t>
      </w:r>
      <w:r w:rsidRPr="00397A3E">
        <w:rPr>
          <w:noProof w:val="0"/>
        </w:rPr>
        <w:t xml:space="preserve"> qPCR Beach Action Value (BAV) criteria in the absence of an epidemiological study.</w:t>
      </w:r>
    </w:p>
    <w:p w14:paraId="261921DF" w14:textId="74FB135C" w:rsidR="004C1096" w:rsidRPr="00397A3E" w:rsidRDefault="00171C91" w:rsidP="00605411">
      <w:pPr>
        <w:rPr>
          <w:noProof w:val="0"/>
        </w:rPr>
      </w:pPr>
      <w:r w:rsidRPr="00397A3E">
        <w:rPr>
          <w:noProof w:val="0"/>
        </w:rPr>
        <w:t xml:space="preserve">Conventional culture-based </w:t>
      </w:r>
      <w:r w:rsidRPr="00397A3E">
        <w:rPr>
          <w:i/>
          <w:noProof w:val="0"/>
        </w:rPr>
        <w:t>E. coli</w:t>
      </w:r>
      <w:r w:rsidRPr="00397A3E">
        <w:rPr>
          <w:noProof w:val="0"/>
        </w:rPr>
        <w:t xml:space="preserve"> methods for monitoring FIB are used at Great Lakes recreational beaches.  Cultivation methods require 18 or more hours to generate results. As a consequence, public notifications about beach action value (BAV) exceedance are based on prior-day water quality. Rapid qPCR monitoring of bacteria in beach water solves the 24-h delay problem, though the US</w:t>
      </w:r>
      <w:r w:rsidR="00514A35">
        <w:rPr>
          <w:noProof w:val="0"/>
        </w:rPr>
        <w:t xml:space="preserve"> </w:t>
      </w:r>
      <w:r w:rsidRPr="00397A3E">
        <w:rPr>
          <w:noProof w:val="0"/>
        </w:rPr>
        <w:t xml:space="preserve">EPA-approved qPCR method targets enterococci bacteria, while Great Lakes communities are familiar with </w:t>
      </w:r>
      <w:r w:rsidRPr="00397A3E">
        <w:rPr>
          <w:i/>
          <w:noProof w:val="0"/>
        </w:rPr>
        <w:t>E. coli</w:t>
      </w:r>
      <w:r w:rsidRPr="00397A3E">
        <w:rPr>
          <w:noProof w:val="0"/>
        </w:rPr>
        <w:t xml:space="preserve"> monitoring. For an </w:t>
      </w:r>
      <w:r w:rsidRPr="00397A3E">
        <w:rPr>
          <w:i/>
          <w:noProof w:val="0"/>
        </w:rPr>
        <w:t>E. coli</w:t>
      </w:r>
      <w:r w:rsidRPr="00397A3E">
        <w:rPr>
          <w:noProof w:val="0"/>
        </w:rPr>
        <w:t xml:space="preserve"> qPCR method to be useful for water quality management, it was important to systematically characterize method performance, and establish BAVs for public notification purposes.</w:t>
      </w:r>
    </w:p>
    <w:p w14:paraId="778D4162" w14:textId="718C78FC" w:rsidR="00C34263" w:rsidRPr="00397A3E" w:rsidRDefault="00171C91" w:rsidP="00C34263">
      <w:pPr>
        <w:rPr>
          <w:noProof w:val="0"/>
        </w:rPr>
      </w:pPr>
      <w:r w:rsidRPr="00397A3E">
        <w:rPr>
          <w:noProof w:val="0"/>
        </w:rPr>
        <w:t xml:space="preserve">Consequently, the authors evaluated rapid qPCR monitoring for </w:t>
      </w:r>
      <w:r w:rsidRPr="00397A3E">
        <w:rPr>
          <w:i/>
          <w:iCs/>
          <w:noProof w:val="0"/>
        </w:rPr>
        <w:t>E. coli</w:t>
      </w:r>
      <w:r w:rsidRPr="00397A3E">
        <w:rPr>
          <w:noProof w:val="0"/>
        </w:rPr>
        <w:t xml:space="preserve"> in freshwater beach water samples to assess if it could solve the 24-h delay problem compared to culture techniques.</w:t>
      </w:r>
    </w:p>
    <w:p w14:paraId="7ADF468C" w14:textId="1E21AD3D" w:rsidR="004E05CD" w:rsidRPr="00397A3E" w:rsidRDefault="00171C91" w:rsidP="00605411">
      <w:pPr>
        <w:rPr>
          <w:noProof w:val="0"/>
        </w:rPr>
      </w:pPr>
      <w:r w:rsidRPr="00397A3E">
        <w:rPr>
          <w:noProof w:val="0"/>
        </w:rPr>
        <w:t xml:space="preserve">Based on analyses of 288 water samples collected from eight of Chicago's Lake Michigan beaches, the </w:t>
      </w:r>
      <w:r w:rsidRPr="00397A3E">
        <w:rPr>
          <w:i/>
          <w:noProof w:val="0"/>
        </w:rPr>
        <w:t>E. coli</w:t>
      </w:r>
      <w:r w:rsidRPr="00397A3E">
        <w:rPr>
          <w:noProof w:val="0"/>
        </w:rPr>
        <w:t xml:space="preserve"> qPCR method demonstrated acceptable performance characteristics. The method is prone to</w:t>
      </w:r>
      <w:r w:rsidR="004C1096" w:rsidRPr="00397A3E">
        <w:rPr>
          <w:noProof w:val="0"/>
        </w:rPr>
        <w:t xml:space="preserve"> </w:t>
      </w:r>
      <w:r w:rsidRPr="00397A3E">
        <w:rPr>
          <w:noProof w:val="0"/>
        </w:rPr>
        <w:t xml:space="preserve">low level DNA contamination, possibly originating from assay reagents derived from </w:t>
      </w:r>
      <w:r w:rsidRPr="00397A3E">
        <w:rPr>
          <w:i/>
          <w:noProof w:val="0"/>
        </w:rPr>
        <w:t>E. coli</w:t>
      </w:r>
      <w:r w:rsidRPr="00397A3E">
        <w:rPr>
          <w:noProof w:val="0"/>
        </w:rPr>
        <w:t xml:space="preserve"> bacteria. Both </w:t>
      </w:r>
      <w:r w:rsidRPr="00397A3E">
        <w:rPr>
          <w:i/>
          <w:noProof w:val="0"/>
        </w:rPr>
        <w:t>E. coli</w:t>
      </w:r>
      <w:r w:rsidRPr="00397A3E">
        <w:rPr>
          <w:noProof w:val="0"/>
        </w:rPr>
        <w:t xml:space="preserve"> and enterococci BAVs were exceeded in approximately 18% of the samples. </w:t>
      </w:r>
      <w:r w:rsidRPr="00397A3E">
        <w:rPr>
          <w:i/>
          <w:noProof w:val="0"/>
        </w:rPr>
        <w:t>E. coli</w:t>
      </w:r>
      <w:r w:rsidRPr="00397A3E">
        <w:rPr>
          <w:noProof w:val="0"/>
        </w:rPr>
        <w:t xml:space="preserve"> qPCR values were correlated with both </w:t>
      </w:r>
      <w:r w:rsidRPr="00397A3E">
        <w:rPr>
          <w:i/>
          <w:noProof w:val="0"/>
        </w:rPr>
        <w:t>E. coli</w:t>
      </w:r>
      <w:r w:rsidRPr="00397A3E">
        <w:rPr>
          <w:noProof w:val="0"/>
        </w:rPr>
        <w:t xml:space="preserve"> culture (r = 0.83; p &lt; 0.0001) and enterococci qPCR (r = 0.67; p &lt; 0.0001) values.  These statistical results are for same day culture results.  Correlations for 1 day lag between culture and qPCR results were not significant - indicating that </w:t>
      </w:r>
      <w:r w:rsidRPr="00397A3E">
        <w:rPr>
          <w:i/>
          <w:noProof w:val="0"/>
        </w:rPr>
        <w:t>E. coli</w:t>
      </w:r>
      <w:r w:rsidRPr="00397A3E">
        <w:rPr>
          <w:noProof w:val="0"/>
        </w:rPr>
        <w:t xml:space="preserve"> culture results available to a beach manager on a given day (from samples cultured the prior day) </w:t>
      </w:r>
      <w:r w:rsidR="00C34263" w:rsidRPr="00397A3E">
        <w:rPr>
          <w:noProof w:val="0"/>
        </w:rPr>
        <w:t>was</w:t>
      </w:r>
      <w:r w:rsidRPr="00397A3E">
        <w:rPr>
          <w:noProof w:val="0"/>
        </w:rPr>
        <w:t xml:space="preserve"> not predictive of current water quality</w:t>
      </w:r>
      <w:r w:rsidR="00C34263" w:rsidRPr="00397A3E">
        <w:rPr>
          <w:noProof w:val="0"/>
        </w:rPr>
        <w:t>.</w:t>
      </w:r>
    </w:p>
    <w:p w14:paraId="0B15A307" w14:textId="3AC763CB" w:rsidR="004E05CD" w:rsidRPr="00397A3E" w:rsidRDefault="00171C91" w:rsidP="00605411">
      <w:pPr>
        <w:rPr>
          <w:noProof w:val="0"/>
        </w:rPr>
      </w:pPr>
      <w:r w:rsidRPr="00397A3E">
        <w:rPr>
          <w:noProof w:val="0"/>
        </w:rPr>
        <w:t xml:space="preserve">The authors concluded that the finding that each method and reference FIB measurement yielded different </w:t>
      </w:r>
      <w:r w:rsidRPr="00397A3E">
        <w:rPr>
          <w:i/>
          <w:noProof w:val="0"/>
        </w:rPr>
        <w:t>E. coli</w:t>
      </w:r>
      <w:r w:rsidRPr="00397A3E">
        <w:rPr>
          <w:noProof w:val="0"/>
        </w:rPr>
        <w:t xml:space="preserve"> qPCR BAV highlighted the need for further US EPA guidance for deriving new types of BAVs</w:t>
      </w:r>
      <w:r w:rsidR="009C64E6" w:rsidRPr="00397A3E">
        <w:rPr>
          <w:noProof w:val="0"/>
        </w:rPr>
        <w:t xml:space="preserve"> such as ones based on </w:t>
      </w:r>
      <w:r w:rsidR="009C64E6" w:rsidRPr="00397A3E">
        <w:rPr>
          <w:i/>
          <w:iCs/>
          <w:noProof w:val="0"/>
        </w:rPr>
        <w:t>E. coli</w:t>
      </w:r>
      <w:r w:rsidR="009C64E6" w:rsidRPr="00397A3E">
        <w:rPr>
          <w:noProof w:val="0"/>
        </w:rPr>
        <w:t xml:space="preserve"> qPCR</w:t>
      </w:r>
      <w:r w:rsidRPr="00397A3E">
        <w:rPr>
          <w:noProof w:val="0"/>
        </w:rPr>
        <w:t>.</w:t>
      </w:r>
    </w:p>
    <w:p w14:paraId="715BEBBA" w14:textId="77777777" w:rsidR="009D385C" w:rsidRPr="00397A3E" w:rsidRDefault="009D385C" w:rsidP="006F7E5B">
      <w:pPr>
        <w:rPr>
          <w:noProof w:val="0"/>
        </w:rPr>
        <w:sectPr w:rsidR="009D385C" w:rsidRPr="00397A3E" w:rsidSect="009D385C">
          <w:headerReference w:type="default" r:id="rId37"/>
          <w:pgSz w:w="11906" w:h="16838"/>
          <w:pgMar w:top="1588" w:right="1418" w:bottom="1418" w:left="2835" w:header="680" w:footer="709" w:gutter="0"/>
          <w:cols w:space="708"/>
          <w:docGrid w:linePitch="360"/>
        </w:sectPr>
      </w:pPr>
    </w:p>
    <w:p w14:paraId="776A919F" w14:textId="6A7A7F35" w:rsidR="007451D2" w:rsidRPr="00397A3E" w:rsidRDefault="00171C91" w:rsidP="007451D2">
      <w:pPr>
        <w:pStyle w:val="Caption"/>
        <w:rPr>
          <w:noProof w:val="0"/>
        </w:rPr>
      </w:pPr>
      <w:bookmarkStart w:id="393" w:name="_Ref72243466"/>
      <w:bookmarkStart w:id="394" w:name="_Toc106964872"/>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6</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5</w:t>
      </w:r>
      <w:r w:rsidR="00F178D7">
        <w:rPr>
          <w:noProof w:val="0"/>
        </w:rPr>
        <w:fldChar w:fldCharType="end"/>
      </w:r>
      <w:bookmarkEnd w:id="393"/>
      <w:r w:rsidRPr="00397A3E">
        <w:rPr>
          <w:noProof w:val="0"/>
        </w:rPr>
        <w:t>.</w:t>
      </w:r>
      <w:r w:rsidR="00A45418" w:rsidRPr="00397A3E">
        <w:rPr>
          <w:noProof w:val="0"/>
        </w:rPr>
        <w:t xml:space="preserve"> Results summary for </w:t>
      </w:r>
      <w:r w:rsidR="00416C25" w:rsidRPr="00397A3E">
        <w:rPr>
          <w:noProof w:val="0"/>
        </w:rPr>
        <w:t>Primary research question</w:t>
      </w:r>
      <w:r w:rsidR="0013512D" w:rsidRPr="00397A3E">
        <w:rPr>
          <w:noProof w:val="0"/>
        </w:rPr>
        <w:t>, Outcome 1.</w:t>
      </w:r>
      <w:bookmarkEnd w:id="394"/>
    </w:p>
    <w:tbl>
      <w:tblPr>
        <w:tblW w:w="14454" w:type="dxa"/>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Look w:val="04A0" w:firstRow="1" w:lastRow="0" w:firstColumn="1" w:lastColumn="0" w:noHBand="0" w:noVBand="1"/>
      </w:tblPr>
      <w:tblGrid>
        <w:gridCol w:w="1184"/>
        <w:gridCol w:w="1011"/>
        <w:gridCol w:w="1104"/>
        <w:gridCol w:w="1161"/>
        <w:gridCol w:w="2325"/>
        <w:gridCol w:w="2069"/>
        <w:gridCol w:w="2509"/>
        <w:gridCol w:w="1693"/>
        <w:gridCol w:w="1398"/>
      </w:tblGrid>
      <w:tr w:rsidR="00785848" w14:paraId="415018AF" w14:textId="77777777" w:rsidTr="00DA3913">
        <w:trPr>
          <w:cantSplit/>
          <w:trHeight w:val="420"/>
          <w:tblHeader/>
        </w:trPr>
        <w:tc>
          <w:tcPr>
            <w:tcW w:w="1043" w:type="dxa"/>
            <w:shd w:val="clear" w:color="000000" w:fill="B5DDDC"/>
            <w:vAlign w:val="center"/>
            <w:hideMark/>
          </w:tcPr>
          <w:p w14:paraId="18894E9B" w14:textId="77777777" w:rsidR="0075724B" w:rsidRPr="00397A3E" w:rsidRDefault="00171C91" w:rsidP="00753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Study,  Design, Quality</w:t>
            </w:r>
          </w:p>
        </w:tc>
        <w:tc>
          <w:tcPr>
            <w:tcW w:w="1011" w:type="dxa"/>
            <w:shd w:val="clear" w:color="000000" w:fill="B5DDDC"/>
            <w:vAlign w:val="center"/>
            <w:hideMark/>
          </w:tcPr>
          <w:p w14:paraId="669956BD" w14:textId="77777777" w:rsidR="0075724B" w:rsidRPr="00397A3E" w:rsidRDefault="00171C91" w:rsidP="00753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Population</w:t>
            </w:r>
          </w:p>
        </w:tc>
        <w:tc>
          <w:tcPr>
            <w:tcW w:w="1104" w:type="dxa"/>
            <w:shd w:val="clear" w:color="000000" w:fill="B5DDDC"/>
            <w:vAlign w:val="center"/>
            <w:hideMark/>
          </w:tcPr>
          <w:p w14:paraId="23A186F9" w14:textId="77777777" w:rsidR="0075724B" w:rsidRPr="00397A3E" w:rsidRDefault="00171C91" w:rsidP="00753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Exposures</w:t>
            </w:r>
          </w:p>
        </w:tc>
        <w:tc>
          <w:tcPr>
            <w:tcW w:w="1161" w:type="dxa"/>
            <w:shd w:val="clear" w:color="000000" w:fill="B5DDDC"/>
            <w:vAlign w:val="center"/>
            <w:hideMark/>
          </w:tcPr>
          <w:p w14:paraId="06C3D108" w14:textId="77777777" w:rsidR="0075724B" w:rsidRPr="00397A3E" w:rsidRDefault="00171C91" w:rsidP="00753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Location type</w:t>
            </w:r>
          </w:p>
        </w:tc>
        <w:tc>
          <w:tcPr>
            <w:tcW w:w="2364" w:type="dxa"/>
            <w:shd w:val="clear" w:color="000000" w:fill="B5DDDC"/>
            <w:vAlign w:val="center"/>
            <w:hideMark/>
          </w:tcPr>
          <w:p w14:paraId="2136D9D4" w14:textId="77777777" w:rsidR="0075724B" w:rsidRPr="00397A3E" w:rsidRDefault="00171C91" w:rsidP="00753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Outcome</w:t>
            </w:r>
          </w:p>
        </w:tc>
        <w:tc>
          <w:tcPr>
            <w:tcW w:w="2101" w:type="dxa"/>
            <w:shd w:val="clear" w:color="000000" w:fill="B5DDDC"/>
            <w:vAlign w:val="center"/>
            <w:hideMark/>
          </w:tcPr>
          <w:p w14:paraId="504F5D27" w14:textId="77777777" w:rsidR="0075724B" w:rsidRPr="00397A3E" w:rsidRDefault="00171C91" w:rsidP="00753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Analysis</w:t>
            </w:r>
          </w:p>
        </w:tc>
        <w:tc>
          <w:tcPr>
            <w:tcW w:w="2551" w:type="dxa"/>
            <w:shd w:val="clear" w:color="000000" w:fill="B5DDDC"/>
            <w:vAlign w:val="center"/>
            <w:hideMark/>
          </w:tcPr>
          <w:p w14:paraId="0FB5716B" w14:textId="77777777" w:rsidR="0075724B" w:rsidRPr="00397A3E" w:rsidRDefault="00171C91" w:rsidP="00753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Results</w:t>
            </w:r>
          </w:p>
        </w:tc>
        <w:tc>
          <w:tcPr>
            <w:tcW w:w="1712" w:type="dxa"/>
            <w:shd w:val="clear" w:color="000000" w:fill="B5DDDC"/>
            <w:vAlign w:val="center"/>
            <w:hideMark/>
          </w:tcPr>
          <w:p w14:paraId="3ECCDDF4" w14:textId="77777777" w:rsidR="0075724B" w:rsidRPr="00397A3E" w:rsidRDefault="00171C91" w:rsidP="00753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Effect estimate</w:t>
            </w:r>
          </w:p>
        </w:tc>
        <w:tc>
          <w:tcPr>
            <w:tcW w:w="1407" w:type="dxa"/>
            <w:shd w:val="clear" w:color="000000" w:fill="B5DDDC"/>
            <w:vAlign w:val="center"/>
            <w:hideMark/>
          </w:tcPr>
          <w:p w14:paraId="546BA970" w14:textId="77777777" w:rsidR="0075724B" w:rsidRPr="00397A3E" w:rsidRDefault="00171C91" w:rsidP="00753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Significance</w:t>
            </w:r>
          </w:p>
        </w:tc>
      </w:tr>
      <w:tr w:rsidR="00785848" w14:paraId="18EED9D6" w14:textId="77777777" w:rsidTr="00DA3913">
        <w:trPr>
          <w:cantSplit/>
          <w:trHeight w:val="336"/>
          <w:tblHeader/>
        </w:trPr>
        <w:tc>
          <w:tcPr>
            <w:tcW w:w="14454" w:type="dxa"/>
            <w:gridSpan w:val="9"/>
            <w:shd w:val="clear" w:color="000000" w:fill="D6EAEB"/>
            <w:vAlign w:val="center"/>
            <w:hideMark/>
          </w:tcPr>
          <w:p w14:paraId="38CFDA1A" w14:textId="380BA3A5" w:rsidR="0075724B" w:rsidRPr="00397A3E" w:rsidRDefault="00171C91" w:rsidP="0075369B">
            <w:pPr>
              <w:spacing w:before="0" w:after="0" w:line="240" w:lineRule="auto"/>
              <w:rPr>
                <w:rFonts w:ascii="Calibri" w:hAnsi="Calibri" w:cs="Calibri"/>
                <w:b/>
                <w:bCs/>
                <w:noProof w:val="0"/>
                <w:color w:val="000000"/>
                <w:sz w:val="16"/>
                <w:szCs w:val="16"/>
              </w:rPr>
            </w:pPr>
            <w:r w:rsidRPr="00397A3E">
              <w:rPr>
                <w:rFonts w:ascii="Calibri" w:hAnsi="Calibri" w:cs="Calibri"/>
                <w:b/>
                <w:bCs/>
                <w:noProof w:val="0"/>
                <w:color w:val="000000"/>
                <w:sz w:val="16"/>
                <w:szCs w:val="16"/>
              </w:rPr>
              <w:t xml:space="preserve">Research question: </w:t>
            </w:r>
            <w:r w:rsidR="004A2065" w:rsidRPr="00397A3E">
              <w:rPr>
                <w:rFonts w:ascii="Calibri" w:hAnsi="Calibri" w:cs="Calibri"/>
                <w:i/>
                <w:iCs/>
                <w:noProof w:val="0"/>
                <w:color w:val="000000"/>
                <w:sz w:val="16"/>
                <w:szCs w:val="16"/>
              </w:rPr>
              <w:t>How can we monitor, assess, and predict risks from diffuse and point source microbial contamination in recreational waters?</w:t>
            </w:r>
          </w:p>
        </w:tc>
      </w:tr>
      <w:tr w:rsidR="00785848" w14:paraId="6FF26C69" w14:textId="77777777" w:rsidTr="00DA3913">
        <w:trPr>
          <w:cantSplit/>
          <w:trHeight w:val="240"/>
          <w:tblHeader/>
        </w:trPr>
        <w:tc>
          <w:tcPr>
            <w:tcW w:w="14454" w:type="dxa"/>
            <w:gridSpan w:val="9"/>
            <w:shd w:val="clear" w:color="000000" w:fill="D6EAEB"/>
            <w:vAlign w:val="center"/>
            <w:hideMark/>
          </w:tcPr>
          <w:p w14:paraId="1E2797AC" w14:textId="64DA813F" w:rsidR="0075724B" w:rsidRPr="00397A3E" w:rsidRDefault="00171C91" w:rsidP="0075369B">
            <w:pPr>
              <w:spacing w:before="0" w:after="0" w:line="240" w:lineRule="auto"/>
              <w:rPr>
                <w:rFonts w:ascii="Calibri" w:hAnsi="Calibri" w:cs="Calibri"/>
                <w:b/>
                <w:bCs/>
                <w:noProof w:val="0"/>
                <w:color w:val="000000"/>
                <w:sz w:val="16"/>
                <w:szCs w:val="16"/>
              </w:rPr>
            </w:pPr>
            <w:r w:rsidRPr="00397A3E">
              <w:rPr>
                <w:rFonts w:ascii="Calibri" w:hAnsi="Calibri" w:cs="Calibri"/>
                <w:b/>
                <w:bCs/>
                <w:noProof w:val="0"/>
                <w:color w:val="000000"/>
                <w:sz w:val="16"/>
                <w:szCs w:val="16"/>
              </w:rPr>
              <w:t xml:space="preserve">Outcome 1. </w:t>
            </w:r>
            <w:r w:rsidR="007B1A89" w:rsidRPr="00397A3E">
              <w:rPr>
                <w:rFonts w:ascii="Calibri" w:hAnsi="Calibri" w:cs="Calibri"/>
                <w:b/>
                <w:bCs/>
                <w:noProof w:val="0"/>
                <w:color w:val="000000"/>
                <w:sz w:val="16"/>
                <w:szCs w:val="16"/>
              </w:rPr>
              <w:t>Study describes methods for assessing and predicting microbial risks in recreational waters from diffuse and point sources</w:t>
            </w:r>
            <w:r w:rsidRPr="00397A3E">
              <w:rPr>
                <w:rFonts w:ascii="Calibri" w:hAnsi="Calibri" w:cs="Calibri"/>
                <w:b/>
                <w:bCs/>
                <w:noProof w:val="0"/>
                <w:color w:val="000000"/>
                <w:sz w:val="16"/>
                <w:szCs w:val="16"/>
              </w:rPr>
              <w:t>.</w:t>
            </w:r>
          </w:p>
        </w:tc>
      </w:tr>
      <w:tr w:rsidR="00785848" w14:paraId="6848A15C" w14:textId="77777777" w:rsidTr="00DA3913">
        <w:trPr>
          <w:cantSplit/>
          <w:trHeight w:val="1345"/>
        </w:trPr>
        <w:tc>
          <w:tcPr>
            <w:tcW w:w="1043" w:type="dxa"/>
          </w:tcPr>
          <w:p w14:paraId="4235EA8F" w14:textId="617B58BD" w:rsidR="00326BC1" w:rsidRPr="00397A3E" w:rsidRDefault="00171C91" w:rsidP="00326BC1">
            <w:pPr>
              <w:spacing w:before="0" w:after="0" w:line="240" w:lineRule="auto"/>
              <w:rPr>
                <w:rFonts w:ascii="Calibri" w:hAnsi="Calibri" w:cs="Calibri"/>
                <w:noProof w:val="0"/>
                <w:color w:val="000000"/>
                <w:sz w:val="16"/>
                <w:szCs w:val="16"/>
              </w:rPr>
            </w:pPr>
            <w:r w:rsidRPr="00397A3E">
              <w:rPr>
                <w:rFonts w:ascii="Calibri" w:hAnsi="Calibri" w:cs="Calibri"/>
                <w:i/>
                <w:iCs/>
                <w:noProof w:val="0"/>
                <w:color w:val="000000"/>
                <w:sz w:val="16"/>
                <w:szCs w:val="16"/>
              </w:rPr>
              <w:t xml:space="preserve">J2: </w:t>
            </w:r>
            <w:bookmarkStart w:id="395" w:name="_Hlk94021911"/>
            <w:r w:rsidRPr="00397A3E">
              <w:rPr>
                <w:rFonts w:ascii="Calibri" w:hAnsi="Calibri" w:cs="Calibri"/>
                <w:i/>
                <w:iCs/>
                <w:noProof w:val="0"/>
                <w:color w:val="000000"/>
                <w:sz w:val="16"/>
                <w:szCs w:val="16"/>
              </w:rPr>
              <w:fldChar w:fldCharType="begin"/>
            </w:r>
            <w:r w:rsidR="0069143F" w:rsidRPr="00397A3E">
              <w:rPr>
                <w:rFonts w:ascii="Calibri" w:hAnsi="Calibri" w:cs="Calibri"/>
                <w:i/>
                <w:iCs/>
                <w:noProof w:val="0"/>
                <w:color w:val="000000"/>
                <w:sz w:val="16"/>
                <w:szCs w:val="16"/>
              </w:rPr>
              <w:instrText xml:space="preserve"> ADDIN ZOTERO_ITEM CSL_CITATION {"citationID":"OWex5iHF","properties":{"custom":"Ahmed, Hamilton, et al., (2018)","formattedCitation":"Ahmed, Hamilton, et al., (2018)","plainCitation":"Ahmed, Hamilton, et al., (2018)","noteIndex":0},"citationItems":[{"id":12533,"uris":["http://zotero.org/users/148142/items/CL5GP773"],"uri":["http://zotero.org/users/148142/items/CL5GP773"],"itemData":{"id":12533,"type":"article-journal","archive":"Scopus","container-title":"Environment International","DOI":"10.1016/j.envint.2018.05.012","page":"243-249","title":"Quantitative microbial risk assessment of microbial source tracking markers in recreational water contaminated with fresh untreated and secondary treated sewage","URL":"https://www.scopus.com/inward/record.uri?eid=2-s2.0-85047077932&amp;doi=10.1016%2fj.envint.2018.05.012&amp;partnerID=40&amp;md5=c97413bc0249240d20d0a19774172eeb","volume":"117","author":[{"family":"Ahmed","given":"W."},{"family":"Hamilton","given":"K. A."},{"family":"Lobos","given":"A."},{"family":"Hughes","given":"B."},{"family":"Staley","given":"C."},{"family":"Sadowsky","given":"M. J."},{"family":"Harwood","given":"V. J."}],"issued":{"date-parts":[["2018"]]}}}],"schema":"https://github.com/citation-style-language/schema/raw/master/csl-citation.json"} </w:instrText>
            </w:r>
            <w:r w:rsidRPr="00397A3E">
              <w:rPr>
                <w:rFonts w:ascii="Calibri" w:hAnsi="Calibri" w:cs="Calibri"/>
                <w:i/>
                <w:iCs/>
                <w:noProof w:val="0"/>
                <w:color w:val="000000"/>
                <w:sz w:val="16"/>
                <w:szCs w:val="16"/>
              </w:rPr>
              <w:fldChar w:fldCharType="separate"/>
            </w:r>
            <w:r w:rsidRPr="00397A3E">
              <w:rPr>
                <w:rFonts w:ascii="Calibri" w:hAnsi="Calibri" w:cs="Calibri"/>
                <w:i/>
                <w:iCs/>
                <w:noProof w:val="0"/>
                <w:color w:val="000000"/>
                <w:sz w:val="16"/>
                <w:szCs w:val="16"/>
              </w:rPr>
              <w:t>Ahmed, Hamilton, et al., (2018)</w:t>
            </w:r>
            <w:r w:rsidRPr="00397A3E">
              <w:rPr>
                <w:rFonts w:ascii="Calibri" w:hAnsi="Calibri" w:cs="Calibri"/>
                <w:noProof w:val="0"/>
                <w:color w:val="000000"/>
                <w:sz w:val="16"/>
                <w:szCs w:val="16"/>
              </w:rPr>
              <w:fldChar w:fldCharType="end"/>
            </w:r>
            <w:r w:rsidR="00E7024E" w:rsidRPr="00397A3E">
              <w:rPr>
                <w:rFonts w:ascii="Calibri" w:hAnsi="Calibri" w:cs="Calibri"/>
                <w:noProof w:val="0"/>
                <w:color w:val="000000"/>
                <w:sz w:val="16"/>
                <w:szCs w:val="16"/>
              </w:rPr>
              <w:t xml:space="preserve"> </w:t>
            </w:r>
            <w:bookmarkEnd w:id="395"/>
            <w:r w:rsidR="00E7024E" w:rsidRPr="00397A3E">
              <w:rPr>
                <w:rFonts w:ascii="Calibri" w:hAnsi="Calibri" w:cs="Calibri"/>
                <w:noProof w:val="0"/>
                <w:color w:val="000000"/>
                <w:sz w:val="16"/>
                <w:szCs w:val="16"/>
              </w:rPr>
              <w:t>Quantitative microbial risk assessment of microbial source tracking markers in recreational water contaminated with fresh untreated and secondary treated sewage. (Qualitative research)</w:t>
            </w:r>
          </w:p>
        </w:tc>
        <w:tc>
          <w:tcPr>
            <w:tcW w:w="1011" w:type="dxa"/>
          </w:tcPr>
          <w:p w14:paraId="297457E0" w14:textId="34C8D6B7" w:rsidR="00326BC1" w:rsidRPr="00397A3E" w:rsidRDefault="00171C91" w:rsidP="00326BC1">
            <w:pPr>
              <w:spacing w:before="0" w:after="0" w:line="240" w:lineRule="auto"/>
              <w:rPr>
                <w:rFonts w:ascii="Calibri" w:hAnsi="Calibri" w:cs="Calibri"/>
                <w:noProof w:val="0"/>
                <w:sz w:val="16"/>
                <w:szCs w:val="16"/>
              </w:rPr>
            </w:pPr>
            <w:r w:rsidRPr="00397A3E">
              <w:rPr>
                <w:rFonts w:ascii="Calibri" w:hAnsi="Calibri" w:cs="Calibri"/>
                <w:noProof w:val="0"/>
                <w:sz w:val="16"/>
                <w:szCs w:val="16"/>
              </w:rPr>
              <w:t>Adults exposed to water during recreation.</w:t>
            </w:r>
          </w:p>
        </w:tc>
        <w:tc>
          <w:tcPr>
            <w:tcW w:w="1104" w:type="dxa"/>
          </w:tcPr>
          <w:p w14:paraId="6F5C03BD" w14:textId="20B68913" w:rsidR="00326BC1" w:rsidRPr="00397A3E" w:rsidRDefault="00171C91" w:rsidP="00326BC1">
            <w:pPr>
              <w:spacing w:before="0" w:after="0" w:line="240" w:lineRule="auto"/>
              <w:rPr>
                <w:rFonts w:ascii="Calibri" w:hAnsi="Calibri" w:cs="Calibri"/>
                <w:noProof w:val="0"/>
                <w:sz w:val="16"/>
                <w:szCs w:val="16"/>
              </w:rPr>
            </w:pPr>
            <w:r w:rsidRPr="00397A3E">
              <w:rPr>
                <w:rFonts w:ascii="Calibri" w:hAnsi="Calibri" w:cs="Calibri"/>
                <w:noProof w:val="0"/>
                <w:sz w:val="16"/>
                <w:szCs w:val="16"/>
              </w:rPr>
              <w:t>Ingestion while swimming</w:t>
            </w:r>
          </w:p>
        </w:tc>
        <w:tc>
          <w:tcPr>
            <w:tcW w:w="1161" w:type="dxa"/>
          </w:tcPr>
          <w:p w14:paraId="380861EC" w14:textId="3FE7D0AA" w:rsidR="00326BC1" w:rsidRPr="00397A3E" w:rsidRDefault="00171C91" w:rsidP="00326BC1">
            <w:pPr>
              <w:spacing w:before="0" w:after="0" w:line="240" w:lineRule="auto"/>
              <w:rPr>
                <w:rFonts w:ascii="Calibri" w:hAnsi="Calibri" w:cs="Calibri"/>
                <w:noProof w:val="0"/>
                <w:sz w:val="16"/>
                <w:szCs w:val="16"/>
              </w:rPr>
            </w:pPr>
            <w:r w:rsidRPr="00397A3E">
              <w:rPr>
                <w:rFonts w:ascii="Calibri" w:hAnsi="Calibri" w:cs="Calibri"/>
                <w:noProof w:val="0"/>
                <w:sz w:val="16"/>
                <w:szCs w:val="16"/>
              </w:rPr>
              <w:t>Marine, beaches</w:t>
            </w:r>
          </w:p>
        </w:tc>
        <w:tc>
          <w:tcPr>
            <w:tcW w:w="2364" w:type="dxa"/>
          </w:tcPr>
          <w:p w14:paraId="0E1407FA" w14:textId="77777777" w:rsidR="00326BC1" w:rsidRPr="00397A3E" w:rsidRDefault="00171C91" w:rsidP="00326BC1">
            <w:pPr>
              <w:spacing w:before="0" w:after="0" w:line="240" w:lineRule="auto"/>
              <w:rPr>
                <w:rFonts w:ascii="Calibri" w:hAnsi="Calibri" w:cs="Calibri"/>
                <w:noProof w:val="0"/>
                <w:sz w:val="16"/>
                <w:szCs w:val="16"/>
              </w:rPr>
            </w:pPr>
            <w:r w:rsidRPr="00397A3E">
              <w:rPr>
                <w:rFonts w:ascii="Calibri" w:hAnsi="Calibri" w:cs="Calibri"/>
                <w:noProof w:val="0"/>
                <w:sz w:val="16"/>
                <w:szCs w:val="16"/>
              </w:rPr>
              <w:t>Fresh untreated and secondary treated sewage dosed into filtered beach water samples.</w:t>
            </w:r>
          </w:p>
          <w:p w14:paraId="3182BB11" w14:textId="202FDB21" w:rsidR="00326BC1" w:rsidRPr="00397A3E" w:rsidRDefault="00171C91" w:rsidP="00326BC1">
            <w:pPr>
              <w:spacing w:before="0" w:after="0" w:line="240" w:lineRule="auto"/>
              <w:rPr>
                <w:rFonts w:ascii="Calibri" w:hAnsi="Calibri" w:cs="Calibri"/>
                <w:noProof w:val="0"/>
                <w:sz w:val="16"/>
                <w:szCs w:val="16"/>
              </w:rPr>
            </w:pPr>
            <w:r w:rsidRPr="00397A3E">
              <w:rPr>
                <w:rFonts w:ascii="Calibri" w:hAnsi="Calibri" w:cs="Calibri"/>
                <w:noProof w:val="0"/>
                <w:sz w:val="16"/>
                <w:szCs w:val="16"/>
              </w:rPr>
              <w:t>NoV and HAdV 40/41 were selected as reference pathogens as these viruses are known to cause swimming-associated illnesses in recreational waters.</w:t>
            </w:r>
          </w:p>
          <w:p w14:paraId="66F645D8" w14:textId="09886C5F" w:rsidR="00326BC1" w:rsidRPr="00397A3E" w:rsidRDefault="00171C91" w:rsidP="00326BC1">
            <w:pPr>
              <w:spacing w:before="0" w:after="0" w:line="240" w:lineRule="auto"/>
              <w:rPr>
                <w:rFonts w:ascii="Calibri" w:hAnsi="Calibri" w:cs="Calibri"/>
                <w:noProof w:val="0"/>
                <w:sz w:val="16"/>
                <w:szCs w:val="16"/>
              </w:rPr>
            </w:pPr>
            <w:r w:rsidRPr="00397A3E">
              <w:rPr>
                <w:rFonts w:ascii="Calibri" w:hAnsi="Calibri" w:cs="Calibri"/>
                <w:noProof w:val="0"/>
                <w:sz w:val="16"/>
                <w:szCs w:val="16"/>
              </w:rPr>
              <w:t>Genomic copies (GC) reported from qPCR - measured in triplicate and reported with standard deviations.</w:t>
            </w:r>
          </w:p>
          <w:p w14:paraId="7B84BE67" w14:textId="77777777" w:rsidR="00326BC1" w:rsidRPr="00397A3E" w:rsidRDefault="00171C91" w:rsidP="00326BC1">
            <w:pPr>
              <w:spacing w:before="0" w:after="0" w:line="240" w:lineRule="auto"/>
              <w:rPr>
                <w:rFonts w:ascii="Calibri" w:hAnsi="Calibri" w:cs="Calibri"/>
                <w:noProof w:val="0"/>
                <w:sz w:val="16"/>
                <w:szCs w:val="16"/>
              </w:rPr>
            </w:pPr>
            <w:r w:rsidRPr="00397A3E">
              <w:rPr>
                <w:rFonts w:ascii="Calibri" w:hAnsi="Calibri" w:cs="Calibri"/>
                <w:noProof w:val="0"/>
                <w:sz w:val="16"/>
                <w:szCs w:val="16"/>
              </w:rPr>
              <w:t>Probability of GI illness compared to US EPA 2012 guideline risk of 36 GI Illnesses/1000 exposures or 0.036.</w:t>
            </w:r>
          </w:p>
          <w:p w14:paraId="3807DB39" w14:textId="1EAB791B" w:rsidR="00326BC1" w:rsidRPr="00397A3E" w:rsidRDefault="00171C91" w:rsidP="00326BC1">
            <w:pPr>
              <w:spacing w:before="0" w:after="0" w:line="240" w:lineRule="auto"/>
              <w:rPr>
                <w:rFonts w:ascii="Calibri" w:hAnsi="Calibri" w:cs="Calibri"/>
                <w:noProof w:val="0"/>
                <w:sz w:val="16"/>
                <w:szCs w:val="16"/>
              </w:rPr>
            </w:pPr>
            <w:r w:rsidRPr="00397A3E">
              <w:rPr>
                <w:rFonts w:ascii="Calibri" w:hAnsi="Calibri" w:cs="Calibri"/>
                <w:noProof w:val="0"/>
                <w:sz w:val="16"/>
                <w:szCs w:val="16"/>
              </w:rPr>
              <w:t>Process limit of quantification (PLOQ) = smallest volume of sewage in which target pathogens could still be reliably quantified in 2/3 qPCR</w:t>
            </w:r>
          </w:p>
          <w:p w14:paraId="34A162BE" w14:textId="56AB31E3" w:rsidR="00326BC1" w:rsidRPr="00397A3E" w:rsidRDefault="00171C91" w:rsidP="00326BC1">
            <w:pPr>
              <w:spacing w:before="0" w:after="0" w:line="240" w:lineRule="auto"/>
              <w:rPr>
                <w:rFonts w:ascii="Calibri" w:hAnsi="Calibri" w:cs="Calibri"/>
                <w:noProof w:val="0"/>
                <w:sz w:val="16"/>
                <w:szCs w:val="16"/>
              </w:rPr>
            </w:pPr>
            <w:r w:rsidRPr="00397A3E">
              <w:rPr>
                <w:rFonts w:ascii="Calibri" w:hAnsi="Calibri" w:cs="Calibri"/>
                <w:noProof w:val="0"/>
                <w:sz w:val="16"/>
                <w:szCs w:val="16"/>
              </w:rPr>
              <w:t>Reactions.</w:t>
            </w:r>
          </w:p>
        </w:tc>
        <w:tc>
          <w:tcPr>
            <w:tcW w:w="2101" w:type="dxa"/>
          </w:tcPr>
          <w:p w14:paraId="461C26C1" w14:textId="4479E059" w:rsidR="00326BC1" w:rsidRPr="00397A3E" w:rsidRDefault="00171C91" w:rsidP="00326BC1">
            <w:pPr>
              <w:spacing w:before="0" w:after="0" w:line="240" w:lineRule="auto"/>
              <w:rPr>
                <w:rFonts w:ascii="Calibri" w:hAnsi="Calibri" w:cs="Calibri"/>
                <w:noProof w:val="0"/>
                <w:sz w:val="16"/>
                <w:szCs w:val="16"/>
              </w:rPr>
            </w:pPr>
            <w:r w:rsidRPr="00397A3E">
              <w:rPr>
                <w:rFonts w:ascii="Calibri" w:hAnsi="Calibri" w:cs="Calibri"/>
                <w:noProof w:val="0"/>
                <w:sz w:val="16"/>
                <w:szCs w:val="16"/>
              </w:rPr>
              <w:t>QMRA dose-response models based on log-normal probability distribution functions (pdfs) for concentrations of NoV and HAdV 40/41 in untreated sewage and secondary treated sewage.</w:t>
            </w:r>
          </w:p>
          <w:p w14:paraId="12A0968B" w14:textId="35BC0EAA" w:rsidR="00326BC1" w:rsidRPr="00397A3E" w:rsidRDefault="00171C91" w:rsidP="00326BC1">
            <w:pPr>
              <w:spacing w:before="0" w:after="0" w:line="240" w:lineRule="auto"/>
              <w:rPr>
                <w:rFonts w:ascii="Calibri" w:hAnsi="Calibri" w:cs="Calibri"/>
                <w:noProof w:val="0"/>
                <w:sz w:val="16"/>
                <w:szCs w:val="16"/>
              </w:rPr>
            </w:pPr>
            <w:r w:rsidRPr="00397A3E">
              <w:rPr>
                <w:rFonts w:ascii="Calibri" w:hAnsi="Calibri" w:cs="Calibri"/>
                <w:noProof w:val="0"/>
                <w:sz w:val="16"/>
                <w:szCs w:val="16"/>
              </w:rPr>
              <w:t>Genomic copies reported from qPCR - measured in triplicate and reported with standard deviations.</w:t>
            </w:r>
          </w:p>
          <w:p w14:paraId="2E55DBDB" w14:textId="0B85FD0A" w:rsidR="00326BC1" w:rsidRPr="00397A3E" w:rsidRDefault="00171C91" w:rsidP="00326BC1">
            <w:pPr>
              <w:spacing w:before="0" w:after="0" w:line="240" w:lineRule="auto"/>
              <w:rPr>
                <w:rFonts w:ascii="Calibri" w:hAnsi="Calibri" w:cs="Calibri"/>
                <w:noProof w:val="0"/>
                <w:sz w:val="16"/>
                <w:szCs w:val="16"/>
              </w:rPr>
            </w:pPr>
            <w:r w:rsidRPr="00397A3E">
              <w:rPr>
                <w:rFonts w:ascii="Calibri" w:hAnsi="Calibri" w:cs="Calibri"/>
                <w:noProof w:val="0"/>
                <w:sz w:val="16"/>
                <w:szCs w:val="16"/>
              </w:rPr>
              <w:t>Serial ten-fold dilution series of beach water samples dosed with either fresh untreated sewage or fresh secondary treated sewage were tested to determine the PLOQ of the 5 sewage biomarkers.  The corresponding probability of GI illness from NoV or HAdV 40/41 for each biomarker PLOQ was also compared with the US EPA tolerable benchmark for GI illness for recreational water (0.036).</w:t>
            </w:r>
          </w:p>
        </w:tc>
        <w:tc>
          <w:tcPr>
            <w:tcW w:w="2551" w:type="dxa"/>
          </w:tcPr>
          <w:p w14:paraId="2C90A274" w14:textId="734CCFA4" w:rsidR="00326BC1" w:rsidRPr="00397A3E" w:rsidRDefault="00171C91" w:rsidP="00326BC1">
            <w:pPr>
              <w:spacing w:before="0" w:after="0" w:line="240" w:lineRule="auto"/>
              <w:rPr>
                <w:rFonts w:ascii="Calibri" w:hAnsi="Calibri" w:cs="Calibri"/>
                <w:noProof w:val="0"/>
                <w:sz w:val="16"/>
                <w:szCs w:val="16"/>
              </w:rPr>
            </w:pPr>
            <w:r w:rsidRPr="00397A3E">
              <w:rPr>
                <w:rFonts w:ascii="Calibri" w:hAnsi="Calibri" w:cs="Calibri"/>
                <w:noProof w:val="0"/>
                <w:sz w:val="16"/>
                <w:szCs w:val="16"/>
              </w:rPr>
              <w:t>Among all the markers tested, HF183 concentration needed to be greater in the water sample than other markers to correspond to an exceedance of the illness benchmark (Table 2 in paper). When NoV and HAdV 40/41 were used as reference pathogens, a median concentration of 3.22×10</w:t>
            </w:r>
            <w:r w:rsidRPr="00397A3E">
              <w:rPr>
                <w:rFonts w:ascii="Calibri" w:hAnsi="Calibri" w:cs="Calibri"/>
                <w:noProof w:val="0"/>
                <w:sz w:val="16"/>
                <w:szCs w:val="16"/>
                <w:vertAlign w:val="superscript"/>
              </w:rPr>
              <w:t>3</w:t>
            </w:r>
            <w:r w:rsidR="00D25D09" w:rsidRPr="00397A3E">
              <w:rPr>
                <w:rFonts w:ascii="Calibri" w:hAnsi="Calibri" w:cs="Calibri"/>
                <w:noProof w:val="0"/>
                <w:sz w:val="16"/>
                <w:szCs w:val="16"/>
              </w:rPr>
              <w:t xml:space="preserve"> </w:t>
            </w:r>
            <w:r w:rsidRPr="00397A3E">
              <w:rPr>
                <w:rFonts w:ascii="Calibri" w:hAnsi="Calibri" w:cs="Calibri"/>
                <w:noProof w:val="0"/>
                <w:sz w:val="16"/>
                <w:szCs w:val="16"/>
              </w:rPr>
              <w:t>GC of the HF183 in 100 mL of water sample represented a risk above the GI illness benchmark value when beach water was contaminated with fresh untreated sewage. Similarly, 3.66×10</w:t>
            </w:r>
            <w:r w:rsidRPr="00397A3E">
              <w:rPr>
                <w:rFonts w:ascii="Calibri" w:hAnsi="Calibri" w:cs="Calibri"/>
                <w:noProof w:val="0"/>
                <w:sz w:val="16"/>
                <w:szCs w:val="16"/>
                <w:vertAlign w:val="superscript"/>
              </w:rPr>
              <w:t>3</w:t>
            </w:r>
            <w:r w:rsidRPr="00397A3E">
              <w:rPr>
                <w:rFonts w:ascii="Calibri" w:hAnsi="Calibri" w:cs="Calibri"/>
                <w:noProof w:val="0"/>
                <w:sz w:val="16"/>
                <w:szCs w:val="16"/>
              </w:rPr>
              <w:t xml:space="preserve"> GC of HF183 in 100 mL of water sample represented a risk above the benchmark for both NoV and HAdV 40/41, when beach water was contaminated with secondary treated sewage.  Table 2 in the paper lists values for the other biomarkers tested.</w:t>
            </w:r>
          </w:p>
          <w:p w14:paraId="2EE02951" w14:textId="6FAE78FD" w:rsidR="00326BC1" w:rsidRPr="00397A3E" w:rsidRDefault="00326BC1" w:rsidP="00326BC1">
            <w:pPr>
              <w:spacing w:before="0" w:after="0" w:line="240" w:lineRule="auto"/>
              <w:rPr>
                <w:rFonts w:ascii="Calibri" w:hAnsi="Calibri" w:cs="Calibri"/>
                <w:noProof w:val="0"/>
                <w:sz w:val="16"/>
                <w:szCs w:val="16"/>
              </w:rPr>
            </w:pPr>
          </w:p>
        </w:tc>
        <w:tc>
          <w:tcPr>
            <w:tcW w:w="1712" w:type="dxa"/>
          </w:tcPr>
          <w:p w14:paraId="0DA7AD23" w14:textId="5ACC0874" w:rsidR="00326BC1" w:rsidRPr="00397A3E" w:rsidRDefault="00171C91" w:rsidP="00326BC1">
            <w:pPr>
              <w:spacing w:before="0" w:after="0" w:line="240" w:lineRule="auto"/>
              <w:rPr>
                <w:rFonts w:ascii="Calibri" w:hAnsi="Calibri" w:cs="Calibri"/>
                <w:noProof w:val="0"/>
                <w:sz w:val="16"/>
                <w:szCs w:val="16"/>
              </w:rPr>
            </w:pPr>
            <w:r w:rsidRPr="00397A3E">
              <w:rPr>
                <w:rFonts w:ascii="Calibri" w:hAnsi="Calibri" w:cs="Calibri"/>
                <w:noProof w:val="0"/>
                <w:sz w:val="16"/>
                <w:szCs w:val="16"/>
              </w:rPr>
              <w:t>N/A as no statistical measure of effect undertaken. Concentrations (GC) of sewage-associated markers in 100 mL of beach water sample contaminated with either fresh untreated or secondary treated sewage that</w:t>
            </w:r>
          </w:p>
          <w:p w14:paraId="689DCA36" w14:textId="1D0D6D94" w:rsidR="00326BC1" w:rsidRPr="00397A3E" w:rsidRDefault="00171C91" w:rsidP="00326BC1">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exceeded the median illness rate of 36/1,000 people at a single event for reference pathogens NoV and HAdV 40/41 are given in Table 2 of the paper.</w:t>
            </w:r>
          </w:p>
        </w:tc>
        <w:tc>
          <w:tcPr>
            <w:tcW w:w="1407" w:type="dxa"/>
          </w:tcPr>
          <w:p w14:paraId="086365E4" w14:textId="123570E8" w:rsidR="00326BC1" w:rsidRPr="00397A3E" w:rsidRDefault="00171C91" w:rsidP="00326BC1">
            <w:pPr>
              <w:spacing w:before="0" w:after="0" w:line="240" w:lineRule="auto"/>
              <w:rPr>
                <w:rFonts w:ascii="Calibri" w:hAnsi="Calibri" w:cs="Calibri"/>
                <w:noProof w:val="0"/>
                <w:sz w:val="16"/>
                <w:szCs w:val="16"/>
              </w:rPr>
            </w:pPr>
            <w:r w:rsidRPr="00397A3E">
              <w:rPr>
                <w:rFonts w:ascii="Calibri" w:hAnsi="Calibri" w:cs="Calibri"/>
                <w:noProof w:val="0"/>
                <w:sz w:val="16"/>
                <w:szCs w:val="16"/>
              </w:rPr>
              <w:t>N/A.</w:t>
            </w:r>
          </w:p>
        </w:tc>
      </w:tr>
      <w:tr w:rsidR="00785848" w14:paraId="4E59ED71" w14:textId="77777777" w:rsidTr="00DA3913">
        <w:trPr>
          <w:cantSplit/>
          <w:trHeight w:val="1345"/>
        </w:trPr>
        <w:tc>
          <w:tcPr>
            <w:tcW w:w="1043" w:type="dxa"/>
          </w:tcPr>
          <w:p w14:paraId="1C025E0E" w14:textId="28CF2DC3" w:rsidR="00907C87" w:rsidRPr="00397A3E" w:rsidRDefault="00171C91" w:rsidP="00907C87">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 xml:space="preserve">J3: </w:t>
            </w:r>
            <w:r w:rsidRPr="00397A3E">
              <w:rPr>
                <w:rFonts w:ascii="Calibri" w:hAnsi="Calibri" w:cs="Calibri"/>
                <w:noProof w:val="0"/>
                <w:color w:val="000000"/>
                <w:sz w:val="16"/>
                <w:szCs w:val="16"/>
              </w:rPr>
              <w:fldChar w:fldCharType="begin"/>
            </w:r>
            <w:r w:rsidR="0069143F" w:rsidRPr="00397A3E">
              <w:rPr>
                <w:rFonts w:ascii="Calibri" w:hAnsi="Calibri" w:cs="Calibri"/>
                <w:noProof w:val="0"/>
                <w:color w:val="000000"/>
                <w:sz w:val="16"/>
                <w:szCs w:val="16"/>
              </w:rPr>
              <w:instrText xml:space="preserve"> ADDIN ZOTERO_ITEM CSL_CITATION {"citationID":"nWzc6Ike","properties":{"custom":"Ahmed, Payyappat, et al., (2019)","formattedCitation":"Ahmed, Payyappat, et al., (2019)","plainCitation":"Ahmed, Payyappat, et al., (2019)","noteIndex":0},"citationItems":[{"id":12758,"uris":["http://zotero.org/users/148142/items/RBDGJBR8"],"uri":["http://zotero.org/users/148142/items/RBDGJBR8"],"itemData":{"id":12758,"type":"article-journal","abstract":"This study investigated the magnitude of wet weather overflow (WWO)-driven sewage pollution in an urban lake (Lake Parramatta) located in Sydney, New South Wales, Australia. Water samples were collected during a dry weather period and after two storm events, and tested for a range of novel and established sewage- [Bacteroides HF183, crAssphage CPQ_056 and pepper mild mottle virus (PMMoV)] and animal feces-associated (Bacteroides BacCan-UCD, cowM2 and Helicobacter spp. associated GFD) microbial source tracking marker genes along with the enumeration of culturable fecal indicator bacteria (FIB), namely Escherichia coli (E. coli) and Enterococcus spp. The magnitude of general and source-specific fecal pollution was low in water samples collected during dry weather compared to storm events. The levels of HF183, crAssphage and PMMoV in water samples collected during storm events were as high as 6.39, 6.33 and 5.27 log10 GC/L of water, respectively. Moderate to strong positive correlations were observed among the quantitative occurrence of sewage-associated marker genes. The concentrations of HF183 and PMMoV in most storm water samples exceeded the risk benchmark threshold values established in the literature for primary contact recreators. None of the samples tested was positive for the cowM2 (cow) marker gene, while BacCan-UCD (dog) and GFD (avian) animal-associated markers were sporadically detected in water samples collected from both dry weather and storm events. Based on the results, the ongoing advice that swimming should be avoided for several days after storm events appears appropriate. Further research to determine the decay rates of sewage-associated marker genes in relation to each other and enteric viruses would help refine current advice. Microbial source tracking approaches employed in this study provided insights into sources of contamination over currently used FIB.","container-title":"Scientific Reports","DOI":"10.1038/s41598-019-48682-4","ISSN":"2045-2322","issue":"1","journalAbbreviation":"Sci Rep","language":"eng","page":"12503","source":"PubMed","title":"Enhanced insights from human and animal host-associated molecular marker genes in a freshwater lake receiving wet weather overflows","URL":"http://www.ncbi.nlm.nih.gov/pubmed/31467317","volume":"9","author":[{"family":"Ahmed","given":"Warish"},{"family":"Payyappat","given":"Sudhi"},{"family":"Cassidy","given":"Michele"},{"family":"Besley","given":"Colin"}],"issued":{"date-parts":[["2019"]]}}}],"schema":"https://github.com/citation-style-language/schema/raw/master/csl-citation.json"} </w:instrText>
            </w:r>
            <w:r w:rsidRPr="00397A3E">
              <w:rPr>
                <w:rFonts w:ascii="Calibri" w:hAnsi="Calibri" w:cs="Calibri"/>
                <w:noProof w:val="0"/>
                <w:color w:val="000000"/>
                <w:sz w:val="16"/>
                <w:szCs w:val="16"/>
              </w:rPr>
              <w:fldChar w:fldCharType="separate"/>
            </w:r>
            <w:r w:rsidRPr="00397A3E">
              <w:rPr>
                <w:rFonts w:ascii="Calibri" w:hAnsi="Calibri" w:cs="Calibri"/>
                <w:noProof w:val="0"/>
                <w:color w:val="000000"/>
                <w:sz w:val="16"/>
                <w:szCs w:val="16"/>
              </w:rPr>
              <w:t>Ahmed, Payyappat, et al., (2019)</w:t>
            </w:r>
            <w:r w:rsidRPr="00397A3E">
              <w:rPr>
                <w:rFonts w:ascii="Calibri" w:hAnsi="Calibri" w:cs="Calibri"/>
                <w:noProof w:val="0"/>
                <w:color w:val="000000"/>
                <w:sz w:val="16"/>
                <w:szCs w:val="16"/>
              </w:rPr>
              <w:fldChar w:fldCharType="end"/>
            </w:r>
            <w:r w:rsidR="00340567" w:rsidRPr="00397A3E">
              <w:rPr>
                <w:rFonts w:ascii="Calibri" w:hAnsi="Calibri" w:cs="Calibri"/>
                <w:noProof w:val="0"/>
                <w:color w:val="000000"/>
                <w:sz w:val="16"/>
                <w:szCs w:val="16"/>
              </w:rPr>
              <w:t xml:space="preserve"> Enhanced insights from human and animal host-associated molecular marker genes in a freshwater lake receiving wet weather overflows. (Qualitative research).</w:t>
            </w:r>
          </w:p>
        </w:tc>
        <w:tc>
          <w:tcPr>
            <w:tcW w:w="1011" w:type="dxa"/>
          </w:tcPr>
          <w:p w14:paraId="21DF0153" w14:textId="431257F5" w:rsidR="00907C87" w:rsidRPr="00397A3E" w:rsidRDefault="00171C91" w:rsidP="00907C87">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Adults exposed to water during recreation.</w:t>
            </w:r>
          </w:p>
        </w:tc>
        <w:tc>
          <w:tcPr>
            <w:tcW w:w="1104" w:type="dxa"/>
          </w:tcPr>
          <w:p w14:paraId="03429683" w14:textId="4BE81213" w:rsidR="00907C87" w:rsidRPr="00397A3E" w:rsidRDefault="00171C91" w:rsidP="00907C87">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Ingestion while swimming</w:t>
            </w:r>
          </w:p>
        </w:tc>
        <w:tc>
          <w:tcPr>
            <w:tcW w:w="1161" w:type="dxa"/>
          </w:tcPr>
          <w:p w14:paraId="2C94CC66" w14:textId="648CA0F3"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Freshwater lake (Lake Parramatta)</w:t>
            </w:r>
          </w:p>
        </w:tc>
        <w:tc>
          <w:tcPr>
            <w:tcW w:w="2364" w:type="dxa"/>
          </w:tcPr>
          <w:p w14:paraId="0CF3B696" w14:textId="64E69874"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FIB (</w:t>
            </w:r>
            <w:r w:rsidRPr="00397A3E">
              <w:rPr>
                <w:rFonts w:ascii="Calibri" w:hAnsi="Calibri" w:cs="Calibri"/>
                <w:i/>
                <w:iCs/>
                <w:noProof w:val="0"/>
                <w:sz w:val="16"/>
                <w:szCs w:val="16"/>
              </w:rPr>
              <w:t>E. coli</w:t>
            </w:r>
            <w:r w:rsidRPr="00397A3E">
              <w:rPr>
                <w:rFonts w:ascii="Calibri" w:hAnsi="Calibri" w:cs="Calibri"/>
                <w:noProof w:val="0"/>
                <w:sz w:val="16"/>
                <w:szCs w:val="16"/>
              </w:rPr>
              <w:t>, enterococci) and MST biomarkers used to assess magnitude of sewage and animal faecal contamination in Lake Parramatta water samples collected during a dry weather period and from two storm events coinciding with wet weather overflows of sewage to the lake.</w:t>
            </w:r>
          </w:p>
          <w:p w14:paraId="171320B1" w14:textId="77777777" w:rsidR="00907C87" w:rsidRPr="00397A3E" w:rsidRDefault="00171C91" w:rsidP="00907C87">
            <w:pPr>
              <w:spacing w:after="0" w:line="240" w:lineRule="auto"/>
              <w:rPr>
                <w:rFonts w:ascii="Calibri" w:hAnsi="Calibri" w:cs="Calibri"/>
                <w:noProof w:val="0"/>
                <w:sz w:val="16"/>
                <w:szCs w:val="16"/>
              </w:rPr>
            </w:pPr>
            <w:r w:rsidRPr="00397A3E">
              <w:rPr>
                <w:rFonts w:ascii="Calibri" w:hAnsi="Calibri" w:cs="Calibri"/>
                <w:noProof w:val="0"/>
                <w:sz w:val="16"/>
                <w:szCs w:val="16"/>
              </w:rPr>
              <w:t>MST marker genes tested were:</w:t>
            </w:r>
          </w:p>
          <w:p w14:paraId="491B1F5C" w14:textId="21C4D459" w:rsidR="00907C87" w:rsidRPr="00397A3E" w:rsidRDefault="00171C91" w:rsidP="00764500">
            <w:pPr>
              <w:pStyle w:val="ListParagraph"/>
              <w:numPr>
                <w:ilvl w:val="0"/>
                <w:numId w:val="48"/>
              </w:numPr>
              <w:spacing w:after="0" w:line="240" w:lineRule="auto"/>
              <w:ind w:left="177" w:hanging="142"/>
              <w:rPr>
                <w:rFonts w:ascii="Calibri" w:hAnsi="Calibri" w:cs="Calibri"/>
                <w:noProof w:val="0"/>
                <w:sz w:val="16"/>
                <w:szCs w:val="16"/>
                <w:lang w:val="en-AU"/>
              </w:rPr>
            </w:pPr>
            <w:r w:rsidRPr="00397A3E">
              <w:rPr>
                <w:rFonts w:ascii="Calibri" w:hAnsi="Calibri" w:cs="Calibri"/>
                <w:noProof w:val="0"/>
                <w:sz w:val="16"/>
                <w:szCs w:val="16"/>
                <w:lang w:val="en-AU"/>
              </w:rPr>
              <w:t xml:space="preserve"> Sewage: Bacteroides HF183, crAssphage CPQ_056 and pepper mild mottle virus (PMMoV), </w:t>
            </w:r>
          </w:p>
          <w:p w14:paraId="7CB03D5B" w14:textId="3D87C9B4" w:rsidR="00907C87" w:rsidRPr="00397A3E" w:rsidRDefault="00171C91" w:rsidP="00764500">
            <w:pPr>
              <w:pStyle w:val="ListParagraph"/>
              <w:numPr>
                <w:ilvl w:val="0"/>
                <w:numId w:val="48"/>
              </w:numPr>
              <w:spacing w:after="0" w:line="240" w:lineRule="auto"/>
              <w:ind w:left="177" w:hanging="142"/>
              <w:rPr>
                <w:rFonts w:ascii="Calibri" w:hAnsi="Calibri" w:cs="Calibri"/>
                <w:noProof w:val="0"/>
                <w:sz w:val="16"/>
                <w:szCs w:val="16"/>
                <w:lang w:val="en-AU"/>
              </w:rPr>
            </w:pPr>
            <w:r w:rsidRPr="00397A3E">
              <w:rPr>
                <w:rFonts w:ascii="Calibri" w:hAnsi="Calibri" w:cs="Calibri"/>
                <w:noProof w:val="0"/>
                <w:sz w:val="16"/>
                <w:szCs w:val="16"/>
                <w:lang w:val="en-AU"/>
              </w:rPr>
              <w:t>Animal faeces:- Bacteroides BacCan-UCD, cowM2 and Helicobacter spp. associated GFD.</w:t>
            </w:r>
          </w:p>
          <w:p w14:paraId="6372305C" w14:textId="1B68578F" w:rsidR="00907C87" w:rsidRPr="00397A3E" w:rsidRDefault="00907C87" w:rsidP="00907C87">
            <w:pPr>
              <w:spacing w:before="0" w:after="0" w:line="240" w:lineRule="auto"/>
              <w:rPr>
                <w:rFonts w:ascii="Calibri" w:hAnsi="Calibri" w:cs="Calibri"/>
                <w:noProof w:val="0"/>
                <w:sz w:val="16"/>
                <w:szCs w:val="16"/>
              </w:rPr>
            </w:pPr>
          </w:p>
        </w:tc>
        <w:tc>
          <w:tcPr>
            <w:tcW w:w="2101" w:type="dxa"/>
          </w:tcPr>
          <w:p w14:paraId="287B3D06" w14:textId="7777777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Box plots of FIB and MST marker genes concentrations in lake water samples categorised by sampling event and labelled for weather (wet vs dry).  Pearson’s correlation matrix among faecal indicator bacteria (FIB) and MST marker genes in pooled (n = 30) water samples    </w:t>
            </w:r>
          </w:p>
          <w:p w14:paraId="1AE0E5A6" w14:textId="324D038C"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The Pearson’s product</w:t>
            </w:r>
          </w:p>
          <w:p w14:paraId="2EB618F5" w14:textId="239A2F85" w:rsidR="00907C87" w:rsidRPr="00397A3E" w:rsidRDefault="00171C91" w:rsidP="00907C87">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moment correlation with a two-tailed p value was used to establish the relationship between FIB and MST marker genes in lake water samples. Student’s t-test used to identify significant relationships of the concentrations of FIB and MST marker genes between dry and wet weather events and between sampling depths (Reviewers note: 2-factor ANOVA would have been more appropriate here).</w:t>
            </w:r>
          </w:p>
        </w:tc>
        <w:tc>
          <w:tcPr>
            <w:tcW w:w="2551" w:type="dxa"/>
          </w:tcPr>
          <w:p w14:paraId="350A7B56" w14:textId="77777777" w:rsidR="00907C87" w:rsidRPr="00397A3E" w:rsidRDefault="00171C91" w:rsidP="00764500">
            <w:pPr>
              <w:pStyle w:val="ListParagraph"/>
              <w:numPr>
                <w:ilvl w:val="0"/>
                <w:numId w:val="48"/>
              </w:numPr>
              <w:spacing w:after="0" w:line="240" w:lineRule="auto"/>
              <w:ind w:left="177" w:hanging="142"/>
              <w:rPr>
                <w:rFonts w:ascii="Calibri" w:hAnsi="Calibri" w:cs="Calibri"/>
                <w:noProof w:val="0"/>
                <w:sz w:val="16"/>
                <w:szCs w:val="16"/>
                <w:lang w:val="en-AU"/>
              </w:rPr>
            </w:pPr>
            <w:r w:rsidRPr="00397A3E">
              <w:rPr>
                <w:rFonts w:ascii="Calibri" w:hAnsi="Calibri" w:cs="Calibri"/>
                <w:noProof w:val="0"/>
                <w:sz w:val="16"/>
                <w:szCs w:val="16"/>
                <w:lang w:val="en-AU"/>
              </w:rPr>
              <w:t xml:space="preserve">Magnitude of general and source-specific faecal pollution was low in water samples collected during dry weather compared to storm events. </w:t>
            </w:r>
          </w:p>
          <w:p w14:paraId="4AF9D8BC" w14:textId="77777777" w:rsidR="00907C87" w:rsidRPr="00397A3E" w:rsidRDefault="00171C91" w:rsidP="00764500">
            <w:pPr>
              <w:pStyle w:val="ListParagraph"/>
              <w:numPr>
                <w:ilvl w:val="0"/>
                <w:numId w:val="48"/>
              </w:numPr>
              <w:spacing w:after="0" w:line="240" w:lineRule="auto"/>
              <w:ind w:left="177" w:hanging="142"/>
              <w:rPr>
                <w:rFonts w:ascii="Calibri" w:hAnsi="Calibri" w:cs="Calibri"/>
                <w:noProof w:val="0"/>
                <w:sz w:val="16"/>
                <w:szCs w:val="16"/>
                <w:lang w:val="en-AU"/>
              </w:rPr>
            </w:pPr>
            <w:r w:rsidRPr="00397A3E">
              <w:rPr>
                <w:rFonts w:ascii="Calibri" w:hAnsi="Calibri" w:cs="Calibri"/>
                <w:noProof w:val="0"/>
                <w:sz w:val="16"/>
                <w:szCs w:val="16"/>
                <w:lang w:val="en-AU"/>
              </w:rPr>
              <w:t xml:space="preserve">The concentrations of HF183 and PMMoV in most storm water samples exceeded the risk benchmark threshold values established in the literature for primary contact recreators (see Table 3 in the paper). </w:t>
            </w:r>
          </w:p>
          <w:p w14:paraId="1F72A880" w14:textId="77777777" w:rsidR="00907C87" w:rsidRPr="00397A3E" w:rsidRDefault="00171C91" w:rsidP="00764500">
            <w:pPr>
              <w:pStyle w:val="ListParagraph"/>
              <w:numPr>
                <w:ilvl w:val="0"/>
                <w:numId w:val="48"/>
              </w:numPr>
              <w:spacing w:after="0" w:line="240" w:lineRule="auto"/>
              <w:ind w:left="177" w:hanging="142"/>
              <w:rPr>
                <w:rFonts w:ascii="Calibri" w:hAnsi="Calibri" w:cs="Calibri"/>
                <w:noProof w:val="0"/>
                <w:sz w:val="16"/>
                <w:szCs w:val="16"/>
                <w:lang w:val="en-AU"/>
              </w:rPr>
            </w:pPr>
            <w:r w:rsidRPr="00397A3E">
              <w:rPr>
                <w:rFonts w:ascii="Calibri" w:hAnsi="Calibri" w:cs="Calibri"/>
                <w:noProof w:val="0"/>
                <w:sz w:val="16"/>
                <w:szCs w:val="16"/>
                <w:lang w:val="en-AU"/>
              </w:rPr>
              <w:t>No samples positive for cowM2 (cow) marker gene</w:t>
            </w:r>
          </w:p>
          <w:p w14:paraId="1AE8392F" w14:textId="6F9CCD44" w:rsidR="00907C87" w:rsidRPr="00397A3E" w:rsidRDefault="00171C91" w:rsidP="00764500">
            <w:pPr>
              <w:pStyle w:val="ListParagraph"/>
              <w:numPr>
                <w:ilvl w:val="0"/>
                <w:numId w:val="48"/>
              </w:numPr>
              <w:spacing w:after="0" w:line="240" w:lineRule="auto"/>
              <w:ind w:left="177" w:hanging="142"/>
              <w:rPr>
                <w:rFonts w:ascii="Calibri" w:hAnsi="Calibri" w:cs="Calibri"/>
                <w:noProof w:val="0"/>
                <w:sz w:val="16"/>
                <w:szCs w:val="16"/>
                <w:lang w:val="en-AU"/>
              </w:rPr>
            </w:pPr>
            <w:r w:rsidRPr="00397A3E">
              <w:rPr>
                <w:rFonts w:ascii="Calibri" w:hAnsi="Calibri" w:cs="Calibri"/>
                <w:noProof w:val="0"/>
                <w:sz w:val="16"/>
                <w:szCs w:val="16"/>
                <w:lang w:val="en-AU"/>
              </w:rPr>
              <w:t>BacCan-UCD (dog) and GFD (avian) animal-associated markers sporadically detected in water samples collected from both dry weather and storm events.</w:t>
            </w:r>
          </w:p>
        </w:tc>
        <w:tc>
          <w:tcPr>
            <w:tcW w:w="1712" w:type="dxa"/>
          </w:tcPr>
          <w:p w14:paraId="224FE86C" w14:textId="5AE085B4"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Moderate to strong positive correlations observed among sewage-associated marker genes.</w:t>
            </w:r>
          </w:p>
          <w:p w14:paraId="72763E01" w14:textId="77777777" w:rsidR="00907C87" w:rsidRPr="00397A3E" w:rsidRDefault="00907C87" w:rsidP="00907C87">
            <w:pPr>
              <w:spacing w:before="0" w:after="0" w:line="240" w:lineRule="auto"/>
              <w:rPr>
                <w:rFonts w:ascii="Calibri" w:hAnsi="Calibri" w:cs="Calibri"/>
                <w:noProof w:val="0"/>
                <w:sz w:val="16"/>
                <w:szCs w:val="16"/>
              </w:rPr>
            </w:pPr>
          </w:p>
          <w:p w14:paraId="59E6932B" w14:textId="448E4DEA"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Levels of HF183, crAssphage and PMMoV in water samples collected during storm events were as high as 6.39, 6.33 and 5.27 log10 GC/L of water, respectively.</w:t>
            </w:r>
          </w:p>
        </w:tc>
        <w:tc>
          <w:tcPr>
            <w:tcW w:w="1407" w:type="dxa"/>
          </w:tcPr>
          <w:p w14:paraId="066E17E5" w14:textId="7777777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P-values (significance) of correlations not given.  P-values for multiple t-tests on HF183 concentrations given as follows:</w:t>
            </w:r>
          </w:p>
          <w:p w14:paraId="7928CC07" w14:textId="231EC64A"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Storm event 1 v 2, p &gt; 0.05, </w:t>
            </w:r>
          </w:p>
          <w:p w14:paraId="0457EC6E" w14:textId="44379368"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Depth (0.5 m vs 1 m above lakebed), p &gt; 0.05</w:t>
            </w:r>
          </w:p>
          <w:p w14:paraId="0129468E" w14:textId="7777777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Storm event 1 v 2 at 0.5 m, p &lt; 0.05</w:t>
            </w:r>
          </w:p>
          <w:p w14:paraId="1B46F8F1" w14:textId="740FCED6"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Storm event 1 v 2 at 1 m, p &gt; 0.05</w:t>
            </w:r>
          </w:p>
          <w:p w14:paraId="7DA8C351" w14:textId="6EA9BFA0" w:rsidR="00907C87" w:rsidRPr="00397A3E" w:rsidRDefault="00907C87" w:rsidP="00907C87">
            <w:pPr>
              <w:spacing w:before="0" w:after="0" w:line="240" w:lineRule="auto"/>
              <w:rPr>
                <w:rFonts w:ascii="Calibri" w:hAnsi="Calibri" w:cs="Calibri"/>
                <w:noProof w:val="0"/>
                <w:sz w:val="16"/>
                <w:szCs w:val="16"/>
              </w:rPr>
            </w:pPr>
          </w:p>
        </w:tc>
      </w:tr>
      <w:tr w:rsidR="00785848" w14:paraId="4658958D" w14:textId="77777777" w:rsidTr="00DA3913">
        <w:trPr>
          <w:cantSplit/>
          <w:trHeight w:val="561"/>
        </w:trPr>
        <w:tc>
          <w:tcPr>
            <w:tcW w:w="1043" w:type="dxa"/>
          </w:tcPr>
          <w:p w14:paraId="2D281C2B" w14:textId="47CE2FC9" w:rsidR="00907C87" w:rsidRPr="00397A3E" w:rsidRDefault="00171C91" w:rsidP="00907C87">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 xml:space="preserve">J4: </w:t>
            </w:r>
            <w:r w:rsidRPr="00397A3E">
              <w:rPr>
                <w:rFonts w:ascii="Calibri" w:hAnsi="Calibri" w:cs="Calibri"/>
                <w:noProof w:val="0"/>
                <w:color w:val="000000"/>
                <w:sz w:val="16"/>
                <w:szCs w:val="16"/>
              </w:rPr>
              <w:fldChar w:fldCharType="begin"/>
            </w:r>
            <w:r w:rsidR="0069143F" w:rsidRPr="00397A3E">
              <w:rPr>
                <w:rFonts w:ascii="Calibri" w:hAnsi="Calibri" w:cs="Calibri"/>
                <w:noProof w:val="0"/>
                <w:color w:val="000000"/>
                <w:sz w:val="16"/>
                <w:szCs w:val="16"/>
              </w:rPr>
              <w:instrText xml:space="preserve"> ADDIN ZOTERO_ITEM CSL_CITATION {"citationID":"8oNEcmEM","properties":{"custom":"Ahmed, Payyappat, et al., (2020)","formattedCitation":"Ahmed, Payyappat, et al., (2020)","plainCitation":"Ahmed, Payyappat, et al., (2020)","noteIndex":0},"citationItems":[{"id":12760,"uris":["http://zotero.org/users/148142/items/P5CCED5G"],"uri":["http://zotero.org/users/148142/items/P5CCED5G"],"itemData":{"id":12760,"type":"article-journal","abstract":"This study investigates the impact of wet weather overflows (WWOs) at three estuarine locations in Sydney, NSW, Australia. WWOs can occur when infiltration of stormwater leads to an excess volume of flow within the sewerage system, resulting in the release of diluted sewage into the environment. Sewage contamination poses a risk to human health due to the presence of pathogens. The magnitude of sewage contamination was monitored using established and novel sewage-associated marker genes, Bacteroides HF183, pepper mild mottle virus (PMMoV), crAssphage CPQ_056, Lachnospiraceae (Lachno3) marker genes along with culturable fecal indicator bacteria (FIB) Escherichia coli (E. coli) and enterococci. Water samples were collected at two water depths (0.5 m below the water surface and 1 m above the bottom surface) during one dry weather and two storm events. Analysis of sewage-associated marker genes showed greater (i.e., 3-5 orders of magnitude) concentrations in water samples collected during the storm events compared to dry weather event. Water samples were also analysed for four animal feces-associated marker genes targeting avian (GFD), dog (BacCan-UCD), cow (cowM2) and horse (HoF597) species to determine the extent of animal fecal contamination. Among the four marker genes, cowM2 and HoF597 could not be detected, while GFD marker gene was consistently present and BacCan-UCD was occasionally detected. Overall results suggested that after rainfall, untreated sewage from WWOs was present at sampling locations. In addition, microbial source tracking (MST) monitoring was able to distinguish the presence of a leaking sewer impacting on the recreational area during dry weather condition. This study demonstrated the capability of the MST monitoring approach to understand sources (sewage or animal) of fecal contamination. This capability will greatly enhance management decisions assisting in the prioritisation of remediation efforts of the sewerage system to improve estuarine bathing water quality and diminish human health risk.","container-title":"The Science of the Total Environment","DOI":"10.1016/j.scitotenv.2019.135390","ISSN":"1879-1026","journalAbbreviation":"Sci. Total Environ.","language":"eng","page":"135390","source":"PubMed","title":"Sewage-associated marker genes illustrate the impact of wet weather overflows and dry weather leakage in urban estuarine waters of Sydney, Australia","URL":"http://www.ncbi.nlm.nih.gov/pubmed/31838427","volume":"705","author":[{"family":"Ahmed","given":"Warish"},{"family":"Payyappat","given":"Sudhi"},{"family":"Cassidy","given":"Michele"},{"family":"Harrison","given":"Nathan"},{"family":"Besley","given":"Colin"}],"issued":{"date-parts":[["2020",2,25]]}}}],"schema":"https://github.com/citation-style-language/schema/raw/master/csl-citation.json"} </w:instrText>
            </w:r>
            <w:r w:rsidRPr="00397A3E">
              <w:rPr>
                <w:rFonts w:ascii="Calibri" w:hAnsi="Calibri" w:cs="Calibri"/>
                <w:noProof w:val="0"/>
                <w:color w:val="000000"/>
                <w:sz w:val="16"/>
                <w:szCs w:val="16"/>
              </w:rPr>
              <w:fldChar w:fldCharType="separate"/>
            </w:r>
            <w:r w:rsidRPr="00397A3E">
              <w:rPr>
                <w:rFonts w:ascii="Calibri" w:hAnsi="Calibri" w:cs="Calibri"/>
                <w:noProof w:val="0"/>
                <w:color w:val="000000"/>
                <w:sz w:val="16"/>
                <w:szCs w:val="16"/>
              </w:rPr>
              <w:t>Ahmed, Payyappat, et al., (2020)</w:t>
            </w:r>
            <w:r w:rsidRPr="00397A3E">
              <w:rPr>
                <w:rFonts w:ascii="Calibri" w:hAnsi="Calibri" w:cs="Calibri"/>
                <w:noProof w:val="0"/>
                <w:color w:val="000000"/>
                <w:sz w:val="16"/>
                <w:szCs w:val="16"/>
              </w:rPr>
              <w:fldChar w:fldCharType="end"/>
            </w:r>
            <w:r w:rsidR="00340567" w:rsidRPr="00397A3E">
              <w:rPr>
                <w:rFonts w:ascii="Calibri" w:hAnsi="Calibri" w:cs="Calibri"/>
                <w:noProof w:val="0"/>
                <w:color w:val="000000"/>
                <w:sz w:val="16"/>
                <w:szCs w:val="16"/>
              </w:rPr>
              <w:t xml:space="preserve"> Sewage-associated marker genes illustrate the impact of wet weather overflows and dry weather leakage in urban estuarine waters of Sydney, Australia. (Qualitative research).</w:t>
            </w:r>
          </w:p>
        </w:tc>
        <w:tc>
          <w:tcPr>
            <w:tcW w:w="1011" w:type="dxa"/>
          </w:tcPr>
          <w:p w14:paraId="76CD597C" w14:textId="4BF32FAA" w:rsidR="00907C87" w:rsidRPr="00397A3E" w:rsidRDefault="00171C91" w:rsidP="00907C87">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Adults exposed to water during recreation.</w:t>
            </w:r>
          </w:p>
        </w:tc>
        <w:tc>
          <w:tcPr>
            <w:tcW w:w="1104" w:type="dxa"/>
          </w:tcPr>
          <w:p w14:paraId="3EEEEF45" w14:textId="673D08A8" w:rsidR="00907C87" w:rsidRPr="00397A3E" w:rsidRDefault="00171C91" w:rsidP="00907C87">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Ingestion while swimming</w:t>
            </w:r>
          </w:p>
        </w:tc>
        <w:tc>
          <w:tcPr>
            <w:tcW w:w="1161" w:type="dxa"/>
          </w:tcPr>
          <w:p w14:paraId="6F5E0268" w14:textId="63CBAAEB"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Three urban estuarine recreational water sites in Sydney</w:t>
            </w:r>
          </w:p>
        </w:tc>
        <w:tc>
          <w:tcPr>
            <w:tcW w:w="2364" w:type="dxa"/>
          </w:tcPr>
          <w:p w14:paraId="1840C3D5" w14:textId="25DC9F86"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Concentrations of culturable faecal indicator bacteria (FIB) and MST biomarker genes measured in dry weather samples and samples following storm events from 6 sampling stations at each of the three estuaries.  At each station samples collected at (i) 0.5 m below the water surface, and (ii) 1 m above the bottom surface to investigate whether MST marker genes declined with depth.</w:t>
            </w:r>
          </w:p>
          <w:p w14:paraId="048F2F8B" w14:textId="1ACF2811" w:rsidR="00907C87" w:rsidRPr="00397A3E" w:rsidRDefault="00907C87" w:rsidP="00907C87">
            <w:pPr>
              <w:spacing w:before="0" w:after="0" w:line="240" w:lineRule="auto"/>
              <w:rPr>
                <w:rFonts w:ascii="Calibri" w:hAnsi="Calibri" w:cs="Calibri"/>
                <w:noProof w:val="0"/>
                <w:sz w:val="16"/>
                <w:szCs w:val="16"/>
              </w:rPr>
            </w:pPr>
          </w:p>
        </w:tc>
        <w:tc>
          <w:tcPr>
            <w:tcW w:w="2101" w:type="dxa"/>
          </w:tcPr>
          <w:p w14:paraId="1D182095" w14:textId="7777777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MST biomarker genes used were Bacteroides HF183, pepper mild mottle virus (PMMoV), crAssphage CPQ_056, Lachnospiraceae (Lachno3), whilst FIB used were </w:t>
            </w:r>
            <w:r w:rsidRPr="00397A3E">
              <w:rPr>
                <w:rFonts w:ascii="Calibri" w:hAnsi="Calibri" w:cs="Calibri"/>
                <w:i/>
                <w:noProof w:val="0"/>
                <w:sz w:val="16"/>
                <w:szCs w:val="16"/>
              </w:rPr>
              <w:t>E. coli</w:t>
            </w:r>
            <w:r w:rsidRPr="00397A3E">
              <w:rPr>
                <w:rFonts w:ascii="Calibri" w:hAnsi="Calibri" w:cs="Calibri"/>
                <w:noProof w:val="0"/>
                <w:sz w:val="16"/>
                <w:szCs w:val="16"/>
              </w:rPr>
              <w:t xml:space="preserve"> and enterococci.  </w:t>
            </w:r>
          </w:p>
          <w:p w14:paraId="041FA05F" w14:textId="7DEA359F"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Water samples also analysed for animal faeces-associated biomarker genes targeting avian (GFD), dog (BacCan-UCD), cow (cowM2) and horse (HoF597) species to determine the extent of animal faecal contamination.</w:t>
            </w:r>
          </w:p>
        </w:tc>
        <w:tc>
          <w:tcPr>
            <w:tcW w:w="2551" w:type="dxa"/>
          </w:tcPr>
          <w:p w14:paraId="15D24398" w14:textId="4FFED2CF"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Analysis of sewage associated marker genes showed greater (i.e., 3–5 orders of magnitude) concentrations in water samples collected during the storm events compared to dry weather event; attributed to untreated sewage from wet weather overflows (WWOs).</w:t>
            </w:r>
          </w:p>
          <w:p w14:paraId="6FB44E41" w14:textId="103143AA"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Animal faeces-associated marker genes, cowM2 (cow), HoF597 (horse) not detected, GFD (avian) consistently present, and BacCan-UCD (dog) occasionally detected. </w:t>
            </w:r>
          </w:p>
          <w:p w14:paraId="3E77EC25" w14:textId="7777777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Depth profile analysis of FIB indicated overall greater concentrations at the surface compared to the bottom of the water bodies.</w:t>
            </w:r>
          </w:p>
          <w:p w14:paraId="4C580AD1" w14:textId="12A9C409" w:rsidR="00907C87" w:rsidRPr="00397A3E" w:rsidRDefault="00907C87" w:rsidP="00907C87">
            <w:pPr>
              <w:spacing w:before="0" w:after="0" w:line="240" w:lineRule="auto"/>
              <w:rPr>
                <w:rFonts w:ascii="Calibri" w:hAnsi="Calibri" w:cs="Calibri"/>
                <w:noProof w:val="0"/>
                <w:sz w:val="16"/>
                <w:szCs w:val="16"/>
              </w:rPr>
            </w:pPr>
          </w:p>
        </w:tc>
        <w:tc>
          <w:tcPr>
            <w:tcW w:w="1712" w:type="dxa"/>
          </w:tcPr>
          <w:p w14:paraId="68A3D781" w14:textId="10404C66"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Student’s t test performed to determine statistical significance of the concentrations of marker genes between dry and storm events as well as between two sampling depths. P values of &lt; 0.05 were considered significant.  Too many results to display here. See paper for details</w:t>
            </w:r>
          </w:p>
        </w:tc>
        <w:tc>
          <w:tcPr>
            <w:tcW w:w="1407" w:type="dxa"/>
          </w:tcPr>
          <w:p w14:paraId="708F590F" w14:textId="3268F470"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Effects varied with FIB and MST marker gene but generally showed increased concentrations of both categories during storm events compared to dry weather. </w:t>
            </w:r>
          </w:p>
        </w:tc>
      </w:tr>
      <w:tr w:rsidR="00785848" w14:paraId="427EDF4B" w14:textId="77777777" w:rsidTr="00DA3913">
        <w:trPr>
          <w:cantSplit/>
          <w:trHeight w:val="1345"/>
        </w:trPr>
        <w:tc>
          <w:tcPr>
            <w:tcW w:w="1043" w:type="dxa"/>
          </w:tcPr>
          <w:p w14:paraId="6A7EC0E1" w14:textId="75E1E72C" w:rsidR="00907C87" w:rsidRPr="00397A3E" w:rsidRDefault="00171C91" w:rsidP="00907C87">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 xml:space="preserve">J5: </w:t>
            </w:r>
            <w:r w:rsidRPr="00397A3E">
              <w:rPr>
                <w:rFonts w:ascii="Calibri" w:hAnsi="Calibri" w:cs="Calibri"/>
                <w:noProof w:val="0"/>
                <w:color w:val="000000"/>
                <w:sz w:val="16"/>
                <w:szCs w:val="16"/>
              </w:rPr>
              <w:fldChar w:fldCharType="begin"/>
            </w:r>
            <w:r w:rsidR="0069143F" w:rsidRPr="00397A3E">
              <w:rPr>
                <w:rFonts w:ascii="Calibri" w:hAnsi="Calibri" w:cs="Calibri"/>
                <w:noProof w:val="0"/>
                <w:color w:val="000000"/>
                <w:sz w:val="16"/>
                <w:szCs w:val="16"/>
              </w:rPr>
              <w:instrText xml:space="preserve"> ADDIN ZOTERO_ITEM CSL_CITATION {"citationID":"OHaVnjAs","properties":{"custom":"Ahmed, Zhang, et al., (2019)","formattedCitation":"Ahmed, Zhang, et al., (2019)","plainCitation":"Ahmed, Zhang, et al., (2019)","noteIndex":0},"citationItems":[{"id":12766,"uris":["http://zotero.org/users/148142/items/LGHQMG2K"],"uri":["http://zotero.org/users/148142/items/LGHQMG2K"],"itemData":{"id":12766,"type":"article-journal","abstract":"There is a growing move towards using the quantitative polymerase chain (qPCR)-based sewage-associated marker genes to assess surface water quality. However, a lack of understanding about the persistence of many sewage-associated markers creates uncertainty for those tasked with investigating microbial water quality. In this study, we investigated the decay of two qPCR FIB [E. coli (EC), and Enterococcus spp. (ENT) 23S rRNA genes] and four sewage-associated microbial source tracking (MST) marker genes [human Bacteroides HF183 16S rRNA, adenovirus (HAdV), and polyomavirus (HPyV), and crAssphage, a recently described bacteriophage in feces], in outdoor mesocosms containing fresh and marine waters and their corresponding sediments. Decay rates of EC 23S rRNA, ENT 23S rRNA, and HF183 16S rRNA were significantly (p &lt; 0.05) faster than the HAdV, HPyV and crAssphage markers in water samples from all mesocosms. In general, decay rates of bacterial targets were similar in the water columns of the studied mesocosms. Similarly, decay rates of viral targets were also alike in mesocosm water columns in relation to each other. The decay rates of FIB and sewage-associated markers were significantly faster in water samples compared to sediments in all three mesocosms. In the event of resuspension, FIB and marker genes from sediments can potentially recontaminate overlying waters. Thus, care should be taken when interpreting the occurrence of FIB and sewage-associated MST markers in water, which may have originated from sediments. The differential decay of these targets may also influence health outcomes and need to be considered in risk assessment models.","container-title":"Water Research","DOI":"10.1016/j.watres.2018.10.088","ISSN":"1879-2448","journalAbbreviation":"Water Res.","language":"eng","page":"511-521","source":"PubMed","title":"Comparative decay of sewage-associated marker genes in beach water and sediment in a subtropical region","URL":"http://www.ncbi.nlm.nih.gov/pubmed/30500686","volume":"149","author":[{"family":"Ahmed","given":"Warish"},{"family":"Zhang","given":"Qian"},{"family":"Kozak","given":"Sonya"},{"family":"Beale","given":"David"},{"family":"Gyawali","given":"Pradip"},{"family":"Sadowsky","given":"Michael J."},{"family":"Simpson","given":"Stuart"}],"issued":{"date-parts":[["2019"]]}}}],"schema":"https://github.com/citation-style-language/schema/raw/master/csl-citation.json"} </w:instrText>
            </w:r>
            <w:r w:rsidRPr="00397A3E">
              <w:rPr>
                <w:rFonts w:ascii="Calibri" w:hAnsi="Calibri" w:cs="Calibri"/>
                <w:noProof w:val="0"/>
                <w:color w:val="000000"/>
                <w:sz w:val="16"/>
                <w:szCs w:val="16"/>
              </w:rPr>
              <w:fldChar w:fldCharType="separate"/>
            </w:r>
            <w:r w:rsidRPr="00397A3E">
              <w:rPr>
                <w:rFonts w:ascii="Calibri" w:hAnsi="Calibri" w:cs="Calibri"/>
                <w:noProof w:val="0"/>
                <w:color w:val="000000"/>
                <w:sz w:val="16"/>
                <w:szCs w:val="16"/>
              </w:rPr>
              <w:t>Ahmed, Zhang, et al., (2019)</w:t>
            </w:r>
            <w:r w:rsidRPr="00397A3E">
              <w:rPr>
                <w:rFonts w:ascii="Calibri" w:hAnsi="Calibri" w:cs="Calibri"/>
                <w:noProof w:val="0"/>
                <w:color w:val="000000"/>
                <w:sz w:val="16"/>
                <w:szCs w:val="16"/>
              </w:rPr>
              <w:fldChar w:fldCharType="end"/>
            </w:r>
            <w:r w:rsidR="00340567" w:rsidRPr="00397A3E">
              <w:rPr>
                <w:rFonts w:ascii="Calibri" w:hAnsi="Calibri" w:cs="Calibri"/>
                <w:noProof w:val="0"/>
                <w:color w:val="000000"/>
                <w:sz w:val="16"/>
                <w:szCs w:val="16"/>
              </w:rPr>
              <w:t xml:space="preserve"> Comparative decay of sewage-associated marker genes in beach water and sediment in a subtropical region. (Qualitative research).</w:t>
            </w:r>
          </w:p>
        </w:tc>
        <w:tc>
          <w:tcPr>
            <w:tcW w:w="1011" w:type="dxa"/>
          </w:tcPr>
          <w:p w14:paraId="1BBA6D74" w14:textId="22CEB489"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N/A.  No health assessment undertaken.</w:t>
            </w:r>
          </w:p>
        </w:tc>
        <w:tc>
          <w:tcPr>
            <w:tcW w:w="1104" w:type="dxa"/>
          </w:tcPr>
          <w:p w14:paraId="5A05BC54" w14:textId="405B55A1"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N/A.  Study focuses on decay rates of FIB and bacterial and viral biomarkers</w:t>
            </w:r>
          </w:p>
        </w:tc>
        <w:tc>
          <w:tcPr>
            <w:tcW w:w="1161" w:type="dxa"/>
          </w:tcPr>
          <w:p w14:paraId="2916BD68" w14:textId="492E1FA8"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Outdoor mesocosms (8L plastic containers with 4-5 cm sediment). Water samples collected from 3 sites, (2 marine, 1 freshwater lake).  3 replicates for source; 9 mesocosms total.</w:t>
            </w:r>
          </w:p>
        </w:tc>
        <w:tc>
          <w:tcPr>
            <w:tcW w:w="2364" w:type="dxa"/>
          </w:tcPr>
          <w:p w14:paraId="0F7C7AF2" w14:textId="031F0118"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Study investigated decay of 4 sewage-associated bacterial and viral markers (HF183, HAdV, HPyV, and crAssphage), in relation to each other and qPCR FIB [</w:t>
            </w:r>
            <w:r w:rsidRPr="00397A3E">
              <w:rPr>
                <w:rFonts w:ascii="Calibri" w:hAnsi="Calibri" w:cs="Calibri"/>
                <w:i/>
                <w:iCs/>
                <w:noProof w:val="0"/>
                <w:sz w:val="16"/>
                <w:szCs w:val="16"/>
              </w:rPr>
              <w:t>E. coli</w:t>
            </w:r>
            <w:r w:rsidRPr="00397A3E">
              <w:rPr>
                <w:rFonts w:ascii="Calibri" w:hAnsi="Calibri" w:cs="Calibri"/>
                <w:noProof w:val="0"/>
                <w:sz w:val="16"/>
                <w:szCs w:val="16"/>
              </w:rPr>
              <w:t xml:space="preserve"> (EC), and </w:t>
            </w:r>
            <w:r w:rsidRPr="00397A3E">
              <w:rPr>
                <w:rFonts w:ascii="Calibri" w:hAnsi="Calibri" w:cs="Calibri"/>
                <w:i/>
                <w:iCs/>
                <w:noProof w:val="0"/>
                <w:sz w:val="16"/>
                <w:szCs w:val="16"/>
              </w:rPr>
              <w:t>Enterococcus</w:t>
            </w:r>
            <w:r w:rsidRPr="00397A3E">
              <w:rPr>
                <w:rFonts w:ascii="Calibri" w:hAnsi="Calibri" w:cs="Calibri"/>
                <w:noProof w:val="0"/>
                <w:sz w:val="16"/>
                <w:szCs w:val="16"/>
              </w:rPr>
              <w:t xml:space="preserve"> spp. (ENT) 23S rRNA genes], in sewage contaminated fresh and marine waters and accompanying sandy sediments.</w:t>
            </w:r>
          </w:p>
          <w:p w14:paraId="686CFEEB" w14:textId="6BA8A40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Outdoor mesocosms containing water and sediment were inoculated with untreated sewage, and qPCR assays used to quantify each target over 40 days to determine decay rates.</w:t>
            </w:r>
          </w:p>
        </w:tc>
        <w:tc>
          <w:tcPr>
            <w:tcW w:w="2101" w:type="dxa"/>
          </w:tcPr>
          <w:p w14:paraId="799BD59A" w14:textId="7777777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1 water sample (100 mL) collected from each mesocosm on each of days 0, 1, 4, 8, 14, 24 and 40. </w:t>
            </w:r>
          </w:p>
          <w:p w14:paraId="25369259" w14:textId="5FD9947B"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1 sediment sample (approximately 1 g) collected from each mesocosm on days 0,</w:t>
            </w:r>
            <w:r w:rsidR="001B3DDF">
              <w:rPr>
                <w:rFonts w:ascii="Calibri" w:hAnsi="Calibri" w:cs="Calibri"/>
                <w:noProof w:val="0"/>
                <w:sz w:val="16"/>
                <w:szCs w:val="16"/>
              </w:rPr>
              <w:t xml:space="preserve"> </w:t>
            </w:r>
            <w:r w:rsidRPr="00397A3E">
              <w:rPr>
                <w:rFonts w:ascii="Calibri" w:hAnsi="Calibri" w:cs="Calibri"/>
                <w:noProof w:val="0"/>
                <w:sz w:val="16"/>
                <w:szCs w:val="16"/>
              </w:rPr>
              <w:t>1, 4, 8,</w:t>
            </w:r>
            <w:r w:rsidR="001B3DDF">
              <w:rPr>
                <w:rFonts w:ascii="Calibri" w:hAnsi="Calibri" w:cs="Calibri"/>
                <w:noProof w:val="0"/>
                <w:sz w:val="16"/>
                <w:szCs w:val="16"/>
              </w:rPr>
              <w:t xml:space="preserve"> </w:t>
            </w:r>
            <w:r w:rsidRPr="00397A3E">
              <w:rPr>
                <w:rFonts w:ascii="Calibri" w:hAnsi="Calibri" w:cs="Calibri"/>
                <w:noProof w:val="0"/>
                <w:sz w:val="16"/>
                <w:szCs w:val="16"/>
              </w:rPr>
              <w:t xml:space="preserve">14, 24 and 40. </w:t>
            </w:r>
          </w:p>
          <w:p w14:paraId="447D04AA" w14:textId="15B393B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Water samples were collected prior to sediment samples to avoid sediment disturbance.</w:t>
            </w:r>
          </w:p>
          <w:p w14:paraId="387C69CB" w14:textId="77777777" w:rsidR="00907C87" w:rsidRPr="00397A3E" w:rsidRDefault="00907C87" w:rsidP="00907C87">
            <w:pPr>
              <w:spacing w:before="0" w:after="0" w:line="240" w:lineRule="auto"/>
              <w:rPr>
                <w:rFonts w:ascii="Calibri" w:hAnsi="Calibri" w:cs="Calibri"/>
                <w:noProof w:val="0"/>
                <w:sz w:val="16"/>
                <w:szCs w:val="16"/>
              </w:rPr>
            </w:pPr>
          </w:p>
        </w:tc>
        <w:tc>
          <w:tcPr>
            <w:tcW w:w="2551" w:type="dxa"/>
          </w:tcPr>
          <w:p w14:paraId="017658AE" w14:textId="6ECA83FC"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In general, decay rates of bacterial targets were similar in the water columns of the studied mesocosms. Similarly, decay rates of viral targets were also alike in mesocosm water columns in relation to each other. </w:t>
            </w:r>
          </w:p>
          <w:p w14:paraId="03DD86D2" w14:textId="1BD97BFD"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The decay rates of FIB and sewage-associated markers were significantly faster in water samples compared to sediments in all three mesocosms.</w:t>
            </w:r>
          </w:p>
          <w:p w14:paraId="6CDCE6E5" w14:textId="7777777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Decay rates of bacterial targets (two FIB and HF183) were fast and similar in water samples across three mesocosms. </w:t>
            </w:r>
          </w:p>
          <w:p w14:paraId="17F36438" w14:textId="53E87CB8"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Similarly, decay rates of viral targets (HAdV, HPyV and crAssphage) were similar in water samples, however, viral targets persisted significantly longer (p &lt; 0.05) than did bacterial targets. </w:t>
            </w:r>
          </w:p>
        </w:tc>
        <w:tc>
          <w:tcPr>
            <w:tcW w:w="1712" w:type="dxa"/>
          </w:tcPr>
          <w:p w14:paraId="6F587927" w14:textId="59C77536"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Too many results to display here. See paper for details (Figure 1, Table 2).</w:t>
            </w:r>
          </w:p>
        </w:tc>
        <w:tc>
          <w:tcPr>
            <w:tcW w:w="1407" w:type="dxa"/>
          </w:tcPr>
          <w:p w14:paraId="2F0B92D1" w14:textId="7777777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Decay rates of EC 23S rRNA, ENT 23S rRNA, and HF183 16S rRNA were significantly (p &lt; 0.05) faster than the HAdV, HPyV and crAssphage markers in water samples from all mesocosms.</w:t>
            </w:r>
          </w:p>
          <w:p w14:paraId="0ACC1223" w14:textId="77777777" w:rsidR="00907C87" w:rsidRPr="00397A3E" w:rsidRDefault="00907C87" w:rsidP="00907C87">
            <w:pPr>
              <w:spacing w:before="0" w:after="0" w:line="240" w:lineRule="auto"/>
              <w:rPr>
                <w:rFonts w:ascii="Calibri" w:hAnsi="Calibri" w:cs="Calibri"/>
                <w:noProof w:val="0"/>
                <w:sz w:val="16"/>
                <w:szCs w:val="16"/>
              </w:rPr>
            </w:pPr>
          </w:p>
          <w:p w14:paraId="302CD1F1" w14:textId="19059276"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Decay rates of FIB and sewage-associated markers were significantly faster in water samples compared to sediment in all mesocosms. </w:t>
            </w:r>
          </w:p>
        </w:tc>
      </w:tr>
      <w:tr w:rsidR="00785848" w14:paraId="03F4FBE1" w14:textId="77777777" w:rsidTr="00DA3913">
        <w:trPr>
          <w:cantSplit/>
          <w:trHeight w:val="1345"/>
        </w:trPr>
        <w:tc>
          <w:tcPr>
            <w:tcW w:w="1043" w:type="dxa"/>
          </w:tcPr>
          <w:p w14:paraId="39FFBA55" w14:textId="0F2A9AE8" w:rsidR="00907C87" w:rsidRPr="00397A3E" w:rsidRDefault="00171C91" w:rsidP="00907C87">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 xml:space="preserve">J6: </w:t>
            </w:r>
            <w:r w:rsidRPr="00397A3E">
              <w:rPr>
                <w:rFonts w:ascii="Calibri" w:hAnsi="Calibri" w:cs="Calibri"/>
                <w:noProof w:val="0"/>
                <w:color w:val="000000"/>
                <w:sz w:val="16"/>
                <w:szCs w:val="16"/>
              </w:rPr>
              <w:fldChar w:fldCharType="begin"/>
            </w:r>
            <w:r w:rsidR="0069143F" w:rsidRPr="00397A3E">
              <w:rPr>
                <w:rFonts w:ascii="Calibri" w:hAnsi="Calibri" w:cs="Calibri"/>
                <w:noProof w:val="0"/>
                <w:color w:val="000000"/>
                <w:sz w:val="16"/>
                <w:szCs w:val="16"/>
              </w:rPr>
              <w:instrText xml:space="preserve"> ADDIN ZOTERO_ITEM CSL_CITATION {"citationID":"0P8RvSP5","properties":{"custom":"Arnold, Schiff, et al., (2017)","formattedCitation":"Arnold, Schiff, et al., (2017)","plainCitation":"Arnold, Schiff, et al., (2017)","noteIndex":0},"citationItems":[{"id":17433,"uris":["http://zotero.org/users/148142/items/CUJ53VZF"],"uri":["http://zotero.org/users/148142/items/CUJ53VZF"],"itemData":{"id":17433,"type":"article-journal","abstract":"Rainstorms increase levels of fecal indicator bacteria in urban coastal waters, but it is unknown whether exposure to seawater after rainstorms increases rates of acute illness. Our objective was to provide the first estimates of rates of acute illness after seawater exposure during both dry- and wet-weather periods and to determine the relationship between levels of indicator bacteria and illness among surfers, a population with a high potential for exposure after rain. We enrolled 654 surfers in San Diego, California, and followed them longitudinally during the 2013–2014 and 2014–2015 winters (33,377 days of observation, 10,081 surf sessions). We measured daily surf activities and illness symptoms (gastrointestinal illness, sinus infections, ear infections, infected wounds). Compared with no exposure, exposure to seawater during dry weather increased incidence rates of all outcomes (e.g., for earache or infection, adjusted incidence rate ratio (IRR) = 1.86, 95% confidence interval (CI): 1.27, 2.71; for infected wounds, IRR = 3.04, 95% CI: 1.54, 5.98); exposure during wet weather further increased rates (e.g., for earache or infection, IRR = 3.28, 95% CI: 1.95, 5.51; for infected wounds, IRR = 4.96, 95% CI: 2.18, 11.29). Fecal indicator bacteria measured in seawater (Enterococcus species, fecal coliforms, total coliforms) were strongly associated with incident illness only during wet weather. Urban coastal seawater exposure increases the incidence rates of many acute illnesses among surfers, with higher incidence rates after rainstorms.","container-title":"American Journal of Epidemiology","DOI":"10.1093/aje/kwx019","ISSN":"0002-9262","issue":"7","journalAbbreviation":"American Journal of Epidemiology","page":"866-875","source":"Silverchair","title":"Acute Illness Among Surfers After Exposure to Seawater in Dry- and Wet-Weather Conditions","URL":"https://doi.org/10.1093/aje/kwx019","volume":"186","author":[{"family":"Arnold","given":"Benjamin F."},{"family":"Schiff","given":"Kenneth C."},{"family":"Ercumen","given":"Ayse"},{"family":"Benjamin-Chung","given":"Jade"},{"family":"Steele","given":"Joshua A."},{"family":"Griffith","given":"John F."},{"family":"Steinberg","given":"Steven J."},{"family":"Smith","given":"Paul"},{"family":"McGee","given":"Charles D."},{"family":"Wilson","given":"Richard"},{"family":"Nelsen","given":"Chad"},{"family":"Weisberg","given":"Stephen B."},{"family":"Colford","given":"John M.","suffix":"Jr."}],"accessed":{"date-parts":[["2021",3,10]]},"issued":{"date-parts":[["2017",10,1]]}}}],"schema":"https://github.com/citation-style-language/schema/raw/master/csl-citation.json"} </w:instrText>
            </w:r>
            <w:r w:rsidRPr="00397A3E">
              <w:rPr>
                <w:rFonts w:ascii="Calibri" w:hAnsi="Calibri" w:cs="Calibri"/>
                <w:noProof w:val="0"/>
                <w:color w:val="000000"/>
                <w:sz w:val="16"/>
                <w:szCs w:val="16"/>
              </w:rPr>
              <w:fldChar w:fldCharType="separate"/>
            </w:r>
            <w:r w:rsidRPr="00397A3E">
              <w:rPr>
                <w:rFonts w:ascii="Calibri" w:hAnsi="Calibri" w:cs="Calibri"/>
                <w:noProof w:val="0"/>
                <w:color w:val="000000"/>
                <w:sz w:val="16"/>
                <w:szCs w:val="16"/>
              </w:rPr>
              <w:t>Arnold, Schiff, et al., (2017)</w:t>
            </w:r>
            <w:r w:rsidRPr="00397A3E">
              <w:rPr>
                <w:rFonts w:ascii="Calibri" w:hAnsi="Calibri" w:cs="Calibri"/>
                <w:noProof w:val="0"/>
                <w:color w:val="000000"/>
                <w:sz w:val="16"/>
                <w:szCs w:val="16"/>
              </w:rPr>
              <w:fldChar w:fldCharType="end"/>
            </w:r>
            <w:r w:rsidR="00340567" w:rsidRPr="00397A3E">
              <w:rPr>
                <w:rFonts w:ascii="Calibri" w:hAnsi="Calibri" w:cs="Calibri"/>
                <w:noProof w:val="0"/>
                <w:color w:val="000000"/>
                <w:sz w:val="16"/>
                <w:szCs w:val="16"/>
              </w:rPr>
              <w:t xml:space="preserve"> Acute Illness Among Surfers After Exposure to Seawater in Dry- and Wet-Weather Conditions. (Cohort study).</w:t>
            </w:r>
          </w:p>
        </w:tc>
        <w:tc>
          <w:tcPr>
            <w:tcW w:w="1011" w:type="dxa"/>
          </w:tcPr>
          <w:p w14:paraId="229C274C" w14:textId="4AAE5EBC" w:rsidR="00907C87" w:rsidRPr="00397A3E" w:rsidRDefault="00171C91" w:rsidP="00907C87">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Adult surfers  (&gt;=18 yrs) (at San Diego, CA, USA).</w:t>
            </w:r>
          </w:p>
        </w:tc>
        <w:tc>
          <w:tcPr>
            <w:tcW w:w="1104" w:type="dxa"/>
          </w:tcPr>
          <w:p w14:paraId="5B9C4EF9" w14:textId="6EB0F629"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Ingestion, inhalation, dermal exposure whilst surfing</w:t>
            </w:r>
          </w:p>
        </w:tc>
        <w:tc>
          <w:tcPr>
            <w:tcW w:w="1161" w:type="dxa"/>
          </w:tcPr>
          <w:p w14:paraId="168E816C" w14:textId="24B78CD6"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Marine beaches, warm temperate, with adjacent urban stormwater sources</w:t>
            </w:r>
          </w:p>
        </w:tc>
        <w:tc>
          <w:tcPr>
            <w:tcW w:w="2364" w:type="dxa"/>
          </w:tcPr>
          <w:p w14:paraId="3513ED92" w14:textId="18B24AD3"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Cohort study undertaken to determine if exposure to seawater increased rates of incident illness among a longitudinal cohort of surfers in San Diego, California. Illness rates after surf periods were compared with periods after no surfing in order to determine whether exposure during or immediately after rainstorms increased rates more than did exposure during dry weather.</w:t>
            </w:r>
          </w:p>
          <w:p w14:paraId="0C8A0F47" w14:textId="588DCCAF" w:rsidR="00907C87" w:rsidRPr="00397A3E" w:rsidRDefault="00907C87" w:rsidP="00907C87">
            <w:pPr>
              <w:spacing w:before="0" w:after="0" w:line="240" w:lineRule="auto"/>
              <w:rPr>
                <w:rFonts w:ascii="Calibri" w:hAnsi="Calibri" w:cs="Calibri"/>
                <w:noProof w:val="0"/>
                <w:sz w:val="16"/>
                <w:szCs w:val="16"/>
              </w:rPr>
            </w:pPr>
          </w:p>
          <w:p w14:paraId="7407D357" w14:textId="3E10CA5E"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Study was undertaken over two winter periods presumably to capture sufficient rainfall events.  A total of 654 individuals were enrolled who contributed on average 51 days of follow-up</w:t>
            </w:r>
          </w:p>
        </w:tc>
        <w:tc>
          <w:tcPr>
            <w:tcW w:w="2101" w:type="dxa"/>
          </w:tcPr>
          <w:p w14:paraId="6B4398E7" w14:textId="3D715F3E"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To examine illness rates separately for dry- and wet-weather exposures, the authors created a 3-level categorical exposure that classified each participant’s follow-up time into unexposed, dry-weather exposure, and wet-weather exposure periods. Wet-weather exposure was defined as exposure to seawater within 3 days of 0.25 cm or more of rainfall in a 24-hour period and all other seawater exposure as dry-weather exposure.  The wet weather criterion is the same rainfall criterion used by the local county (San Diego) for posting wet-weather beach advisories.</w:t>
            </w:r>
          </w:p>
        </w:tc>
        <w:tc>
          <w:tcPr>
            <w:tcW w:w="2551" w:type="dxa"/>
          </w:tcPr>
          <w:p w14:paraId="2015DD2B" w14:textId="7777777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Surfing was associated with increased incidence of several categories of symptoms, and associations were stronger if surfing took place shortly after rainstorms. Higher levels of FIB were strongly associated with fever, sinus pain/infection, wound infection, and gastrointestinal symptoms within 3 days of rainstorms.</w:t>
            </w:r>
          </w:p>
          <w:p w14:paraId="4C737279" w14:textId="77777777" w:rsidR="00907C87" w:rsidRPr="00397A3E" w:rsidRDefault="00907C87" w:rsidP="00907C87">
            <w:pPr>
              <w:spacing w:before="0" w:after="0" w:line="240" w:lineRule="auto"/>
              <w:rPr>
                <w:rFonts w:ascii="Calibri" w:hAnsi="Calibri" w:cs="Calibri"/>
                <w:noProof w:val="0"/>
                <w:sz w:val="16"/>
                <w:szCs w:val="16"/>
              </w:rPr>
            </w:pPr>
          </w:p>
          <w:p w14:paraId="1B4DD021" w14:textId="3FB55D43"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FIB </w:t>
            </w:r>
            <w:r w:rsidR="001E1318">
              <w:rPr>
                <w:rFonts w:ascii="Calibri" w:hAnsi="Calibri" w:cs="Calibri"/>
                <w:noProof w:val="0"/>
                <w:sz w:val="16"/>
                <w:szCs w:val="16"/>
              </w:rPr>
              <w:t xml:space="preserve">(including </w:t>
            </w:r>
            <w:r w:rsidRPr="00397A3E">
              <w:rPr>
                <w:rFonts w:ascii="Calibri" w:hAnsi="Calibri" w:cs="Calibri"/>
                <w:i/>
                <w:iCs/>
                <w:noProof w:val="0"/>
                <w:sz w:val="16"/>
                <w:szCs w:val="16"/>
              </w:rPr>
              <w:t>Enterococcus</w:t>
            </w:r>
            <w:r w:rsidRPr="00397A3E">
              <w:rPr>
                <w:rFonts w:ascii="Calibri" w:hAnsi="Calibri" w:cs="Calibri"/>
                <w:noProof w:val="0"/>
                <w:sz w:val="16"/>
                <w:szCs w:val="16"/>
              </w:rPr>
              <w:t>, total coliform, and faecal coliform</w:t>
            </w:r>
            <w:r w:rsidR="001E1318">
              <w:rPr>
                <w:rFonts w:ascii="Calibri" w:hAnsi="Calibri" w:cs="Calibri"/>
                <w:noProof w:val="0"/>
                <w:sz w:val="16"/>
                <w:szCs w:val="16"/>
              </w:rPr>
              <w:t>s)</w:t>
            </w:r>
            <w:r w:rsidRPr="00397A3E">
              <w:rPr>
                <w:rFonts w:ascii="Calibri" w:hAnsi="Calibri" w:cs="Calibri"/>
                <w:noProof w:val="0"/>
                <w:sz w:val="16"/>
                <w:szCs w:val="16"/>
              </w:rPr>
              <w:t xml:space="preserve"> levels were positively associated with increased incidence of almost all </w:t>
            </w:r>
            <w:r w:rsidR="001E654D">
              <w:rPr>
                <w:rFonts w:ascii="Calibri" w:hAnsi="Calibri" w:cs="Calibri"/>
                <w:noProof w:val="0"/>
                <w:sz w:val="16"/>
                <w:szCs w:val="16"/>
              </w:rPr>
              <w:t xml:space="preserve">negative health </w:t>
            </w:r>
            <w:r w:rsidRPr="00397A3E">
              <w:rPr>
                <w:rFonts w:ascii="Calibri" w:hAnsi="Calibri" w:cs="Calibri"/>
                <w:noProof w:val="0"/>
                <w:sz w:val="16"/>
                <w:szCs w:val="16"/>
              </w:rPr>
              <w:t>outcomes during the study.</w:t>
            </w:r>
          </w:p>
        </w:tc>
        <w:tc>
          <w:tcPr>
            <w:tcW w:w="1712" w:type="dxa"/>
          </w:tcPr>
          <w:p w14:paraId="64D68119" w14:textId="59EC9550"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Compared with unexposed periods, wet-weather exposure led to the largest relative increase in:</w:t>
            </w:r>
          </w:p>
          <w:p w14:paraId="1423917F" w14:textId="76C96C1A"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earaches/ infections (adjusted incidence rate ratio (IRR) = 3.28, 95% confidence interval (CI): 1.95, 5.51); and</w:t>
            </w:r>
          </w:p>
          <w:p w14:paraId="0DA30A48" w14:textId="1A88379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infection of open wounds (adjusted IRR: 4.96, 95% CI: 2.18, 11.29).</w:t>
            </w:r>
          </w:p>
          <w:p w14:paraId="13363F5C" w14:textId="1E7535BB"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i/>
                <w:iCs/>
                <w:noProof w:val="0"/>
                <w:sz w:val="16"/>
                <w:szCs w:val="16"/>
              </w:rPr>
              <w:t>Enterococcus</w:t>
            </w:r>
            <w:r w:rsidRPr="00397A3E">
              <w:rPr>
                <w:rFonts w:ascii="Calibri" w:hAnsi="Calibri" w:cs="Calibri"/>
                <w:noProof w:val="0"/>
                <w:sz w:val="16"/>
                <w:szCs w:val="16"/>
              </w:rPr>
              <w:t xml:space="preserve"> strongly associated with illness after wet-weather exposure (e.g., for each log10 increase, gastrointestinal illness IRR = 2.17, 95% CI: 1.16, 4.03).</w:t>
            </w:r>
          </w:p>
        </w:tc>
        <w:tc>
          <w:tcPr>
            <w:tcW w:w="1407" w:type="dxa"/>
          </w:tcPr>
          <w:p w14:paraId="580D1A02" w14:textId="3F6EB391"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Detailed results tabulated in paper (Tables 3, 4). Tests of trend in the IRR between exposure categories were considered significant</w:t>
            </w:r>
          </w:p>
          <w:p w14:paraId="232956D5" w14:textId="2CBA1423"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(P &lt; 0.05) if the confidence interval for wet-weather exposure excluded 1.0</w:t>
            </w:r>
          </w:p>
        </w:tc>
      </w:tr>
      <w:tr w:rsidR="00785848" w14:paraId="03B4ED0B" w14:textId="77777777" w:rsidTr="00DA3913">
        <w:trPr>
          <w:cantSplit/>
          <w:trHeight w:val="433"/>
        </w:trPr>
        <w:tc>
          <w:tcPr>
            <w:tcW w:w="1043" w:type="dxa"/>
          </w:tcPr>
          <w:p w14:paraId="7DC7B233" w14:textId="5C27F59A" w:rsidR="00907C87" w:rsidRPr="00397A3E" w:rsidRDefault="00171C91" w:rsidP="00907C87">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 xml:space="preserve">J15: </w:t>
            </w:r>
            <w:r w:rsidRPr="00397A3E">
              <w:rPr>
                <w:rFonts w:ascii="Calibri" w:hAnsi="Calibri" w:cs="Calibri"/>
                <w:noProof w:val="0"/>
                <w:color w:val="000000"/>
                <w:sz w:val="16"/>
                <w:szCs w:val="16"/>
              </w:rPr>
              <w:fldChar w:fldCharType="begin"/>
            </w:r>
            <w:r w:rsidR="0069143F" w:rsidRPr="00397A3E">
              <w:rPr>
                <w:rFonts w:ascii="Calibri" w:hAnsi="Calibri" w:cs="Calibri"/>
                <w:noProof w:val="0"/>
                <w:color w:val="000000"/>
                <w:sz w:val="16"/>
                <w:szCs w:val="16"/>
              </w:rPr>
              <w:instrText xml:space="preserve"> ADDIN ZOTERO_ITEM CSL_CITATION {"citationID":"bppMC34f","properties":{"custom":"Gitter, Mena, et al., (2020)","formattedCitation":"Gitter, Mena, et al., (2020)","plainCitation":"Gitter, Mena, et al., (2020)","noteIndex":0},"citationItems":[{"id":12650,"uris":["http://zotero.org/users/148142/items/4QS8UY2D"],"uri":["http://zotero.org/users/148142/items/4QS8UY2D"],"itemData":{"id":12650,"type":"article-journal","archive":"Scopus","container-title":"Water (Switzerland)","DOI":"10.3390/w12020327","issue":"2","title":"Human health risks associated with recreational waters: Preliminary approach of integrating quantitative microbial risk assessment with microbial source tracking","URL":"https://www.scopus.com/inward/record.uri?eid=2-s2.0-85081546265&amp;doi=10.3390%2fw12020327&amp;partnerID=40&amp;md5=f48942230d1dbe0b5426d168ad1f982d","volume":"12","author":[{"family":"Gitter","given":"A."},{"family":"Mena","given":"K. D."},{"family":"Wagner","given":"K. L."},{"family":"Boellstorff","given":"D. E."},{"family":"Borel","given":"K. E."},{"family":"Gregory","given":"L. F."},{"family":"Gentry","given":"T. J."},{"family":"Karthikeyan","given":"R."}],"issued":{"date-parts":[["2020"]]}}}],"schema":"https://github.com/citation-style-language/schema/raw/master/csl-citation.json"} </w:instrText>
            </w:r>
            <w:r w:rsidRPr="00397A3E">
              <w:rPr>
                <w:rFonts w:ascii="Calibri" w:hAnsi="Calibri" w:cs="Calibri"/>
                <w:noProof w:val="0"/>
                <w:color w:val="000000"/>
                <w:sz w:val="16"/>
                <w:szCs w:val="16"/>
              </w:rPr>
              <w:fldChar w:fldCharType="separate"/>
            </w:r>
            <w:r w:rsidRPr="00397A3E">
              <w:rPr>
                <w:rFonts w:ascii="Calibri" w:hAnsi="Calibri" w:cs="Calibri"/>
                <w:noProof w:val="0"/>
                <w:color w:val="000000"/>
                <w:sz w:val="16"/>
                <w:szCs w:val="16"/>
              </w:rPr>
              <w:t>Gitter, Mena, et al., (2020)</w:t>
            </w:r>
            <w:r w:rsidRPr="00397A3E">
              <w:rPr>
                <w:rFonts w:ascii="Calibri" w:hAnsi="Calibri" w:cs="Calibri"/>
                <w:noProof w:val="0"/>
                <w:color w:val="000000"/>
                <w:sz w:val="16"/>
                <w:szCs w:val="16"/>
              </w:rPr>
              <w:fldChar w:fldCharType="end"/>
            </w:r>
            <w:r w:rsidR="00340567" w:rsidRPr="00397A3E">
              <w:rPr>
                <w:rFonts w:ascii="Calibri" w:hAnsi="Calibri" w:cs="Calibri"/>
                <w:noProof w:val="0"/>
                <w:color w:val="000000"/>
                <w:sz w:val="16"/>
                <w:szCs w:val="16"/>
              </w:rPr>
              <w:t xml:space="preserve"> Human health risks associated with recreational waters: Preliminary approach of integrating quantitative microbial risk assessment with microbial source tracking. (Qualitative research).</w:t>
            </w:r>
          </w:p>
        </w:tc>
        <w:tc>
          <w:tcPr>
            <w:tcW w:w="1011" w:type="dxa"/>
          </w:tcPr>
          <w:p w14:paraId="710C5159" w14:textId="7CEBD673" w:rsidR="00907C87" w:rsidRPr="00397A3E" w:rsidRDefault="00171C91" w:rsidP="00907C87">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Adults exposed to water during recreation.</w:t>
            </w:r>
          </w:p>
        </w:tc>
        <w:tc>
          <w:tcPr>
            <w:tcW w:w="1104" w:type="dxa"/>
          </w:tcPr>
          <w:p w14:paraId="0099C93C" w14:textId="040D49EC" w:rsidR="00907C87" w:rsidRPr="00397A3E" w:rsidRDefault="00171C91" w:rsidP="00907C87">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Ingestion of water during primary contact recreation</w:t>
            </w:r>
          </w:p>
        </w:tc>
        <w:tc>
          <w:tcPr>
            <w:tcW w:w="1161" w:type="dxa"/>
          </w:tcPr>
          <w:p w14:paraId="26C9A6B0" w14:textId="6561414E" w:rsidR="00907C87" w:rsidRPr="00397A3E" w:rsidRDefault="00171C91" w:rsidP="00907C87">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Riverine freshwater, agricultural catchment</w:t>
            </w:r>
          </w:p>
        </w:tc>
        <w:tc>
          <w:tcPr>
            <w:tcW w:w="2364" w:type="dxa"/>
          </w:tcPr>
          <w:p w14:paraId="210C8801" w14:textId="5BAB5B04" w:rsidR="00907C87" w:rsidRPr="00397A3E" w:rsidRDefault="00171C91" w:rsidP="00907C87">
            <w:pPr>
              <w:spacing w:before="0" w:after="0" w:line="240" w:lineRule="auto"/>
              <w:rPr>
                <w:rFonts w:ascii="Calibri" w:hAnsi="Calibri" w:cs="Calibri"/>
                <w:noProof w:val="0"/>
                <w:sz w:val="16"/>
                <w:szCs w:val="16"/>
                <w:highlight w:val="yellow"/>
              </w:rPr>
            </w:pPr>
            <w:r w:rsidRPr="00397A3E">
              <w:rPr>
                <w:rFonts w:ascii="Calibri" w:hAnsi="Calibri" w:cs="Calibri"/>
                <w:noProof w:val="0"/>
                <w:sz w:val="16"/>
                <w:szCs w:val="16"/>
              </w:rPr>
              <w:t xml:space="preserve">Objective was to conduct a QMRA estimating risk of GI illness using MST data describing the primary sources contributing to a bacteria impairment in particular waterbody; using Walnut Creek, Brazos River Basin, Texas as an example.  </w:t>
            </w:r>
            <w:r w:rsidRPr="00397A3E">
              <w:rPr>
                <w:rFonts w:ascii="Calibri" w:hAnsi="Calibri" w:cs="Calibri"/>
                <w:i/>
                <w:noProof w:val="0"/>
                <w:sz w:val="16"/>
                <w:szCs w:val="16"/>
              </w:rPr>
              <w:t>E. coli</w:t>
            </w:r>
            <w:r w:rsidRPr="00397A3E">
              <w:rPr>
                <w:rFonts w:ascii="Calibri" w:hAnsi="Calibri" w:cs="Calibri"/>
                <w:noProof w:val="0"/>
                <w:sz w:val="16"/>
                <w:szCs w:val="16"/>
              </w:rPr>
              <w:t xml:space="preserve"> concentrations were used to predict reference pathogen concentrations from cattle (</w:t>
            </w:r>
            <w:r w:rsidRPr="00397A3E">
              <w:rPr>
                <w:rFonts w:ascii="Calibri" w:hAnsi="Calibri" w:cs="Calibri"/>
                <w:i/>
                <w:iCs/>
                <w:noProof w:val="0"/>
                <w:sz w:val="16"/>
                <w:szCs w:val="16"/>
              </w:rPr>
              <w:t>Campylobacter</w:t>
            </w:r>
            <w:r w:rsidRPr="00397A3E">
              <w:rPr>
                <w:rFonts w:ascii="Calibri" w:hAnsi="Calibri" w:cs="Calibri"/>
                <w:noProof w:val="0"/>
                <w:sz w:val="16"/>
                <w:szCs w:val="16"/>
              </w:rPr>
              <w:t>), human (Norovirus), and wildlife/domestic animals (</w:t>
            </w:r>
            <w:r w:rsidRPr="00397A3E">
              <w:rPr>
                <w:rFonts w:ascii="Calibri" w:hAnsi="Calibri" w:cs="Calibri"/>
                <w:i/>
                <w:iCs/>
                <w:noProof w:val="0"/>
                <w:sz w:val="16"/>
                <w:szCs w:val="16"/>
              </w:rPr>
              <w:t>Cryptosporidium</w:t>
            </w:r>
            <w:r w:rsidRPr="00397A3E">
              <w:rPr>
                <w:rFonts w:ascii="Calibri" w:hAnsi="Calibri" w:cs="Calibri"/>
                <w:noProof w:val="0"/>
                <w:sz w:val="16"/>
                <w:szCs w:val="16"/>
              </w:rPr>
              <w:t>), and thus the relative risk of GI illness from each source.</w:t>
            </w:r>
          </w:p>
        </w:tc>
        <w:tc>
          <w:tcPr>
            <w:tcW w:w="2101" w:type="dxa"/>
          </w:tcPr>
          <w:p w14:paraId="1DC13C7E" w14:textId="4E1CA13D"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MST analyses combined ERIC-PCR and Riboprinting in which isolates from water samples</w:t>
            </w:r>
            <w:r w:rsidR="00012B48">
              <w:rPr>
                <w:rFonts w:ascii="Calibri" w:hAnsi="Calibri" w:cs="Calibri"/>
                <w:noProof w:val="0"/>
                <w:sz w:val="16"/>
                <w:szCs w:val="16"/>
              </w:rPr>
              <w:t xml:space="preserve"> </w:t>
            </w:r>
            <w:r w:rsidRPr="00397A3E">
              <w:rPr>
                <w:rFonts w:ascii="Calibri" w:hAnsi="Calibri" w:cs="Calibri"/>
                <w:noProof w:val="0"/>
                <w:sz w:val="16"/>
                <w:szCs w:val="16"/>
              </w:rPr>
              <w:t>were compared against the Texas MST Library and a local library to identify sources and enhance accuracy of results.</w:t>
            </w:r>
          </w:p>
          <w:p w14:paraId="78CA5A13" w14:textId="0BDAE6BB" w:rsidR="00907C87" w:rsidRPr="00397A3E" w:rsidRDefault="00907C87" w:rsidP="00907C87">
            <w:pPr>
              <w:spacing w:before="0" w:after="0" w:line="240" w:lineRule="auto"/>
              <w:rPr>
                <w:rFonts w:ascii="Calibri" w:hAnsi="Calibri" w:cs="Calibri"/>
                <w:noProof w:val="0"/>
                <w:sz w:val="16"/>
                <w:szCs w:val="16"/>
              </w:rPr>
            </w:pPr>
          </w:p>
        </w:tc>
        <w:tc>
          <w:tcPr>
            <w:tcW w:w="2551" w:type="dxa"/>
          </w:tcPr>
          <w:p w14:paraId="08C83BCB" w14:textId="04AA9FD5"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Three scenarios assessed the effects of changing the contributing percentages of different sources on the overall human health risk (assuming primary contact recreation).</w:t>
            </w:r>
          </w:p>
          <w:p w14:paraId="05EE8CF2" w14:textId="0950E6CB"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The findings indicated that the proportion of cattle/domestic animals and wildlife faecal loading had a much less substantial impact on the overall risk for a GI illness than human faecal sources</w:t>
            </w:r>
          </w:p>
        </w:tc>
        <w:tc>
          <w:tcPr>
            <w:tcW w:w="1712" w:type="dxa"/>
          </w:tcPr>
          <w:p w14:paraId="2BA1C95A" w14:textId="4EECA74B"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For each scenario, which included a mixture of faecal sources, the median risk for a GI illness was at least 0.31. The difference in total health risk when the human source contributed 10% as opposed to 7% (i.e. scenarios ii and iii) was negligible. </w:t>
            </w:r>
          </w:p>
        </w:tc>
        <w:tc>
          <w:tcPr>
            <w:tcW w:w="1407" w:type="dxa"/>
          </w:tcPr>
          <w:p w14:paraId="78B64654" w14:textId="67DAD364"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High human infectivity of norovirus and the smaller ratio of faecal indicator bacteria to norovirus than for the other pathogens, resulted in the risk being relatively similar across each scenario.</w:t>
            </w:r>
          </w:p>
        </w:tc>
      </w:tr>
      <w:tr w:rsidR="00785848" w14:paraId="022266AE" w14:textId="77777777" w:rsidTr="00DA3913">
        <w:trPr>
          <w:cantSplit/>
          <w:trHeight w:val="1345"/>
        </w:trPr>
        <w:tc>
          <w:tcPr>
            <w:tcW w:w="1043" w:type="dxa"/>
          </w:tcPr>
          <w:p w14:paraId="0892DBEA" w14:textId="3EA2D076" w:rsidR="00907C87" w:rsidRPr="00397A3E" w:rsidRDefault="00171C91" w:rsidP="00907C87">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 xml:space="preserve">J18: </w:t>
            </w:r>
            <w:r w:rsidRPr="00397A3E">
              <w:rPr>
                <w:rFonts w:ascii="Calibri" w:hAnsi="Calibri" w:cs="Calibri"/>
                <w:noProof w:val="0"/>
                <w:color w:val="000000"/>
                <w:sz w:val="16"/>
                <w:szCs w:val="16"/>
              </w:rPr>
              <w:fldChar w:fldCharType="begin"/>
            </w:r>
            <w:r w:rsidR="0069143F" w:rsidRPr="00397A3E">
              <w:rPr>
                <w:rFonts w:ascii="Calibri" w:hAnsi="Calibri" w:cs="Calibri"/>
                <w:noProof w:val="0"/>
                <w:color w:val="000000"/>
                <w:sz w:val="16"/>
                <w:szCs w:val="16"/>
              </w:rPr>
              <w:instrText xml:space="preserve"> ADDIN ZOTERO_ITEM CSL_CITATION {"citationID":"atCp1964","properties":{"custom":"Henry, Schang, et al., (2016)","formattedCitation":"Henry, Schang, et al., (2016)","plainCitation":"Henry, Schang, et al., (2016)","noteIndex":0},"citationItems":[{"id":12475,"uris":["http://zotero.org/users/148142/items/WYMGXRTP"],"uri":["http://zotero.org/users/148142/items/WYMGXRTP"],"itemData":{"id":12475,"type":"article-journal","archive":"Scopus","container-title":"Water Research","DOI":"10.1016/j.watres.2016.02.029","page":"242-253","title":"Into the deep: Evaluation of SourceTracker for assessment of faecal contamination of coastal waters","URL":"https://www.scopus.com/inward/record.uri?eid=2-s2.0-84958973030&amp;doi=10.1016%2fj.watres.2016.02.029&amp;partnerID=40&amp;md5=857b1be61a85ed86ed706842b9f6584f","volume":"93","author":[{"family":"Henry","given":"R."},{"family":"Schang","given":"C."},{"family":"Coutts","given":"S."},{"family":"Kolotelo","given":"P."},{"family":"Prosser","given":"T."},{"family":"Crosbie","given":"N."},{"family":"Grant","given":"T."},{"family":"Cottam","given":"D."},{"family":"O'Brien","given":"P."},{"family":"Deletic","given":"A."},{"family":"McCarthy","given":"D."}],"issued":{"date-parts":[["2016"]]}}}],"schema":"https://github.com/citation-style-language/schema/raw/master/csl-citation.json"} </w:instrText>
            </w:r>
            <w:r w:rsidRPr="00397A3E">
              <w:rPr>
                <w:rFonts w:ascii="Calibri" w:hAnsi="Calibri" w:cs="Calibri"/>
                <w:noProof w:val="0"/>
                <w:color w:val="000000"/>
                <w:sz w:val="16"/>
                <w:szCs w:val="16"/>
              </w:rPr>
              <w:fldChar w:fldCharType="separate"/>
            </w:r>
            <w:r w:rsidRPr="00397A3E">
              <w:rPr>
                <w:rFonts w:ascii="Calibri" w:hAnsi="Calibri" w:cs="Calibri"/>
                <w:noProof w:val="0"/>
                <w:color w:val="000000"/>
                <w:sz w:val="16"/>
                <w:szCs w:val="16"/>
              </w:rPr>
              <w:t>Henry, Schang, et al., (2016)</w:t>
            </w:r>
            <w:r w:rsidRPr="00397A3E">
              <w:rPr>
                <w:rFonts w:ascii="Calibri" w:hAnsi="Calibri" w:cs="Calibri"/>
                <w:noProof w:val="0"/>
                <w:color w:val="000000"/>
                <w:sz w:val="16"/>
                <w:szCs w:val="16"/>
              </w:rPr>
              <w:fldChar w:fldCharType="end"/>
            </w:r>
            <w:r w:rsidR="00840160" w:rsidRPr="00397A3E">
              <w:rPr>
                <w:rFonts w:ascii="Calibri" w:hAnsi="Calibri" w:cs="Calibri"/>
                <w:noProof w:val="0"/>
                <w:color w:val="000000"/>
                <w:sz w:val="16"/>
                <w:szCs w:val="16"/>
              </w:rPr>
              <w:t xml:space="preserve"> Into the deep: Evaluation of SourceTracker for assessment of faecal contamination of coastal waters. (Qualitative research).</w:t>
            </w:r>
          </w:p>
        </w:tc>
        <w:tc>
          <w:tcPr>
            <w:tcW w:w="1011" w:type="dxa"/>
          </w:tcPr>
          <w:p w14:paraId="050B5762" w14:textId="6B2E92E4"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N/A.  No health assessment undertaken.</w:t>
            </w:r>
          </w:p>
        </w:tc>
        <w:tc>
          <w:tcPr>
            <w:tcW w:w="1104" w:type="dxa"/>
          </w:tcPr>
          <w:p w14:paraId="1F2406FF" w14:textId="358AE6D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N/A. The study is an observational study of sewage genetic marker decay rates in recreational freshwater and marine habitats</w:t>
            </w:r>
          </w:p>
        </w:tc>
        <w:tc>
          <w:tcPr>
            <w:tcW w:w="1161" w:type="dxa"/>
          </w:tcPr>
          <w:p w14:paraId="442D278C" w14:textId="48C88C38"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Locations sampled in Port Phillip Bay (marine) and regional riverine, estuarine, greywater, stormwater, sewage and potable source waters</w:t>
            </w:r>
          </w:p>
        </w:tc>
        <w:tc>
          <w:tcPr>
            <w:tcW w:w="2364" w:type="dxa"/>
          </w:tcPr>
          <w:p w14:paraId="20548755" w14:textId="2D9E62E3"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Observational study of sewage genetic marker decay rates in recreational freshwater and marine habitats.</w:t>
            </w:r>
          </w:p>
          <w:p w14:paraId="13530792" w14:textId="11F2565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Study aim was to use recreational water quality site microbial data </w:t>
            </w:r>
            <w:r w:rsidR="00B77373">
              <w:rPr>
                <w:rFonts w:ascii="Calibri" w:hAnsi="Calibri" w:cs="Calibri"/>
                <w:noProof w:val="0"/>
                <w:sz w:val="16"/>
                <w:szCs w:val="16"/>
              </w:rPr>
              <w:t>(</w:t>
            </w:r>
            <w:r w:rsidR="00B77373" w:rsidRPr="00B77373">
              <w:rPr>
                <w:rFonts w:ascii="Calibri" w:hAnsi="Calibri" w:cs="Calibri"/>
                <w:noProof w:val="0"/>
                <w:sz w:val="16"/>
                <w:szCs w:val="16"/>
              </w:rPr>
              <w:t>16S rRNA amplicon data</w:t>
            </w:r>
            <w:r w:rsidR="00B77373">
              <w:rPr>
                <w:rFonts w:ascii="Calibri" w:hAnsi="Calibri" w:cs="Calibri"/>
                <w:noProof w:val="0"/>
                <w:sz w:val="16"/>
                <w:szCs w:val="16"/>
              </w:rPr>
              <w:t xml:space="preserve">) </w:t>
            </w:r>
            <w:r w:rsidRPr="00397A3E">
              <w:rPr>
                <w:rFonts w:ascii="Calibri" w:hAnsi="Calibri" w:cs="Calibri"/>
                <w:noProof w:val="0"/>
                <w:sz w:val="16"/>
                <w:szCs w:val="16"/>
              </w:rPr>
              <w:t>in high-throughput sequencing (HTS) and SourceTracker (a statistical tool for assessment of faecal contamination of coastal waters) to identify the main sources of contamination to assist in management of risks to recreational waters.</w:t>
            </w:r>
          </w:p>
        </w:tc>
        <w:tc>
          <w:tcPr>
            <w:tcW w:w="2101" w:type="dxa"/>
          </w:tcPr>
          <w:p w14:paraId="73561A1E" w14:textId="34449E64"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The study applied artificial and in-laboratory derived bacterial communities to define the potential and limitations associated with the use of SourceTracker, prior to its application for faecal source tracking at three recreational beaches near Port Phillip Bay (Victoria, Australia).</w:t>
            </w:r>
          </w:p>
        </w:tc>
        <w:tc>
          <w:tcPr>
            <w:tcW w:w="2551" w:type="dxa"/>
          </w:tcPr>
          <w:p w14:paraId="4934E5F0" w14:textId="5020747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Application of SourceTracker to recreational beach samples identified treated effluent as major source of human derived faecal contamination, present in 69% of samples. Site-specific sources, such as raw sewage, stormwater and bacterial populations associated with the Yarra River estuary were also identified. Rainfall and associated sand resuspension at each location correlated with observed human faecal indicators. </w:t>
            </w:r>
          </w:p>
        </w:tc>
        <w:tc>
          <w:tcPr>
            <w:tcW w:w="1712" w:type="dxa"/>
          </w:tcPr>
          <w:p w14:paraId="0D65F78A" w14:textId="0820C656"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The results of the optimised SourceTracker analysis suggests that local sources of contamination have the greatest effect on recreational coastal water quality.</w:t>
            </w:r>
          </w:p>
        </w:tc>
        <w:tc>
          <w:tcPr>
            <w:tcW w:w="1407" w:type="dxa"/>
          </w:tcPr>
          <w:p w14:paraId="1BD62A53" w14:textId="7513B356"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N/A. Statistical significance testing not undertaken.</w:t>
            </w:r>
          </w:p>
        </w:tc>
      </w:tr>
      <w:tr w:rsidR="00785848" w14:paraId="36114237" w14:textId="77777777" w:rsidTr="00DA3913">
        <w:trPr>
          <w:cantSplit/>
          <w:trHeight w:val="1345"/>
        </w:trPr>
        <w:tc>
          <w:tcPr>
            <w:tcW w:w="1043" w:type="dxa"/>
          </w:tcPr>
          <w:p w14:paraId="7A6A0A59" w14:textId="3592ECFE" w:rsidR="00907C87" w:rsidRPr="00397A3E" w:rsidRDefault="00171C91" w:rsidP="00907C87">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 xml:space="preserve">J20: </w:t>
            </w:r>
            <w:r w:rsidRPr="00397A3E">
              <w:rPr>
                <w:rFonts w:ascii="Calibri" w:hAnsi="Calibri" w:cs="Calibri"/>
                <w:noProof w:val="0"/>
                <w:color w:val="000000"/>
                <w:sz w:val="16"/>
                <w:szCs w:val="16"/>
              </w:rPr>
              <w:fldChar w:fldCharType="begin"/>
            </w:r>
            <w:r w:rsidR="0069143F" w:rsidRPr="00397A3E">
              <w:rPr>
                <w:rFonts w:ascii="Calibri" w:hAnsi="Calibri" w:cs="Calibri"/>
                <w:noProof w:val="0"/>
                <w:color w:val="000000"/>
                <w:sz w:val="16"/>
                <w:szCs w:val="16"/>
              </w:rPr>
              <w:instrText xml:space="preserve"> ADDIN ZOTERO_ITEM CSL_CITATION {"citationID":"WSPcHJm5","properties":{"custom":"Kelly, Feng, et al., (2018)","formattedCitation":"Kelly, Feng, et al., (2018)","plainCitation":"Kelly, Feng, et al., (2018)","noteIndex":0},"citationItems":[{"id":13166,"uris":["http://zotero.org/users/148142/items/NGHIVZBT"],"uri":["http://zotero.org/users/148142/items/NGHIVZBT"],"itemData":{"id":13166,"type":"article-journal","abstract":"When beach water monitoring programs identify poor water quality, the causes are frequently unknown. We hypothesize that management policies play an important role in the frequency of fecal indicator bacteria (FIB) exceedances (enterococci and fecal coliform) at recreational beaches. To test this hypothesis we implemented an innovative approach utilizing large amounts of monitoring data (n&gt;150,000 measurements per FIB) to determine associations between the frequency of contaminant exceedances and beach management practices. The large FIB database was augmented with results from a survey designed to assess management policies for 316 beaches throughout the state of Florida. The FIB and survey data were analyzed using t-tests, ANOVA, factor analysis, and linear regression. Results show that beach geomorphology (beach type) was highly associated with exceedance of regulatory standards. Low enterococci exceedances were associated with open coast beaches (n=211) that have sparse human densities, no homeless populations, low densities of dogs and birds, bird management policies, low densities of seaweed, beach renourishment, charge access fees, employ lifeguards, without nearby marinas, and those that manage storm water. Factor analysis and a linear regression confirmed beach type as the predominant factor with secondary influences from grooming activities (including seaweed densities and beach renourishment) and beach access (including charging fees, employing lifeguards, and without nearby marinas). Our results were observable primarily because of the very large public FIB database available for analyses; similar approaches can be adopted at other beaches. The findings of this research have important policy implications because the selected beach management practices that were associated with low levels of FIB can be implemented in other parts of the US and around the world to improve recreational beach water quality. (C) 2018 Elsevier Ltd. All rights reserved.","container-title":"Journal of Environmental Management","DOI":"10.1016/j.jenvman.2018.02.012","ISSN":"0301-4797","journalAbbreviation":"J. Environ. Manage.","language":"English","page":"266-277","source":"Web of Science","title":"Effect of beach management policies on recreational water quality","URL":"https://repository.tudelft.nl/islandora/object/uuid%3A4cae77ec-45fd-4029-b8e5-5c3e68015b34/datastream/OBJ/download","volume":"212","author":[{"family":"Kelly","given":"Elizabeth A."},{"family":"Feng","given":"Zhixuan"},{"family":"Gidley","given":"Maribeth L."},{"family":"Sinigalliano","given":"Christopher D."},{"family":"Kumar","given":"Naresh"},{"family":"Donahue","given":"Allison G."},{"family":"Reniers","given":"Adrianus J. H. M."},{"family":"Solo-Gabriele","given":"Helena M."}],"issued":{"date-parts":[["2018",4,15]]}}}],"schema":"https://github.com/citation-style-language/schema/raw/master/csl-citation.json"} </w:instrText>
            </w:r>
            <w:r w:rsidRPr="00397A3E">
              <w:rPr>
                <w:rFonts w:ascii="Calibri" w:hAnsi="Calibri" w:cs="Calibri"/>
                <w:noProof w:val="0"/>
                <w:color w:val="000000"/>
                <w:sz w:val="16"/>
                <w:szCs w:val="16"/>
              </w:rPr>
              <w:fldChar w:fldCharType="separate"/>
            </w:r>
            <w:r w:rsidRPr="00397A3E">
              <w:rPr>
                <w:rFonts w:ascii="Calibri" w:hAnsi="Calibri" w:cs="Calibri"/>
                <w:noProof w:val="0"/>
                <w:color w:val="000000"/>
                <w:sz w:val="16"/>
                <w:szCs w:val="16"/>
              </w:rPr>
              <w:t>Kelly, Feng, et al., (2018)</w:t>
            </w:r>
            <w:r w:rsidRPr="00397A3E">
              <w:rPr>
                <w:rFonts w:ascii="Calibri" w:hAnsi="Calibri" w:cs="Calibri"/>
                <w:noProof w:val="0"/>
                <w:color w:val="000000"/>
                <w:sz w:val="16"/>
                <w:szCs w:val="16"/>
              </w:rPr>
              <w:fldChar w:fldCharType="end"/>
            </w:r>
            <w:r w:rsidR="00340567" w:rsidRPr="00397A3E">
              <w:rPr>
                <w:rFonts w:ascii="Calibri" w:hAnsi="Calibri" w:cs="Calibri"/>
                <w:noProof w:val="0"/>
                <w:color w:val="000000"/>
                <w:sz w:val="16"/>
                <w:szCs w:val="16"/>
              </w:rPr>
              <w:t xml:space="preserve"> </w:t>
            </w:r>
            <w:r w:rsidR="00840160" w:rsidRPr="00397A3E">
              <w:rPr>
                <w:rFonts w:ascii="Calibri" w:hAnsi="Calibri" w:cs="Calibri"/>
                <w:noProof w:val="0"/>
                <w:color w:val="000000"/>
                <w:sz w:val="16"/>
                <w:szCs w:val="16"/>
              </w:rPr>
              <w:t>Effect of beach management policies on recreational water quality. (Qualitative research).</w:t>
            </w:r>
          </w:p>
        </w:tc>
        <w:tc>
          <w:tcPr>
            <w:tcW w:w="1011" w:type="dxa"/>
          </w:tcPr>
          <w:p w14:paraId="511BECFF" w14:textId="2BA17B3C"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N/A.  No health assessment undertaken.</w:t>
            </w:r>
          </w:p>
        </w:tc>
        <w:tc>
          <w:tcPr>
            <w:tcW w:w="1104" w:type="dxa"/>
          </w:tcPr>
          <w:p w14:paraId="375FC56F" w14:textId="334FF2E4"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N/A. Study focus is on beach management practices.</w:t>
            </w:r>
          </w:p>
        </w:tc>
        <w:tc>
          <w:tcPr>
            <w:tcW w:w="1161" w:type="dxa"/>
          </w:tcPr>
          <w:p w14:paraId="70260225" w14:textId="1F28196C"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Marine and estuarine beaches of Florida state, USA.</w:t>
            </w:r>
          </w:p>
        </w:tc>
        <w:tc>
          <w:tcPr>
            <w:tcW w:w="2364" w:type="dxa"/>
          </w:tcPr>
          <w:p w14:paraId="7D2D48F0" w14:textId="5539A9F3"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The primary objective of the study was to evaluate whether beaches characterized by a set of management policies are associated with lower FIB levels.  The study utilised a large data set of FIB monitoring from Florida, USA beaches (Florida Healthy Beaches Program FHBP) plus a large survey of beach management agency regional offices.  FIB data considered were enterococci and faecal coliforms.</w:t>
            </w:r>
          </w:p>
        </w:tc>
        <w:tc>
          <w:tcPr>
            <w:tcW w:w="2101" w:type="dxa"/>
          </w:tcPr>
          <w:p w14:paraId="573B6017" w14:textId="7777777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Application of inclusion criteria (minimum of 120 samples during the 15-year period of record; 2000-2015) resulted in 316 beaches for evaluation. </w:t>
            </w:r>
          </w:p>
          <w:p w14:paraId="763560AD" w14:textId="5795587E"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Beach types included open coast, bay, inlet-channel situated, man</w:t>
            </w:r>
            <w:r w:rsidR="006659FA" w:rsidRPr="00397A3E">
              <w:rPr>
                <w:rFonts w:ascii="Calibri" w:hAnsi="Calibri" w:cs="Calibri"/>
                <w:noProof w:val="0"/>
                <w:sz w:val="16"/>
                <w:szCs w:val="16"/>
              </w:rPr>
              <w:t>-</w:t>
            </w:r>
            <w:r w:rsidRPr="00397A3E">
              <w:rPr>
                <w:rFonts w:ascii="Calibri" w:hAnsi="Calibri" w:cs="Calibri"/>
                <w:noProof w:val="0"/>
                <w:sz w:val="16"/>
                <w:szCs w:val="16"/>
              </w:rPr>
              <w:t>made</w:t>
            </w:r>
            <w:r w:rsidR="006659FA" w:rsidRPr="00397A3E">
              <w:rPr>
                <w:rFonts w:ascii="Calibri" w:hAnsi="Calibri" w:cs="Calibri"/>
                <w:noProof w:val="0"/>
                <w:sz w:val="16"/>
                <w:szCs w:val="16"/>
              </w:rPr>
              <w:t xml:space="preserve"> </w:t>
            </w:r>
            <w:r w:rsidRPr="00397A3E">
              <w:rPr>
                <w:rFonts w:ascii="Calibri" w:hAnsi="Calibri" w:cs="Calibri"/>
                <w:noProof w:val="0"/>
                <w:sz w:val="16"/>
                <w:szCs w:val="16"/>
              </w:rPr>
              <w:t>structure-</w:t>
            </w:r>
          </w:p>
          <w:p w14:paraId="1C7601F2" w14:textId="17E15878"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protected, marsh surrounded, and back-reef beaches.</w:t>
            </w:r>
          </w:p>
          <w:p w14:paraId="107F16A9" w14:textId="7777777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The FIB data for each beach were converted to a percent exceedance value to track the fraction of times that the beaches exceeded regulatory guidelines.</w:t>
            </w:r>
          </w:p>
          <w:p w14:paraId="2A76D596" w14:textId="7777777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A beach management survey was developed to collect data on management policies. The results were then compared to FIB data to determine which management condition corresponded to lower bacteria levels.</w:t>
            </w:r>
          </w:p>
          <w:p w14:paraId="4D5416FF" w14:textId="7B774AA0"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The observed influence of beach morphology determined how each of the responses in the beach management survey were analysed.</w:t>
            </w:r>
          </w:p>
        </w:tc>
        <w:tc>
          <w:tcPr>
            <w:tcW w:w="2551" w:type="dxa"/>
          </w:tcPr>
          <w:p w14:paraId="4F318174" w14:textId="7777777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Analyses showed that beach geomorphology (beach type) was highly associated with exceedance of regulatory standards. Low enterococci exceedances were associated with open coast beaches (n = 211) that have sparse human densities, no homeless populations, low densities of dogs and birds, bird management policies, low densities of seaweed, beach renourishment, charge access fees, employ lifeguards, without nearby marinas, and those that manage stormwater.  </w:t>
            </w:r>
          </w:p>
          <w:p w14:paraId="2E031F90" w14:textId="77777777" w:rsidR="00907C87" w:rsidRPr="00397A3E" w:rsidRDefault="00907C87" w:rsidP="00907C87">
            <w:pPr>
              <w:spacing w:before="0" w:after="0" w:line="240" w:lineRule="auto"/>
              <w:rPr>
                <w:rFonts w:ascii="Calibri" w:hAnsi="Calibri" w:cs="Calibri"/>
                <w:noProof w:val="0"/>
                <w:sz w:val="16"/>
                <w:szCs w:val="16"/>
              </w:rPr>
            </w:pPr>
          </w:p>
        </w:tc>
        <w:tc>
          <w:tcPr>
            <w:tcW w:w="1712" w:type="dxa"/>
          </w:tcPr>
          <w:p w14:paraId="159C9063" w14:textId="7777777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Factor analysis and a linear regression confirmed beach type as the predominant factor with secondary influences from grooming activities (including seaweed densities and beach renourishment) and beach access (including charging fees, employing lifeguards, and without nearby marinas).</w:t>
            </w:r>
          </w:p>
          <w:p w14:paraId="48DE9281" w14:textId="77777777" w:rsidR="00907C87" w:rsidRPr="00397A3E" w:rsidRDefault="00907C87" w:rsidP="00907C87">
            <w:pPr>
              <w:spacing w:before="0" w:after="0" w:line="240" w:lineRule="auto"/>
              <w:rPr>
                <w:rFonts w:ascii="Calibri" w:hAnsi="Calibri" w:cs="Calibri"/>
                <w:noProof w:val="0"/>
                <w:sz w:val="16"/>
                <w:szCs w:val="16"/>
              </w:rPr>
            </w:pPr>
          </w:p>
        </w:tc>
        <w:tc>
          <w:tcPr>
            <w:tcW w:w="1407" w:type="dxa"/>
          </w:tcPr>
          <w:p w14:paraId="1DA74BBD" w14:textId="4451F3ED"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P-values for significance tests are given in Tables 1 to 6 in the paper.  There are too many to list here.</w:t>
            </w:r>
          </w:p>
        </w:tc>
      </w:tr>
      <w:tr w:rsidR="00785848" w14:paraId="0776467F" w14:textId="77777777" w:rsidTr="00DA3913">
        <w:trPr>
          <w:cantSplit/>
          <w:trHeight w:val="1345"/>
        </w:trPr>
        <w:tc>
          <w:tcPr>
            <w:tcW w:w="1043" w:type="dxa"/>
          </w:tcPr>
          <w:p w14:paraId="2F98AF74" w14:textId="46BCEA88" w:rsidR="00907C87" w:rsidRPr="00397A3E" w:rsidRDefault="00171C91" w:rsidP="00907C87">
            <w:pPr>
              <w:spacing w:before="0" w:after="0" w:line="240" w:lineRule="auto"/>
              <w:rPr>
                <w:rFonts w:ascii="Calibri" w:hAnsi="Calibri" w:cs="Calibri"/>
                <w:noProof w:val="0"/>
                <w:color w:val="000000"/>
                <w:sz w:val="16"/>
                <w:szCs w:val="16"/>
              </w:rPr>
            </w:pPr>
            <w:bookmarkStart w:id="396" w:name="_Hlk94016398"/>
            <w:r w:rsidRPr="00397A3E">
              <w:rPr>
                <w:rFonts w:ascii="Calibri" w:hAnsi="Calibri" w:cs="Calibri"/>
                <w:noProof w:val="0"/>
                <w:color w:val="000000"/>
                <w:sz w:val="16"/>
                <w:szCs w:val="16"/>
              </w:rPr>
              <w:t xml:space="preserve">J23: </w:t>
            </w:r>
            <w:r w:rsidRPr="00397A3E">
              <w:rPr>
                <w:rFonts w:ascii="Calibri" w:hAnsi="Calibri" w:cs="Calibri"/>
                <w:noProof w:val="0"/>
                <w:color w:val="000000"/>
                <w:sz w:val="16"/>
                <w:szCs w:val="16"/>
              </w:rPr>
              <w:fldChar w:fldCharType="begin"/>
            </w:r>
            <w:r w:rsidR="0069143F" w:rsidRPr="00397A3E">
              <w:rPr>
                <w:rFonts w:ascii="Calibri" w:hAnsi="Calibri" w:cs="Calibri"/>
                <w:noProof w:val="0"/>
                <w:color w:val="000000"/>
                <w:sz w:val="16"/>
                <w:szCs w:val="16"/>
              </w:rPr>
              <w:instrText xml:space="preserve"> ADDIN ZOTERO_ITEM CSL_CITATION {"citationID":"FfvCcGWN","properties":{"custom":"Lugg, Cook, et al., (2012)","formattedCitation":"Lugg, Cook, et al., (2012)","plainCitation":"Lugg, Cook, et al., (2012)","noteIndex":0},"citationItems":[{"id":5545,"uris":["http://zotero.org/users/148142/items/V73KP9MB"],"uri":["http://zotero.org/users/148142/items/V73KP9MB"],"itemData":{"id":5545,"type":"chapter","container-title":"The Significance of Faecal Indicators in Water: A Global Perspective.","event-place":"Cambridge","ISBN":"978-1-84973-169-0","page":"62-71","publisher":"RSC Publishing","publisher-place":"Cambridge","source":"CrossRef","title":"Estimating 95th Percentiles from Microbial Sampling: A Novel Approach to Standardising their Application to Recreational Waters","title-short":"Estimating 95th Percentiles from Microbial Sampling","URL":"http://ebook.rsc.org/?DOI=10.1039/9781849735421-00062","editor":[{"family":"Kay","given":"David"},{"family":"Fricker","given":"C"}],"author":[{"family":"Lugg","given":"R.S.W."},{"family":"Cook","given":"A."},{"family":"Devine","given":"B."}],"accessed":{"date-parts":[["2014",12,17]]},"issued":{"date-parts":[["2012"]]}}}],"schema":"https://github.com/citation-style-language/schema/raw/master/csl-citation.json"} </w:instrText>
            </w:r>
            <w:r w:rsidRPr="00397A3E">
              <w:rPr>
                <w:rFonts w:ascii="Calibri" w:hAnsi="Calibri" w:cs="Calibri"/>
                <w:noProof w:val="0"/>
                <w:color w:val="000000"/>
                <w:sz w:val="16"/>
                <w:szCs w:val="16"/>
              </w:rPr>
              <w:fldChar w:fldCharType="separate"/>
            </w:r>
            <w:r w:rsidRPr="00397A3E">
              <w:rPr>
                <w:rFonts w:ascii="Calibri" w:hAnsi="Calibri" w:cs="Calibri"/>
                <w:noProof w:val="0"/>
                <w:color w:val="000000"/>
                <w:sz w:val="16"/>
                <w:szCs w:val="16"/>
              </w:rPr>
              <w:t>Lugg, Cook, et al., (2012)</w:t>
            </w:r>
            <w:r w:rsidRPr="00397A3E">
              <w:rPr>
                <w:rFonts w:ascii="Calibri" w:hAnsi="Calibri" w:cs="Calibri"/>
                <w:noProof w:val="0"/>
                <w:color w:val="000000"/>
                <w:sz w:val="16"/>
                <w:szCs w:val="16"/>
              </w:rPr>
              <w:fldChar w:fldCharType="end"/>
            </w:r>
            <w:r w:rsidR="00840160" w:rsidRPr="00397A3E">
              <w:rPr>
                <w:rFonts w:ascii="Calibri" w:hAnsi="Calibri" w:cs="Calibri"/>
                <w:noProof w:val="0"/>
                <w:color w:val="000000"/>
                <w:sz w:val="16"/>
                <w:szCs w:val="16"/>
              </w:rPr>
              <w:t xml:space="preserve"> Estimating 95th Percentiles from Microbial Sampling: A Novel Approach to Standardising their Application to Recreational Waters. (Qualitative research).</w:t>
            </w:r>
            <w:bookmarkEnd w:id="396"/>
          </w:p>
        </w:tc>
        <w:tc>
          <w:tcPr>
            <w:tcW w:w="1011" w:type="dxa"/>
          </w:tcPr>
          <w:p w14:paraId="0F8FC0E5" w14:textId="7277B38D"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N/A.  No health assessment undertaken.</w:t>
            </w:r>
          </w:p>
        </w:tc>
        <w:tc>
          <w:tcPr>
            <w:tcW w:w="1104" w:type="dxa"/>
          </w:tcPr>
          <w:p w14:paraId="18E7DD2C" w14:textId="4FF82146"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N/A. Study focus is on statistical methods.</w:t>
            </w:r>
          </w:p>
        </w:tc>
        <w:tc>
          <w:tcPr>
            <w:tcW w:w="1161" w:type="dxa"/>
          </w:tcPr>
          <w:p w14:paraId="121C9B82" w14:textId="1D2AD9AC"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Desktop study. Assumes marine, estuarine, freshwater environments.</w:t>
            </w:r>
          </w:p>
        </w:tc>
        <w:tc>
          <w:tcPr>
            <w:tcW w:w="2364" w:type="dxa"/>
          </w:tcPr>
          <w:p w14:paraId="6E867861" w14:textId="11F7E739"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The paper describes development and application of the EnteroTester Excel tool, which facilitates the appropriate computation for 95t</w:t>
            </w:r>
            <w:r w:rsidRPr="00397A3E">
              <w:rPr>
                <w:rFonts w:ascii="Calibri" w:hAnsi="Calibri" w:cs="Calibri"/>
                <w:noProof w:val="0"/>
                <w:sz w:val="16"/>
                <w:szCs w:val="16"/>
                <w:vertAlign w:val="superscript"/>
              </w:rPr>
              <w:t>h</w:t>
            </w:r>
            <w:r w:rsidRPr="00397A3E">
              <w:rPr>
                <w:rFonts w:ascii="Calibri" w:hAnsi="Calibri" w:cs="Calibri"/>
                <w:noProof w:val="0"/>
                <w:sz w:val="16"/>
                <w:szCs w:val="16"/>
              </w:rPr>
              <w:t xml:space="preserve"> percentiles and corresponding classifications for beach recreational water quality microbial assessment </w:t>
            </w:r>
            <w:r w:rsidR="00514A35" w:rsidRPr="00397A3E">
              <w:rPr>
                <w:rFonts w:ascii="Calibri" w:hAnsi="Calibri" w:cs="Calibri"/>
                <w:noProof w:val="0"/>
                <w:sz w:val="16"/>
                <w:szCs w:val="16"/>
              </w:rPr>
              <w:t>c</w:t>
            </w:r>
            <w:r w:rsidR="00514A35">
              <w:rPr>
                <w:rFonts w:ascii="Calibri" w:hAnsi="Calibri" w:cs="Calibri"/>
                <w:noProof w:val="0"/>
                <w:sz w:val="16"/>
                <w:szCs w:val="16"/>
              </w:rPr>
              <w:t>ategories</w:t>
            </w:r>
            <w:r w:rsidR="00514A35" w:rsidRPr="00397A3E">
              <w:rPr>
                <w:rFonts w:ascii="Calibri" w:hAnsi="Calibri" w:cs="Calibri"/>
                <w:noProof w:val="0"/>
                <w:sz w:val="16"/>
                <w:szCs w:val="16"/>
              </w:rPr>
              <w:t xml:space="preserve"> </w:t>
            </w:r>
            <w:r w:rsidRPr="00397A3E">
              <w:rPr>
                <w:rFonts w:ascii="Calibri" w:hAnsi="Calibri" w:cs="Calibri"/>
                <w:noProof w:val="0"/>
                <w:sz w:val="16"/>
                <w:szCs w:val="16"/>
              </w:rPr>
              <w:t>(MACs).</w:t>
            </w:r>
          </w:p>
        </w:tc>
        <w:tc>
          <w:tcPr>
            <w:tcW w:w="2101" w:type="dxa"/>
          </w:tcPr>
          <w:p w14:paraId="493275FB" w14:textId="7777777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The authors describe the statistical methodology and results of trialling the EnteroTester Excel Tool on coastal beaches and freshwater sites in WA, NSW and the NT.</w:t>
            </w:r>
          </w:p>
          <w:p w14:paraId="2FE504E9" w14:textId="3AE3E03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Tool performance assessed via Monte Carlo Simulations (MCS) and practical application at coastal beaches and freshwater sites at several Australian jurisdictions.</w:t>
            </w:r>
          </w:p>
          <w:p w14:paraId="37C51D3F" w14:textId="0270A94E" w:rsidR="00907C87" w:rsidRPr="00397A3E" w:rsidRDefault="00907C87" w:rsidP="00907C87">
            <w:pPr>
              <w:spacing w:before="0" w:after="0" w:line="240" w:lineRule="auto"/>
              <w:rPr>
                <w:rFonts w:ascii="Calibri" w:hAnsi="Calibri" w:cs="Calibri"/>
                <w:noProof w:val="0"/>
                <w:sz w:val="16"/>
                <w:szCs w:val="16"/>
              </w:rPr>
            </w:pPr>
          </w:p>
        </w:tc>
        <w:tc>
          <w:tcPr>
            <w:tcW w:w="2551" w:type="dxa"/>
          </w:tcPr>
          <w:p w14:paraId="1FFFC50B" w14:textId="2C562F64"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MCS used to evaluate different methods for 95</w:t>
            </w:r>
            <w:r w:rsidRPr="00397A3E">
              <w:rPr>
                <w:rFonts w:ascii="Calibri" w:hAnsi="Calibri" w:cs="Calibri"/>
                <w:noProof w:val="0"/>
                <w:sz w:val="16"/>
                <w:szCs w:val="16"/>
                <w:vertAlign w:val="superscript"/>
              </w:rPr>
              <w:t>th</w:t>
            </w:r>
            <w:r w:rsidRPr="00397A3E">
              <w:rPr>
                <w:rFonts w:ascii="Calibri" w:hAnsi="Calibri" w:cs="Calibri"/>
                <w:noProof w:val="0"/>
                <w:sz w:val="16"/>
                <w:szCs w:val="16"/>
              </w:rPr>
              <w:t xml:space="preserve"> percentile calculations on randomly generated datasets from the reference lognormal distribution with simulations run from sample sizes 8 to 100.  The EnteroTester template proved rapid, convenient, reliable, efficient in terms of data requirements, and more accurate in estimating infection risk and in placing recreational waters in their correct MACs than other methods of calculating 95th percentiles.</w:t>
            </w:r>
          </w:p>
        </w:tc>
        <w:tc>
          <w:tcPr>
            <w:tcW w:w="1712" w:type="dxa"/>
          </w:tcPr>
          <w:p w14:paraId="3236F197" w14:textId="4457B746"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N/A as no statistical measure of effect undertaken. </w:t>
            </w:r>
          </w:p>
        </w:tc>
        <w:tc>
          <w:tcPr>
            <w:tcW w:w="1407" w:type="dxa"/>
          </w:tcPr>
          <w:p w14:paraId="00DF0959" w14:textId="6998F48D"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N/A.</w:t>
            </w:r>
          </w:p>
        </w:tc>
      </w:tr>
      <w:tr w:rsidR="00785848" w14:paraId="5A244D20" w14:textId="77777777" w:rsidTr="00DA3913">
        <w:trPr>
          <w:cantSplit/>
          <w:trHeight w:val="433"/>
        </w:trPr>
        <w:tc>
          <w:tcPr>
            <w:tcW w:w="1043" w:type="dxa"/>
          </w:tcPr>
          <w:p w14:paraId="33C87691" w14:textId="37892A27" w:rsidR="00907C87" w:rsidRPr="00397A3E" w:rsidRDefault="00171C91" w:rsidP="00907C87">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J30:</w:t>
            </w:r>
            <w:r w:rsidRPr="00397A3E">
              <w:rPr>
                <w:rFonts w:ascii="Calibri" w:hAnsi="Calibri" w:cs="Calibri"/>
                <w:noProof w:val="0"/>
                <w:color w:val="000000"/>
                <w:sz w:val="16"/>
                <w:szCs w:val="16"/>
              </w:rPr>
              <w:fldChar w:fldCharType="begin"/>
            </w:r>
            <w:r w:rsidR="0069143F" w:rsidRPr="00397A3E">
              <w:rPr>
                <w:rFonts w:ascii="Calibri" w:hAnsi="Calibri" w:cs="Calibri"/>
                <w:noProof w:val="0"/>
                <w:color w:val="000000"/>
                <w:sz w:val="16"/>
                <w:szCs w:val="16"/>
              </w:rPr>
              <w:instrText xml:space="preserve"> ADDIN ZOTERO_ITEM CSL_CITATION {"citationID":"PXbhzV5f","properties":{"custom":"Robins, Farkas, et al., (2019)","formattedCitation":"Robins, Farkas, et al., (2019)","plainCitation":"Robins, Farkas, et al., (2019)","noteIndex":0},"citationItems":[{"id":12627,"uris":["http://zotero.org/users/148142/items/TNZSNJDD"],"uri":["http://zotero.org/users/148142/items/TNZSNJDD"],"itemData":{"id":12627,"type":"article-journal","archive":"Scopus","container-title":"Environment International","DOI":"10.1016/j.envint.2019.02.042","page":"430-442","title":"Viral dispersal in the coastal zone: A method to quantify water quality risk","URL":"https://www.scopus.com/inward/record.uri?eid=2-s2.0-85062216772&amp;doi=10.1016%2fj.envint.2019.02.042&amp;partnerID=40&amp;md5=72fcd9a789a4b4dd475a16a0e31978dc","volume":"126","author":[{"family":"Robins","given":"P. E."},{"family":"Farkas","given":"K."},{"family":"Cooper","given":"D."},{"family":"Malham","given":"S. K."},{"family":"Jones","given":"D. L."}],"issued":{"date-parts":[["2019"]]}}}],"schema":"https://github.com/citation-style-language/schema/raw/master/csl-citation.json"} </w:instrText>
            </w:r>
            <w:r w:rsidRPr="00397A3E">
              <w:rPr>
                <w:rFonts w:ascii="Calibri" w:hAnsi="Calibri" w:cs="Calibri"/>
                <w:noProof w:val="0"/>
                <w:color w:val="000000"/>
                <w:sz w:val="16"/>
                <w:szCs w:val="16"/>
              </w:rPr>
              <w:fldChar w:fldCharType="separate"/>
            </w:r>
            <w:r w:rsidRPr="00397A3E">
              <w:rPr>
                <w:rFonts w:ascii="Calibri" w:hAnsi="Calibri" w:cs="Calibri"/>
                <w:noProof w:val="0"/>
                <w:color w:val="000000"/>
                <w:sz w:val="16"/>
                <w:szCs w:val="16"/>
              </w:rPr>
              <w:t>Robins, Farkas, et al., (2019)</w:t>
            </w:r>
            <w:r w:rsidRPr="00397A3E">
              <w:rPr>
                <w:rFonts w:ascii="Calibri" w:hAnsi="Calibri" w:cs="Calibri"/>
                <w:noProof w:val="0"/>
                <w:color w:val="000000"/>
                <w:sz w:val="16"/>
                <w:szCs w:val="16"/>
              </w:rPr>
              <w:fldChar w:fldCharType="end"/>
            </w:r>
            <w:r w:rsidR="00AF4A48" w:rsidRPr="00397A3E">
              <w:rPr>
                <w:rFonts w:ascii="Calibri" w:hAnsi="Calibri" w:cs="Calibri"/>
                <w:noProof w:val="0"/>
                <w:color w:val="000000"/>
                <w:sz w:val="16"/>
                <w:szCs w:val="16"/>
              </w:rPr>
              <w:t xml:space="preserve"> Viral dispersal in the coastal zone: A method to quantify water quality risk. (Qualitative research).</w:t>
            </w:r>
          </w:p>
        </w:tc>
        <w:tc>
          <w:tcPr>
            <w:tcW w:w="1011" w:type="dxa"/>
          </w:tcPr>
          <w:p w14:paraId="2C7955A2" w14:textId="28459050"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N/A.  No health assessment undertaken.</w:t>
            </w:r>
          </w:p>
        </w:tc>
        <w:tc>
          <w:tcPr>
            <w:tcW w:w="1104" w:type="dxa"/>
          </w:tcPr>
          <w:p w14:paraId="45D6E57B" w14:textId="1CEC33F0"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N/A. Study focus is on hydraulic modelling of virus dispersal in an estuary.</w:t>
            </w:r>
          </w:p>
        </w:tc>
        <w:tc>
          <w:tcPr>
            <w:tcW w:w="1161" w:type="dxa"/>
          </w:tcPr>
          <w:p w14:paraId="602E75AA" w14:textId="4A45FD5D"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Estuary (Conwy estuary, North Wales, UK)</w:t>
            </w:r>
          </w:p>
        </w:tc>
        <w:tc>
          <w:tcPr>
            <w:tcW w:w="2364" w:type="dxa"/>
          </w:tcPr>
          <w:p w14:paraId="48069C33" w14:textId="6F0E8F4D"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Study aimed to investigate key processes influencing viral dispersal at bathing and shellfish harvest</w:t>
            </w:r>
            <w:r w:rsidR="00533DDA">
              <w:rPr>
                <w:rFonts w:ascii="Calibri" w:hAnsi="Calibri" w:cs="Calibri"/>
                <w:noProof w:val="0"/>
                <w:sz w:val="16"/>
                <w:szCs w:val="16"/>
              </w:rPr>
              <w:t>ing</w:t>
            </w:r>
            <w:r w:rsidRPr="00397A3E">
              <w:rPr>
                <w:rFonts w:ascii="Calibri" w:hAnsi="Calibri" w:cs="Calibri"/>
                <w:noProof w:val="0"/>
                <w:sz w:val="16"/>
                <w:szCs w:val="16"/>
              </w:rPr>
              <w:t xml:space="preserve"> sites along a river-estuary-coast system via hydraulic modelling.</w:t>
            </w:r>
          </w:p>
          <w:p w14:paraId="7164D1F9" w14:textId="461032CA"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The model simulated virus dispersal, driven by point source discharges and river flows in combination with tidal forcing.  Viral inputs were based on measured wastewater adenovirus concentrations. Model implemented with or without viral die-off. </w:t>
            </w:r>
          </w:p>
        </w:tc>
        <w:tc>
          <w:tcPr>
            <w:tcW w:w="2101" w:type="dxa"/>
          </w:tcPr>
          <w:p w14:paraId="2A0B5145" w14:textId="0E3E3DD5"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The hydraulic model was a vertically averaged hydrostatic ocean model. For all simulations, key parameters (depth, velocity, salinity, virus concentration) were output every 15 min [creating time series of flows, depths and predicted Adenovirus concentrations in within the estuary, for each scenario]. </w:t>
            </w:r>
          </w:p>
          <w:p w14:paraId="43D827C8" w14:textId="0626265D"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Five scenarios addressing dispersal, dilution, tide, including a worst-case scenario. </w:t>
            </w:r>
          </w:p>
        </w:tc>
        <w:tc>
          <w:tcPr>
            <w:tcW w:w="2551" w:type="dxa"/>
          </w:tcPr>
          <w:p w14:paraId="5A9778D4" w14:textId="27D67B7B"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River flow was the primary control of viral export to the coast. </w:t>
            </w:r>
          </w:p>
          <w:p w14:paraId="0003532F" w14:textId="0EFD47E4"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Since the Conwy catchment is short and steep, and the estuary is small and river-dominated [Reviewers note: common attributes of NSW estuaries], short-duration high intensity ‘flash floods’ were shown to transport viruses through the estuary and out to sea, despite dilution or die-off effects. </w:t>
            </w:r>
          </w:p>
          <w:p w14:paraId="1A9AD059" w14:textId="7777777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Duplicating flow events (i.e., storm clustering) did not double the virus export since the virus re-entered the estuary on the flood tide. </w:t>
            </w:r>
          </w:p>
          <w:p w14:paraId="567AF3E7" w14:textId="25BBC0FC"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The tidal magnitude and timing of high-water relative to peak river flow were also important drivers regulating viral dispersal. </w:t>
            </w:r>
          </w:p>
        </w:tc>
        <w:tc>
          <w:tcPr>
            <w:tcW w:w="1712" w:type="dxa"/>
          </w:tcPr>
          <w:p w14:paraId="45EBD35D" w14:textId="67CE29ED"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N/A as no statistical measure of effect undertaken. </w:t>
            </w:r>
          </w:p>
        </w:tc>
        <w:tc>
          <w:tcPr>
            <w:tcW w:w="1407" w:type="dxa"/>
          </w:tcPr>
          <w:p w14:paraId="03186696" w14:textId="6B2B50DF"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N/A.</w:t>
            </w:r>
          </w:p>
        </w:tc>
      </w:tr>
      <w:tr w:rsidR="00785848" w14:paraId="03FDEBBB" w14:textId="77777777" w:rsidTr="00DA3913">
        <w:trPr>
          <w:cantSplit/>
          <w:trHeight w:val="1345"/>
        </w:trPr>
        <w:tc>
          <w:tcPr>
            <w:tcW w:w="1043" w:type="dxa"/>
          </w:tcPr>
          <w:p w14:paraId="2E68C0E1" w14:textId="1AB665A6" w:rsidR="00907C87" w:rsidRPr="00397A3E" w:rsidRDefault="00171C91" w:rsidP="00907C87">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 xml:space="preserve">J34: </w:t>
            </w:r>
            <w:r w:rsidRPr="00397A3E">
              <w:rPr>
                <w:rFonts w:ascii="Calibri" w:hAnsi="Calibri" w:cs="Calibri"/>
                <w:noProof w:val="0"/>
                <w:color w:val="000000"/>
                <w:sz w:val="16"/>
                <w:szCs w:val="16"/>
              </w:rPr>
              <w:fldChar w:fldCharType="begin"/>
            </w:r>
            <w:r w:rsidR="0069143F" w:rsidRPr="00397A3E">
              <w:rPr>
                <w:rFonts w:ascii="Calibri" w:hAnsi="Calibri" w:cs="Calibri"/>
                <w:noProof w:val="0"/>
                <w:color w:val="000000"/>
                <w:sz w:val="16"/>
                <w:szCs w:val="16"/>
              </w:rPr>
              <w:instrText xml:space="preserve"> ADDIN ZOTERO_ITEM CSL_CITATION {"citationID":"pQX7iKOM","properties":{"custom":"Russo, Eftim, et al., (2020)","formattedCitation":"Russo, Eftim, et al., (2020)","plainCitation":"Russo, Eftim, et al., (2020)","noteIndex":0},"citationItems":[{"id":12671,"uris":["http://zotero.org/users/148142/items/W56RG33S"],"uri":["http://zotero.org/users/148142/items/W56RG33S"],"itemData":{"id":12671,"type":"article-journal","archive":"Scopus","container-title":"Water Research","DOI":"10.1016/j.watres.2020.115729","title":"Evaluating health risks associated with exposure to ambient surface waters during recreational activities: A systematic review and meta-analysis","URL":"https://www.scopus.com/inward/record.uri?eid=2-s2.0-85082875333&amp;doi=10.1016%2fj.watres.2020.115729&amp;partnerID=40&amp;md5=b8d28f8b8576aa1d50ad124e4649f95f","volume":"176","author":[{"family":"Russo","given":"G. S."},{"family":"Eftim","given":"S. E."},{"family":"Goldstone","given":"A. E."},{"family":"Dufour","given":"A. P."},{"family":"Nappier","given":"S. P."},{"family":"Wade","given":"T. J."}],"issued":{"date-parts":[["2020"]]}}}],"schema":"https://github.com/citation-style-language/schema/raw/master/csl-citation.json"} </w:instrText>
            </w:r>
            <w:r w:rsidRPr="00397A3E">
              <w:rPr>
                <w:rFonts w:ascii="Calibri" w:hAnsi="Calibri" w:cs="Calibri"/>
                <w:noProof w:val="0"/>
                <w:color w:val="000000"/>
                <w:sz w:val="16"/>
                <w:szCs w:val="16"/>
              </w:rPr>
              <w:fldChar w:fldCharType="separate"/>
            </w:r>
            <w:r w:rsidRPr="00397A3E">
              <w:rPr>
                <w:rFonts w:ascii="Calibri" w:hAnsi="Calibri" w:cs="Calibri"/>
                <w:noProof w:val="0"/>
                <w:color w:val="000000"/>
                <w:sz w:val="16"/>
                <w:szCs w:val="16"/>
              </w:rPr>
              <w:t>Russo, Eftim, et al., (2020)</w:t>
            </w:r>
            <w:r w:rsidRPr="00397A3E">
              <w:rPr>
                <w:rFonts w:ascii="Calibri" w:hAnsi="Calibri" w:cs="Calibri"/>
                <w:noProof w:val="0"/>
                <w:color w:val="000000"/>
                <w:sz w:val="16"/>
                <w:szCs w:val="16"/>
              </w:rPr>
              <w:fldChar w:fldCharType="end"/>
            </w:r>
            <w:r w:rsidR="00AF4A48" w:rsidRPr="00397A3E">
              <w:rPr>
                <w:rFonts w:ascii="Calibri" w:hAnsi="Calibri" w:cs="Calibri"/>
                <w:noProof w:val="0"/>
                <w:color w:val="000000"/>
                <w:sz w:val="16"/>
                <w:szCs w:val="16"/>
              </w:rPr>
              <w:t xml:space="preserve"> Evaluating health risks associated with exposure to ambient surface waters during recreational activities: A systematic review and meta-analysis. (Systematic review).</w:t>
            </w:r>
          </w:p>
        </w:tc>
        <w:tc>
          <w:tcPr>
            <w:tcW w:w="1011" w:type="dxa"/>
          </w:tcPr>
          <w:p w14:paraId="03BC39D4" w14:textId="01C3D2F4"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Adults and children exposed to water during recreation.</w:t>
            </w:r>
          </w:p>
        </w:tc>
        <w:tc>
          <w:tcPr>
            <w:tcW w:w="1104" w:type="dxa"/>
          </w:tcPr>
          <w:p w14:paraId="6703356F" w14:textId="2AC2280A"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Ingestion of water during primary contact recreation</w:t>
            </w:r>
          </w:p>
        </w:tc>
        <w:tc>
          <w:tcPr>
            <w:tcW w:w="1161" w:type="dxa"/>
          </w:tcPr>
          <w:p w14:paraId="0125BEBE" w14:textId="7B98670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Marine, estuarine, freshwater recreational water sites</w:t>
            </w:r>
          </w:p>
        </w:tc>
        <w:tc>
          <w:tcPr>
            <w:tcW w:w="2364" w:type="dxa"/>
          </w:tcPr>
          <w:p w14:paraId="20132337" w14:textId="45D6C46E"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The study consisted of a systematic review and meta-analysis to evaluate the current scientific evidence for differences in risk of illness between recreational activities typically associated with different levels of contact with water.</w:t>
            </w:r>
          </w:p>
        </w:tc>
        <w:tc>
          <w:tcPr>
            <w:tcW w:w="2101" w:type="dxa"/>
          </w:tcPr>
          <w:p w14:paraId="090945B3" w14:textId="77777777" w:rsidR="00462BB3" w:rsidRPr="00397A3E" w:rsidRDefault="00171C91" w:rsidP="00462BB3">
            <w:pPr>
              <w:spacing w:before="0" w:after="0" w:line="240" w:lineRule="auto"/>
              <w:rPr>
                <w:rFonts w:ascii="Calibri" w:hAnsi="Calibri" w:cs="Calibri"/>
                <w:noProof w:val="0"/>
                <w:sz w:val="16"/>
                <w:szCs w:val="16"/>
              </w:rPr>
            </w:pPr>
            <w:r w:rsidRPr="00397A3E">
              <w:rPr>
                <w:rFonts w:ascii="Calibri" w:hAnsi="Calibri" w:cs="Calibri"/>
                <w:noProof w:val="0"/>
                <w:sz w:val="16"/>
                <w:szCs w:val="16"/>
              </w:rPr>
              <w:t>The risk of illness associated with different categories of recreational activities and water contact was quantitatively evaluated by combining the results of multiple studies using meta-analysis.</w:t>
            </w:r>
          </w:p>
          <w:p w14:paraId="41A1BFA5" w14:textId="77777777" w:rsidR="00907C87" w:rsidRPr="00397A3E" w:rsidRDefault="00171C91" w:rsidP="00462BB3">
            <w:pPr>
              <w:spacing w:before="0" w:after="0" w:line="240" w:lineRule="auto"/>
              <w:rPr>
                <w:rFonts w:ascii="Calibri" w:hAnsi="Calibri" w:cs="Calibri"/>
                <w:noProof w:val="0"/>
                <w:sz w:val="16"/>
                <w:szCs w:val="16"/>
              </w:rPr>
            </w:pPr>
            <w:r w:rsidRPr="00397A3E">
              <w:rPr>
                <w:rFonts w:ascii="Calibri" w:hAnsi="Calibri" w:cs="Calibri"/>
                <w:noProof w:val="0"/>
                <w:sz w:val="16"/>
                <w:szCs w:val="16"/>
              </w:rPr>
              <w:t>Odds ratios (OR) were considered to be reasonable estimates of relative risk because the probability of infection due to water-based recreational activities is generally low.</w:t>
            </w:r>
          </w:p>
          <w:p w14:paraId="193AC48F" w14:textId="291702FB" w:rsidR="00462BB3" w:rsidRPr="00397A3E" w:rsidRDefault="00462BB3" w:rsidP="00462BB3">
            <w:pPr>
              <w:spacing w:before="0" w:after="0" w:line="240" w:lineRule="auto"/>
              <w:rPr>
                <w:rFonts w:ascii="Calibri" w:hAnsi="Calibri" w:cs="Calibri"/>
                <w:noProof w:val="0"/>
                <w:sz w:val="16"/>
                <w:szCs w:val="16"/>
              </w:rPr>
            </w:pPr>
          </w:p>
        </w:tc>
        <w:tc>
          <w:tcPr>
            <w:tcW w:w="2551" w:type="dxa"/>
          </w:tcPr>
          <w:p w14:paraId="14AE7B58" w14:textId="51324439" w:rsidR="0028115C" w:rsidRPr="00397A3E" w:rsidRDefault="00171C91" w:rsidP="0028115C">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Too many OR results are present in the paper to discuss here. Key findings however were the </w:t>
            </w:r>
            <w:r w:rsidR="00F77385" w:rsidRPr="00397A3E">
              <w:rPr>
                <w:rFonts w:ascii="Calibri" w:hAnsi="Calibri" w:cs="Calibri"/>
                <w:noProof w:val="0"/>
                <w:sz w:val="16"/>
                <w:szCs w:val="16"/>
              </w:rPr>
              <w:t>p</w:t>
            </w:r>
            <w:r w:rsidRPr="00397A3E">
              <w:rPr>
                <w:rFonts w:ascii="Calibri" w:hAnsi="Calibri" w:cs="Calibri"/>
                <w:noProof w:val="0"/>
                <w:sz w:val="16"/>
                <w:szCs w:val="16"/>
              </w:rPr>
              <w:t>ooled risk estimates showing:</w:t>
            </w:r>
          </w:p>
          <w:p w14:paraId="04BE954C" w14:textId="77777777" w:rsidR="0028115C" w:rsidRPr="00397A3E" w:rsidRDefault="00171C91" w:rsidP="00764500">
            <w:pPr>
              <w:numPr>
                <w:ilvl w:val="0"/>
                <w:numId w:val="38"/>
              </w:numPr>
              <w:spacing w:before="0" w:after="0" w:line="240" w:lineRule="auto"/>
              <w:ind w:left="306" w:hanging="273"/>
              <w:rPr>
                <w:rFonts w:ascii="Calibri" w:hAnsi="Calibri" w:cs="Calibri"/>
                <w:noProof w:val="0"/>
                <w:sz w:val="16"/>
                <w:szCs w:val="16"/>
              </w:rPr>
            </w:pPr>
            <w:r w:rsidRPr="00397A3E">
              <w:rPr>
                <w:rFonts w:ascii="Calibri" w:hAnsi="Calibri" w:cs="Calibri"/>
                <w:noProof w:val="0"/>
                <w:sz w:val="16"/>
                <w:szCs w:val="16"/>
              </w:rPr>
              <w:t>significant elevation of gastrointestinal illness with the recreational activity categories of swimming (OR 2.19, 95% CI: 1.82, 2.63) and sports-related contact (OR 2.69, 95% CI: 1.04, 6.92), and</w:t>
            </w:r>
          </w:p>
          <w:p w14:paraId="1E722C2D" w14:textId="77777777" w:rsidR="0028115C" w:rsidRPr="00397A3E" w:rsidRDefault="00171C91" w:rsidP="00764500">
            <w:pPr>
              <w:numPr>
                <w:ilvl w:val="0"/>
                <w:numId w:val="38"/>
              </w:numPr>
              <w:spacing w:before="0" w:after="0" w:line="240" w:lineRule="auto"/>
              <w:ind w:left="306" w:hanging="273"/>
              <w:rPr>
                <w:rFonts w:ascii="Calibri" w:hAnsi="Calibri" w:cs="Calibri"/>
                <w:noProof w:val="0"/>
                <w:sz w:val="16"/>
                <w:szCs w:val="16"/>
              </w:rPr>
            </w:pPr>
            <w:r w:rsidRPr="00397A3E">
              <w:rPr>
                <w:rFonts w:ascii="Calibri" w:hAnsi="Calibri" w:cs="Calibri"/>
                <w:noProof w:val="0"/>
                <w:sz w:val="16"/>
                <w:szCs w:val="16"/>
              </w:rPr>
              <w:t xml:space="preserve">nonsignificant elevation of gastrointestinal illness with minimal contact (OR 1.27, 95% CI: 0.74, 2.16). </w:t>
            </w:r>
          </w:p>
          <w:p w14:paraId="1D156A3B" w14:textId="77777777" w:rsidR="0028115C" w:rsidRPr="00397A3E" w:rsidRDefault="00171C91" w:rsidP="00764500">
            <w:pPr>
              <w:numPr>
                <w:ilvl w:val="0"/>
                <w:numId w:val="38"/>
              </w:numPr>
              <w:spacing w:before="0" w:after="0" w:line="240" w:lineRule="auto"/>
              <w:ind w:left="306" w:hanging="273"/>
              <w:rPr>
                <w:rFonts w:ascii="Calibri" w:hAnsi="Calibri" w:cs="Calibri"/>
                <w:noProof w:val="0"/>
                <w:sz w:val="16"/>
                <w:szCs w:val="16"/>
              </w:rPr>
            </w:pPr>
            <w:r w:rsidRPr="00397A3E">
              <w:rPr>
                <w:rFonts w:ascii="Calibri" w:hAnsi="Calibri" w:cs="Calibri"/>
                <w:noProof w:val="0"/>
                <w:sz w:val="16"/>
                <w:szCs w:val="16"/>
              </w:rPr>
              <w:t>significant elevation of respiratory illness with swimming (OR 1.78, 95% CI: 1.38, 2.29) and sports-related contact (OR 1.49, 95% CI: 1.00, 2.24), and</w:t>
            </w:r>
          </w:p>
          <w:p w14:paraId="19041747" w14:textId="77777777" w:rsidR="00907C87" w:rsidRPr="00397A3E" w:rsidRDefault="00171C91" w:rsidP="00764500">
            <w:pPr>
              <w:numPr>
                <w:ilvl w:val="0"/>
                <w:numId w:val="38"/>
              </w:numPr>
              <w:spacing w:before="0" w:after="0" w:line="240" w:lineRule="auto"/>
              <w:ind w:left="306" w:hanging="273"/>
              <w:rPr>
                <w:rFonts w:ascii="Calibri" w:hAnsi="Calibri" w:cs="Calibri"/>
                <w:noProof w:val="0"/>
                <w:sz w:val="16"/>
                <w:szCs w:val="16"/>
              </w:rPr>
            </w:pPr>
            <w:r w:rsidRPr="00397A3E">
              <w:rPr>
                <w:rFonts w:ascii="Calibri" w:hAnsi="Calibri" w:cs="Calibri"/>
                <w:noProof w:val="0"/>
                <w:sz w:val="16"/>
                <w:szCs w:val="16"/>
              </w:rPr>
              <w:t>no elevation of respiratory illness with minimal contact (OR 0.90, 95% CI: 0.71, 1.14)</w:t>
            </w:r>
          </w:p>
          <w:p w14:paraId="7E935D2D" w14:textId="1680B84E" w:rsidR="009C3A13" w:rsidRPr="00397A3E" w:rsidRDefault="00171C91" w:rsidP="00650DBC">
            <w:pPr>
              <w:spacing w:before="0" w:after="240" w:line="240" w:lineRule="auto"/>
              <w:rPr>
                <w:rFonts w:ascii="Calibri" w:hAnsi="Calibri" w:cs="Calibri"/>
                <w:noProof w:val="0"/>
                <w:sz w:val="16"/>
                <w:szCs w:val="16"/>
              </w:rPr>
            </w:pPr>
            <w:r w:rsidRPr="00397A3E">
              <w:rPr>
                <w:rFonts w:ascii="Calibri" w:hAnsi="Calibri" w:cs="Calibri"/>
                <w:noProof w:val="0"/>
                <w:sz w:val="16"/>
                <w:szCs w:val="16"/>
              </w:rPr>
              <w:t>Also note were the p</w:t>
            </w:r>
            <w:r w:rsidR="00650DBC" w:rsidRPr="00397A3E">
              <w:rPr>
                <w:rFonts w:ascii="Calibri" w:hAnsi="Calibri" w:cs="Calibri"/>
                <w:noProof w:val="0"/>
                <w:sz w:val="16"/>
                <w:szCs w:val="16"/>
              </w:rPr>
              <w:t>ooled risk estimates for GI for adults and children were significantly greater than 1, whilst only estimates for adults were greater than 1 for RI.  Both GI and RI risk estimates were not significantly different from each other.</w:t>
            </w:r>
          </w:p>
        </w:tc>
        <w:tc>
          <w:tcPr>
            <w:tcW w:w="1712" w:type="dxa"/>
          </w:tcPr>
          <w:p w14:paraId="7EFEEFF2" w14:textId="2D9A3D6E" w:rsidR="00943575"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Formal significance tests were limited to Egger’s test for publication bias coefficient (too many to show here, see Figs 5 &amp; 7 in paper).</w:t>
            </w:r>
          </w:p>
          <w:p w14:paraId="766A8AE2" w14:textId="7C995056" w:rsidR="00907C87" w:rsidRPr="00397A3E" w:rsidRDefault="00171C91" w:rsidP="00D7433D">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The effect of swimming was summarised by the </w:t>
            </w:r>
            <w:r w:rsidR="0028115C" w:rsidRPr="00397A3E">
              <w:rPr>
                <w:rFonts w:ascii="Calibri" w:hAnsi="Calibri" w:cs="Calibri"/>
                <w:noProof w:val="0"/>
                <w:sz w:val="16"/>
                <w:szCs w:val="16"/>
              </w:rPr>
              <w:t>meta-analysis</w:t>
            </w:r>
            <w:r w:rsidRPr="00397A3E">
              <w:rPr>
                <w:rFonts w:ascii="Calibri" w:hAnsi="Calibri" w:cs="Calibri"/>
                <w:noProof w:val="0"/>
                <w:sz w:val="16"/>
                <w:szCs w:val="16"/>
              </w:rPr>
              <w:t xml:space="preserve"> </w:t>
            </w:r>
            <w:r w:rsidR="000D0F7C" w:rsidRPr="00397A3E">
              <w:rPr>
                <w:rFonts w:ascii="Calibri" w:hAnsi="Calibri" w:cs="Calibri"/>
                <w:noProof w:val="0"/>
                <w:sz w:val="16"/>
                <w:szCs w:val="16"/>
              </w:rPr>
              <w:t>which</w:t>
            </w:r>
            <w:r w:rsidR="0028115C" w:rsidRPr="00397A3E">
              <w:rPr>
                <w:rFonts w:ascii="Calibri" w:hAnsi="Calibri" w:cs="Calibri"/>
                <w:noProof w:val="0"/>
                <w:sz w:val="16"/>
                <w:szCs w:val="16"/>
              </w:rPr>
              <w:t xml:space="preserve"> confirmed a strong association between swimming and both gastrointestinal illness (GI) and respiratory illness (RI). </w:t>
            </w:r>
            <w:r w:rsidR="0028115C" w:rsidRPr="00397A3E">
              <w:rPr>
                <w:rFonts w:ascii="Calibri" w:hAnsi="Calibri" w:cs="Calibri"/>
                <w:i/>
                <w:iCs/>
                <w:noProof w:val="0"/>
                <w:sz w:val="16"/>
                <w:szCs w:val="16"/>
              </w:rPr>
              <w:t>Swimming approximately doubles the risk of GI and increases the risk of RI by approximately 75% compared to no-contact controls.</w:t>
            </w:r>
          </w:p>
        </w:tc>
        <w:tc>
          <w:tcPr>
            <w:tcW w:w="1407" w:type="dxa"/>
          </w:tcPr>
          <w:p w14:paraId="351C416F" w14:textId="77777777" w:rsidR="00907C8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Significance tests</w:t>
            </w:r>
            <w:r w:rsidR="005A4B97" w:rsidRPr="00397A3E">
              <w:rPr>
                <w:rFonts w:ascii="Calibri" w:hAnsi="Calibri" w:cs="Calibri"/>
                <w:noProof w:val="0"/>
                <w:sz w:val="16"/>
                <w:szCs w:val="16"/>
              </w:rPr>
              <w:t xml:space="preserve"> (bias coefficient in Egger’s test)</w:t>
            </w:r>
            <w:r w:rsidRPr="00397A3E">
              <w:rPr>
                <w:rFonts w:ascii="Calibri" w:hAnsi="Calibri" w:cs="Calibri"/>
                <w:noProof w:val="0"/>
                <w:sz w:val="16"/>
                <w:szCs w:val="16"/>
              </w:rPr>
              <w:t xml:space="preserve"> applied </w:t>
            </w:r>
            <w:r w:rsidR="005A4B97" w:rsidRPr="00397A3E">
              <w:rPr>
                <w:rFonts w:ascii="Calibri" w:hAnsi="Calibri" w:cs="Calibri"/>
                <w:noProof w:val="0"/>
                <w:sz w:val="16"/>
                <w:szCs w:val="16"/>
              </w:rPr>
              <w:t xml:space="preserve">for publication bias (Funnel Plots) </w:t>
            </w:r>
            <w:r w:rsidRPr="00397A3E">
              <w:rPr>
                <w:rFonts w:ascii="Calibri" w:hAnsi="Calibri" w:cs="Calibri"/>
                <w:noProof w:val="0"/>
                <w:sz w:val="16"/>
                <w:szCs w:val="16"/>
              </w:rPr>
              <w:t>use</w:t>
            </w:r>
            <w:r w:rsidR="005A4B97" w:rsidRPr="00397A3E">
              <w:rPr>
                <w:rFonts w:ascii="Calibri" w:hAnsi="Calibri" w:cs="Calibri"/>
                <w:noProof w:val="0"/>
                <w:sz w:val="16"/>
                <w:szCs w:val="16"/>
              </w:rPr>
              <w:t>d</w:t>
            </w:r>
            <w:r w:rsidRPr="00397A3E">
              <w:rPr>
                <w:rFonts w:ascii="Calibri" w:hAnsi="Calibri" w:cs="Calibri"/>
                <w:noProof w:val="0"/>
                <w:sz w:val="16"/>
                <w:szCs w:val="16"/>
              </w:rPr>
              <w:t xml:space="preserve"> p &lt; 0.</w:t>
            </w:r>
            <w:r w:rsidR="005A4B97" w:rsidRPr="00397A3E">
              <w:rPr>
                <w:rFonts w:ascii="Calibri" w:hAnsi="Calibri" w:cs="Calibri"/>
                <w:noProof w:val="0"/>
                <w:sz w:val="16"/>
                <w:szCs w:val="16"/>
              </w:rPr>
              <w:t>10</w:t>
            </w:r>
            <w:r w:rsidRPr="00397A3E">
              <w:rPr>
                <w:rFonts w:ascii="Calibri" w:hAnsi="Calibri" w:cs="Calibri"/>
                <w:noProof w:val="0"/>
                <w:sz w:val="16"/>
                <w:szCs w:val="16"/>
              </w:rPr>
              <w:t xml:space="preserve"> as the threshold for rejecting the null hypothesis.</w:t>
            </w:r>
          </w:p>
          <w:p w14:paraId="705EE82D" w14:textId="61D083C6" w:rsidR="005A4B97" w:rsidRPr="00397A3E" w:rsidRDefault="00171C91" w:rsidP="00907C87">
            <w:pPr>
              <w:spacing w:before="0" w:after="0" w:line="240" w:lineRule="auto"/>
              <w:rPr>
                <w:rFonts w:ascii="Calibri" w:hAnsi="Calibri" w:cs="Calibri"/>
                <w:noProof w:val="0"/>
                <w:sz w:val="16"/>
                <w:szCs w:val="16"/>
              </w:rPr>
            </w:pPr>
            <w:r w:rsidRPr="00397A3E">
              <w:rPr>
                <w:rFonts w:ascii="Calibri" w:hAnsi="Calibri" w:cs="Calibri"/>
                <w:noProof w:val="0"/>
                <w:sz w:val="16"/>
                <w:szCs w:val="16"/>
              </w:rPr>
              <w:t>Any meta-analysis result derived from fewer than three studies was regarded as inconclusive.</w:t>
            </w:r>
          </w:p>
        </w:tc>
      </w:tr>
      <w:tr w:rsidR="00785848" w14:paraId="6912ABEB" w14:textId="77777777" w:rsidTr="00DA3913">
        <w:trPr>
          <w:cantSplit/>
          <w:trHeight w:val="845"/>
        </w:trPr>
        <w:tc>
          <w:tcPr>
            <w:tcW w:w="1043" w:type="dxa"/>
          </w:tcPr>
          <w:p w14:paraId="49C76EA2" w14:textId="0DE6E927" w:rsidR="00943575" w:rsidRPr="00397A3E" w:rsidRDefault="00171C91" w:rsidP="00943575">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J35: Schoen, Boehm, et al., (2020)</w:t>
            </w:r>
            <w:r w:rsidR="00E7024E" w:rsidRPr="00397A3E">
              <w:rPr>
                <w:rFonts w:ascii="Calibri" w:hAnsi="Calibri" w:cs="Calibri"/>
                <w:noProof w:val="0"/>
                <w:color w:val="000000"/>
                <w:sz w:val="16"/>
                <w:szCs w:val="16"/>
              </w:rPr>
              <w:t xml:space="preserve"> Contamination scenario matters when using viral and bacterial human-associated genetic markers as indicators of health risk in untreated sewage-impacted recreational waters</w:t>
            </w:r>
            <w:r w:rsidR="00AF4A48" w:rsidRPr="00397A3E">
              <w:rPr>
                <w:rFonts w:ascii="Calibri" w:hAnsi="Calibri" w:cs="Calibri"/>
                <w:noProof w:val="0"/>
                <w:color w:val="000000"/>
                <w:sz w:val="16"/>
                <w:szCs w:val="16"/>
              </w:rPr>
              <w:t>.</w:t>
            </w:r>
            <w:r w:rsidR="00E7024E" w:rsidRPr="00397A3E">
              <w:rPr>
                <w:rFonts w:ascii="Calibri" w:hAnsi="Calibri" w:cs="Calibri"/>
                <w:noProof w:val="0"/>
                <w:color w:val="000000"/>
                <w:sz w:val="16"/>
                <w:szCs w:val="16"/>
              </w:rPr>
              <w:t xml:space="preserve"> (Qualitative research)</w:t>
            </w:r>
          </w:p>
        </w:tc>
        <w:tc>
          <w:tcPr>
            <w:tcW w:w="1011" w:type="dxa"/>
          </w:tcPr>
          <w:p w14:paraId="02EC2322" w14:textId="46ADAEBB" w:rsidR="00943575" w:rsidRPr="00397A3E" w:rsidRDefault="00171C91" w:rsidP="00943575">
            <w:pPr>
              <w:spacing w:before="0" w:after="0" w:line="240" w:lineRule="auto"/>
              <w:rPr>
                <w:rFonts w:ascii="Calibri" w:hAnsi="Calibri" w:cs="Calibri"/>
                <w:noProof w:val="0"/>
                <w:sz w:val="16"/>
                <w:szCs w:val="16"/>
              </w:rPr>
            </w:pPr>
            <w:r w:rsidRPr="00397A3E">
              <w:rPr>
                <w:rFonts w:ascii="Calibri" w:hAnsi="Calibri" w:cs="Calibri"/>
                <w:noProof w:val="0"/>
                <w:sz w:val="16"/>
                <w:szCs w:val="16"/>
              </w:rPr>
              <w:t>Adults exposed to water during recreation.</w:t>
            </w:r>
          </w:p>
        </w:tc>
        <w:tc>
          <w:tcPr>
            <w:tcW w:w="1104" w:type="dxa"/>
          </w:tcPr>
          <w:p w14:paraId="380C8081" w14:textId="56F8AFD6" w:rsidR="00943575" w:rsidRPr="00397A3E" w:rsidRDefault="00171C91" w:rsidP="00943575">
            <w:pPr>
              <w:spacing w:before="0" w:after="0" w:line="240" w:lineRule="auto"/>
              <w:rPr>
                <w:rFonts w:ascii="Calibri" w:hAnsi="Calibri" w:cs="Calibri"/>
                <w:noProof w:val="0"/>
                <w:sz w:val="16"/>
                <w:szCs w:val="16"/>
              </w:rPr>
            </w:pPr>
            <w:r w:rsidRPr="00397A3E">
              <w:rPr>
                <w:rFonts w:ascii="Calibri" w:hAnsi="Calibri" w:cs="Calibri"/>
                <w:noProof w:val="0"/>
                <w:sz w:val="16"/>
                <w:szCs w:val="16"/>
              </w:rPr>
              <w:t>Ingestion of water during primary contact recreation</w:t>
            </w:r>
          </w:p>
        </w:tc>
        <w:tc>
          <w:tcPr>
            <w:tcW w:w="1161" w:type="dxa"/>
          </w:tcPr>
          <w:p w14:paraId="52AAB4B3" w14:textId="140F7898" w:rsidR="00943575" w:rsidRPr="00397A3E" w:rsidRDefault="00171C91" w:rsidP="00943575">
            <w:pPr>
              <w:spacing w:before="0" w:after="0" w:line="240" w:lineRule="auto"/>
              <w:rPr>
                <w:rFonts w:ascii="Calibri" w:hAnsi="Calibri" w:cs="Calibri"/>
                <w:noProof w:val="0"/>
                <w:sz w:val="16"/>
                <w:szCs w:val="16"/>
              </w:rPr>
            </w:pPr>
            <w:r w:rsidRPr="00397A3E">
              <w:rPr>
                <w:rFonts w:ascii="Calibri" w:hAnsi="Calibri" w:cs="Calibri"/>
                <w:noProof w:val="0"/>
                <w:sz w:val="16"/>
                <w:szCs w:val="16"/>
              </w:rPr>
              <w:t>Marine, estuarine, and freshwater.</w:t>
            </w:r>
          </w:p>
        </w:tc>
        <w:tc>
          <w:tcPr>
            <w:tcW w:w="2364" w:type="dxa"/>
          </w:tcPr>
          <w:p w14:paraId="55196383" w14:textId="77777777" w:rsidR="00943575" w:rsidRPr="00397A3E" w:rsidRDefault="00171C91" w:rsidP="00943575">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The aim of the study was </w:t>
            </w:r>
            <w:bookmarkStart w:id="397" w:name="_Hlk94094037"/>
            <w:r w:rsidRPr="00397A3E">
              <w:rPr>
                <w:rFonts w:ascii="Calibri" w:hAnsi="Calibri" w:cs="Calibri"/>
                <w:noProof w:val="0"/>
                <w:sz w:val="16"/>
                <w:szCs w:val="16"/>
              </w:rPr>
              <w:t xml:space="preserve">to extend the QMRA approach to model the effects of sewage age on GI risk-based thresholds (RBT) using mixtures of sewage at different ages and genetic marker concentrations for human associated crAssphage, </w:t>
            </w:r>
            <w:r w:rsidRPr="00397A3E">
              <w:rPr>
                <w:rFonts w:ascii="Calibri" w:hAnsi="Calibri" w:cs="Calibri"/>
                <w:i/>
                <w:iCs/>
                <w:noProof w:val="0"/>
                <w:sz w:val="16"/>
                <w:szCs w:val="16"/>
              </w:rPr>
              <w:t>Bacteroides</w:t>
            </w:r>
            <w:r w:rsidRPr="00397A3E">
              <w:rPr>
                <w:rFonts w:ascii="Calibri" w:hAnsi="Calibri" w:cs="Calibri"/>
                <w:noProof w:val="0"/>
                <w:sz w:val="16"/>
                <w:szCs w:val="16"/>
              </w:rPr>
              <w:t xml:space="preserve"> spp., and polyomavirus.</w:t>
            </w:r>
            <w:bookmarkEnd w:id="397"/>
            <w:r w:rsidRPr="00397A3E">
              <w:rPr>
                <w:rFonts w:ascii="Calibri" w:hAnsi="Calibri" w:cs="Calibri"/>
                <w:noProof w:val="0"/>
                <w:sz w:val="16"/>
                <w:szCs w:val="16"/>
              </w:rPr>
              <w:t xml:space="preserve"> Sewage samples were obtained from 49 wastewater facilities across the contiguous United States.</w:t>
            </w:r>
          </w:p>
          <w:p w14:paraId="79E30DB7" w14:textId="77777777" w:rsidR="00943575" w:rsidRPr="00397A3E" w:rsidRDefault="00943575" w:rsidP="00943575">
            <w:pPr>
              <w:spacing w:before="0" w:after="0" w:line="240" w:lineRule="auto"/>
              <w:rPr>
                <w:rFonts w:ascii="Calibri" w:hAnsi="Calibri" w:cs="Calibri"/>
                <w:noProof w:val="0"/>
                <w:sz w:val="16"/>
                <w:szCs w:val="16"/>
              </w:rPr>
            </w:pPr>
          </w:p>
        </w:tc>
        <w:tc>
          <w:tcPr>
            <w:tcW w:w="2101" w:type="dxa"/>
          </w:tcPr>
          <w:p w14:paraId="54CD1B97" w14:textId="77777777" w:rsidR="00943575" w:rsidRPr="00397A3E" w:rsidRDefault="00171C91" w:rsidP="00943575">
            <w:pPr>
              <w:spacing w:before="0" w:after="0" w:line="240" w:lineRule="auto"/>
              <w:rPr>
                <w:rFonts w:ascii="Calibri" w:hAnsi="Calibri" w:cs="Calibri"/>
                <w:noProof w:val="0"/>
                <w:sz w:val="16"/>
                <w:szCs w:val="16"/>
              </w:rPr>
            </w:pPr>
            <w:r w:rsidRPr="00397A3E">
              <w:rPr>
                <w:rFonts w:ascii="Calibri" w:hAnsi="Calibri" w:cs="Calibri"/>
                <w:noProof w:val="0"/>
                <w:sz w:val="16"/>
                <w:szCs w:val="16"/>
              </w:rPr>
              <w:t>Reference enteric pathogens were</w:t>
            </w:r>
            <w:r w:rsidRPr="00397A3E">
              <w:rPr>
                <w:rFonts w:ascii="Calibri" w:hAnsi="Calibri" w:cs="Calibri"/>
                <w:i/>
                <w:iCs/>
                <w:noProof w:val="0"/>
                <w:sz w:val="16"/>
                <w:szCs w:val="16"/>
              </w:rPr>
              <w:t xml:space="preserve"> Salmonella enterica, Campylobacter, E. coli</w:t>
            </w:r>
            <w:r w:rsidRPr="00397A3E">
              <w:rPr>
                <w:rFonts w:ascii="Calibri" w:hAnsi="Calibri" w:cs="Calibri"/>
                <w:noProof w:val="0"/>
                <w:sz w:val="16"/>
                <w:szCs w:val="16"/>
              </w:rPr>
              <w:t xml:space="preserve"> O157:H7, </w:t>
            </w:r>
            <w:r w:rsidRPr="00397A3E">
              <w:rPr>
                <w:rFonts w:ascii="Calibri" w:hAnsi="Calibri" w:cs="Calibri"/>
                <w:i/>
                <w:iCs/>
                <w:noProof w:val="0"/>
                <w:sz w:val="16"/>
                <w:szCs w:val="16"/>
              </w:rPr>
              <w:t>Cryptosporidium, Giardia,</w:t>
            </w:r>
            <w:r w:rsidRPr="00397A3E">
              <w:rPr>
                <w:rFonts w:ascii="Calibri" w:hAnsi="Calibri" w:cs="Calibri"/>
                <w:noProof w:val="0"/>
                <w:sz w:val="16"/>
                <w:szCs w:val="16"/>
              </w:rPr>
              <w:t xml:space="preserve"> norovirus, adenovirus.</w:t>
            </w:r>
          </w:p>
          <w:p w14:paraId="5BA845F2" w14:textId="77777777" w:rsidR="00943575" w:rsidRPr="00397A3E" w:rsidRDefault="00171C91" w:rsidP="00943575">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Genetic markers were crAssphage (CPQ_056), human-associated </w:t>
            </w:r>
            <w:r w:rsidRPr="00397A3E">
              <w:rPr>
                <w:rFonts w:ascii="Calibri" w:hAnsi="Calibri" w:cs="Calibri"/>
                <w:i/>
                <w:iCs/>
                <w:noProof w:val="0"/>
                <w:sz w:val="16"/>
                <w:szCs w:val="16"/>
              </w:rPr>
              <w:t>Bacteroides</w:t>
            </w:r>
            <w:r w:rsidRPr="00397A3E">
              <w:rPr>
                <w:rFonts w:ascii="Calibri" w:hAnsi="Calibri" w:cs="Calibri"/>
                <w:noProof w:val="0"/>
                <w:sz w:val="16"/>
                <w:szCs w:val="16"/>
              </w:rPr>
              <w:t xml:space="preserve"> spp. (HF183/BacR287 and HumM2) and human polyomavirus (HPyV).</w:t>
            </w:r>
          </w:p>
          <w:p w14:paraId="03BBE90E" w14:textId="62C36801" w:rsidR="00943575" w:rsidRPr="00397A3E" w:rsidRDefault="00171C91" w:rsidP="00943575">
            <w:pPr>
              <w:spacing w:before="0" w:after="0" w:line="240" w:lineRule="auto"/>
              <w:rPr>
                <w:rFonts w:ascii="Calibri" w:hAnsi="Calibri" w:cs="Calibri"/>
                <w:noProof w:val="0"/>
                <w:sz w:val="16"/>
                <w:szCs w:val="16"/>
              </w:rPr>
            </w:pPr>
            <w:r w:rsidRPr="00397A3E">
              <w:rPr>
                <w:rFonts w:ascii="Calibri" w:hAnsi="Calibri" w:cs="Calibri"/>
                <w:noProof w:val="0"/>
                <w:sz w:val="16"/>
                <w:szCs w:val="16"/>
              </w:rPr>
              <w:t>QMRA was used to estimate the respective genetic marker concentration in untreated sewage-impacted recreational water that corresponds to the United States Environmental Protection Agency (US</w:t>
            </w:r>
            <w:r w:rsidR="00517EC5">
              <w:rPr>
                <w:rFonts w:ascii="Calibri" w:hAnsi="Calibri" w:cs="Calibri"/>
                <w:noProof w:val="0"/>
                <w:sz w:val="16"/>
                <w:szCs w:val="16"/>
              </w:rPr>
              <w:t xml:space="preserve"> </w:t>
            </w:r>
            <w:r w:rsidRPr="00397A3E">
              <w:rPr>
                <w:rFonts w:ascii="Calibri" w:hAnsi="Calibri" w:cs="Calibri"/>
                <w:noProof w:val="0"/>
                <w:sz w:val="16"/>
                <w:szCs w:val="16"/>
              </w:rPr>
              <w:t xml:space="preserve">EPA) benchmark of </w:t>
            </w:r>
            <w:r w:rsidRPr="00397A3E">
              <w:rPr>
                <w:rFonts w:ascii="Cambria Math" w:hAnsi="Cambria Math" w:cs="Cambria Math"/>
                <w:noProof w:val="0"/>
                <w:sz w:val="16"/>
                <w:szCs w:val="16"/>
              </w:rPr>
              <w:t>∼</w:t>
            </w:r>
            <w:r w:rsidRPr="00397A3E">
              <w:rPr>
                <w:rFonts w:ascii="Calibri" w:hAnsi="Calibri" w:cs="Calibri"/>
                <w:noProof w:val="0"/>
                <w:sz w:val="16"/>
                <w:szCs w:val="16"/>
              </w:rPr>
              <w:t>32 illnesses per 1000 swimmers, referred to as an RBT in this study.</w:t>
            </w:r>
          </w:p>
          <w:p w14:paraId="16922BC1" w14:textId="77777777" w:rsidR="00943575" w:rsidRPr="00397A3E" w:rsidRDefault="00943575" w:rsidP="00943575">
            <w:pPr>
              <w:spacing w:before="0" w:after="0" w:line="240" w:lineRule="auto"/>
              <w:rPr>
                <w:rFonts w:ascii="Calibri" w:hAnsi="Calibri" w:cs="Calibri"/>
                <w:noProof w:val="0"/>
                <w:sz w:val="16"/>
                <w:szCs w:val="16"/>
              </w:rPr>
            </w:pPr>
          </w:p>
        </w:tc>
        <w:tc>
          <w:tcPr>
            <w:tcW w:w="2551" w:type="dxa"/>
          </w:tcPr>
          <w:p w14:paraId="44C8FF6F" w14:textId="0147EC0D" w:rsidR="00943575" w:rsidRPr="00397A3E" w:rsidRDefault="00171C91" w:rsidP="00943575">
            <w:pPr>
              <w:spacing w:before="0" w:after="0" w:line="240" w:lineRule="auto"/>
              <w:rPr>
                <w:rFonts w:ascii="Calibri" w:hAnsi="Calibri" w:cs="Calibri"/>
                <w:noProof w:val="0"/>
                <w:sz w:val="16"/>
                <w:szCs w:val="16"/>
              </w:rPr>
            </w:pPr>
            <w:r w:rsidRPr="00397A3E">
              <w:rPr>
                <w:rFonts w:ascii="Calibri" w:hAnsi="Calibri" w:cs="Calibri"/>
                <w:noProof w:val="0"/>
                <w:sz w:val="16"/>
                <w:szCs w:val="16"/>
              </w:rPr>
              <w:t>Risk-based threshold (RBT) estimates varied across different mixture and sewage age scenarios. Fresh sewage RBT estimates were not always protective when aged sewage was present, and aged sewage RBT estimates often fell below the marker lower limit of quantification</w:t>
            </w:r>
            <w:r w:rsidR="00357A3C" w:rsidRPr="00397A3E">
              <w:rPr>
                <w:rFonts w:ascii="Calibri" w:hAnsi="Calibri" w:cs="Calibri"/>
                <w:noProof w:val="0"/>
                <w:sz w:val="16"/>
                <w:szCs w:val="16"/>
              </w:rPr>
              <w:t xml:space="preserve"> (LLOQ)</w:t>
            </w:r>
            <w:r w:rsidRPr="00397A3E">
              <w:rPr>
                <w:rFonts w:ascii="Calibri" w:hAnsi="Calibri" w:cs="Calibri"/>
                <w:noProof w:val="0"/>
                <w:sz w:val="16"/>
                <w:szCs w:val="16"/>
              </w:rPr>
              <w:t>. Conservative RBT estimates of 9.3 × 10</w:t>
            </w:r>
            <w:r w:rsidRPr="00397A3E">
              <w:rPr>
                <w:rFonts w:ascii="Calibri" w:hAnsi="Calibri" w:cs="Calibri"/>
                <w:noProof w:val="0"/>
                <w:sz w:val="16"/>
                <w:szCs w:val="16"/>
                <w:vertAlign w:val="superscript"/>
              </w:rPr>
              <w:t>2</w:t>
            </w:r>
            <w:r w:rsidRPr="00397A3E">
              <w:rPr>
                <w:rFonts w:ascii="Calibri" w:hAnsi="Calibri" w:cs="Calibri"/>
                <w:noProof w:val="0"/>
                <w:sz w:val="16"/>
                <w:szCs w:val="16"/>
              </w:rPr>
              <w:t xml:space="preserve"> and 9.1 × 10</w:t>
            </w:r>
            <w:r w:rsidRPr="00397A3E">
              <w:rPr>
                <w:rFonts w:ascii="Calibri" w:hAnsi="Calibri" w:cs="Calibri"/>
                <w:noProof w:val="0"/>
                <w:sz w:val="16"/>
                <w:szCs w:val="16"/>
                <w:vertAlign w:val="superscript"/>
              </w:rPr>
              <w:t>3</w:t>
            </w:r>
            <w:r w:rsidRPr="00397A3E">
              <w:rPr>
                <w:rFonts w:ascii="Calibri" w:hAnsi="Calibri" w:cs="Calibri"/>
                <w:noProof w:val="0"/>
                <w:sz w:val="16"/>
                <w:szCs w:val="16"/>
              </w:rPr>
              <w:t xml:space="preserve"> (copies/100 mL) for HF183/BacR287 and CPQ_056, respectively, were predicted when fresh sewage was greater (by volume) than aged at the time of measurement.</w:t>
            </w:r>
          </w:p>
          <w:p w14:paraId="00A551C6" w14:textId="438BDE6A" w:rsidR="00943575" w:rsidRPr="00397A3E" w:rsidRDefault="00171C91" w:rsidP="00D7433D">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The human-associated genetic markers considered in the study varied in abundance in raw sewage and exhibit a range of reported decay rate constants. CrAssphage, a putative </w:t>
            </w:r>
            <w:r w:rsidRPr="00397A3E">
              <w:rPr>
                <w:rFonts w:ascii="Calibri" w:hAnsi="Calibri" w:cs="Calibri"/>
                <w:i/>
                <w:iCs/>
                <w:noProof w:val="0"/>
                <w:sz w:val="16"/>
                <w:szCs w:val="16"/>
              </w:rPr>
              <w:t>Bacteroides</w:t>
            </w:r>
            <w:r w:rsidRPr="00397A3E">
              <w:rPr>
                <w:rFonts w:ascii="Calibri" w:hAnsi="Calibri" w:cs="Calibri"/>
                <w:noProof w:val="0"/>
                <w:sz w:val="16"/>
                <w:szCs w:val="16"/>
              </w:rPr>
              <w:t xml:space="preserve"> spp. bacteriophage, showed potential as an effective indicator since it had the lowest reported decay rate constant and was one of the most abundant human-associated genetic markers considered in the study.</w:t>
            </w:r>
          </w:p>
        </w:tc>
        <w:tc>
          <w:tcPr>
            <w:tcW w:w="1712" w:type="dxa"/>
          </w:tcPr>
          <w:p w14:paraId="3E479C9B" w14:textId="7B471204" w:rsidR="00943575" w:rsidRPr="00397A3E" w:rsidRDefault="00171C91" w:rsidP="00943575">
            <w:pPr>
              <w:spacing w:before="0" w:after="0" w:line="240" w:lineRule="auto"/>
              <w:rPr>
                <w:rFonts w:ascii="Calibri" w:hAnsi="Calibri" w:cs="Calibri"/>
                <w:noProof w:val="0"/>
                <w:sz w:val="16"/>
                <w:szCs w:val="16"/>
              </w:rPr>
            </w:pPr>
            <w:r w:rsidRPr="00397A3E">
              <w:rPr>
                <w:rFonts w:ascii="Calibri" w:hAnsi="Calibri" w:cs="Calibri"/>
                <w:noProof w:val="0"/>
                <w:sz w:val="16"/>
                <w:szCs w:val="16"/>
              </w:rPr>
              <w:t>N/A as no statistical measure of effect undertaken.</w:t>
            </w:r>
          </w:p>
          <w:p w14:paraId="594BEDF2" w14:textId="50F44789" w:rsidR="00D7433D" w:rsidRPr="00397A3E" w:rsidRDefault="00171C91" w:rsidP="00943575">
            <w:pPr>
              <w:spacing w:before="0" w:after="0" w:line="240" w:lineRule="auto"/>
              <w:rPr>
                <w:rFonts w:ascii="Calibri" w:hAnsi="Calibri" w:cs="Calibri"/>
                <w:noProof w:val="0"/>
                <w:sz w:val="16"/>
                <w:szCs w:val="16"/>
              </w:rPr>
            </w:pPr>
            <w:r w:rsidRPr="00397A3E">
              <w:rPr>
                <w:rFonts w:ascii="Calibri" w:hAnsi="Calibri" w:cs="Calibri"/>
                <w:noProof w:val="0"/>
                <w:sz w:val="16"/>
                <w:szCs w:val="16"/>
              </w:rPr>
              <w:t>Systematic QMRA analyses demonstrated the important relationship between these factors for selecting a robust human-associated genetic marker indicator for surface waters.</w:t>
            </w:r>
          </w:p>
          <w:p w14:paraId="613ED76B" w14:textId="3102F3B3" w:rsidR="00D7433D" w:rsidRPr="00397A3E" w:rsidRDefault="00171C91" w:rsidP="00943575">
            <w:pPr>
              <w:spacing w:before="0" w:after="0" w:line="240" w:lineRule="auto"/>
              <w:rPr>
                <w:rFonts w:ascii="Calibri" w:hAnsi="Calibri" w:cs="Calibri"/>
                <w:noProof w:val="0"/>
                <w:sz w:val="16"/>
                <w:szCs w:val="16"/>
              </w:rPr>
            </w:pPr>
            <w:r w:rsidRPr="00397A3E">
              <w:rPr>
                <w:rFonts w:ascii="Calibri" w:hAnsi="Calibri" w:cs="Calibri"/>
                <w:noProof w:val="0"/>
                <w:sz w:val="16"/>
                <w:szCs w:val="16"/>
              </w:rPr>
              <w:t>As untreated sewage ages, differences in genetic marker abundance and decay rate constants become more pronounced, ultimately reducing indicator concentrations below typical analytical LLOQ values, thus rendering an indicator ineffective.</w:t>
            </w:r>
          </w:p>
        </w:tc>
        <w:tc>
          <w:tcPr>
            <w:tcW w:w="1407" w:type="dxa"/>
          </w:tcPr>
          <w:p w14:paraId="42DB1072" w14:textId="06E3023E" w:rsidR="00943575" w:rsidRPr="00397A3E" w:rsidRDefault="00171C91" w:rsidP="00943575">
            <w:pPr>
              <w:spacing w:before="0" w:after="0" w:line="240" w:lineRule="auto"/>
              <w:rPr>
                <w:rFonts w:ascii="Calibri" w:hAnsi="Calibri" w:cs="Calibri"/>
                <w:noProof w:val="0"/>
                <w:sz w:val="16"/>
                <w:szCs w:val="16"/>
              </w:rPr>
            </w:pPr>
            <w:r w:rsidRPr="00397A3E">
              <w:rPr>
                <w:rFonts w:ascii="Calibri" w:hAnsi="Calibri" w:cs="Calibri"/>
                <w:noProof w:val="0"/>
                <w:sz w:val="16"/>
                <w:szCs w:val="16"/>
              </w:rPr>
              <w:t>N/A.</w:t>
            </w:r>
          </w:p>
        </w:tc>
      </w:tr>
      <w:tr w:rsidR="00785848" w14:paraId="4D3926E9" w14:textId="77777777" w:rsidTr="00DA3913">
        <w:trPr>
          <w:cantSplit/>
          <w:trHeight w:val="1345"/>
        </w:trPr>
        <w:tc>
          <w:tcPr>
            <w:tcW w:w="1043" w:type="dxa"/>
          </w:tcPr>
          <w:p w14:paraId="14B53A28" w14:textId="631BC6DF" w:rsidR="00A835F9" w:rsidRPr="00397A3E" w:rsidRDefault="00171C91" w:rsidP="00A835F9">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 xml:space="preserve">J36: </w:t>
            </w:r>
            <w:r w:rsidRPr="00397A3E">
              <w:rPr>
                <w:rFonts w:ascii="Calibri" w:hAnsi="Calibri" w:cs="Calibri"/>
                <w:noProof w:val="0"/>
                <w:color w:val="000000"/>
                <w:sz w:val="16"/>
                <w:szCs w:val="16"/>
              </w:rPr>
              <w:fldChar w:fldCharType="begin"/>
            </w:r>
            <w:r w:rsidR="0069143F" w:rsidRPr="00397A3E">
              <w:rPr>
                <w:rFonts w:ascii="Calibri" w:hAnsi="Calibri" w:cs="Calibri"/>
                <w:noProof w:val="0"/>
                <w:color w:val="000000"/>
                <w:sz w:val="16"/>
                <w:szCs w:val="16"/>
              </w:rPr>
              <w:instrText xml:space="preserve"> ADDIN ZOTERO_ITEM CSL_CITATION {"citationID":"9i0UcypL","properties":{"custom":"Shrestha and Dorevitch, (2019)","formattedCitation":"Shrestha and Dorevitch, (2019)","plainCitation":"Shrestha and Dorevitch, (2019)","noteIndex":0},"citationItems":[{"id":12632,"uris":["http://zotero.org/users/148142/items/WDBYUYC6"],"uri":["http://zotero.org/users/148142/items/WDBYUYC6"],"itemData":{"id":12632,"type":"article-journal","archive":"Scopus","container-title":"Water Research","DOI":"10.1016/j.watres.2019.03.034","page":"395-403","title":"Evaluation of rapid qPCR method for quantification of E. coli at non-point source impacted Lake Michigan beaches","URL":"https://www.scopus.com/inward/record.uri?eid=2-s2.0-85063941252&amp;doi=10.1016%2fj.watres.2019.03.034&amp;partnerID=40&amp;md5=8d0a3a8e1bd9c65175f11c60ca03b025","volume":"156","author":[{"family":"Shrestha","given":"A."},{"family":"Dorevitch","given":"S."}],"issued":{"date-parts":[["2019"]]}}}],"schema":"https://github.com/citation-style-language/schema/raw/master/csl-citation.json"} </w:instrText>
            </w:r>
            <w:r w:rsidRPr="00397A3E">
              <w:rPr>
                <w:rFonts w:ascii="Calibri" w:hAnsi="Calibri" w:cs="Calibri"/>
                <w:noProof w:val="0"/>
                <w:color w:val="000000"/>
                <w:sz w:val="16"/>
                <w:szCs w:val="16"/>
              </w:rPr>
              <w:fldChar w:fldCharType="separate"/>
            </w:r>
            <w:r w:rsidRPr="00397A3E">
              <w:rPr>
                <w:rFonts w:ascii="Calibri" w:hAnsi="Calibri" w:cs="Calibri"/>
                <w:noProof w:val="0"/>
                <w:color w:val="000000"/>
                <w:sz w:val="16"/>
                <w:szCs w:val="16"/>
              </w:rPr>
              <w:t>Shrestha and Dorevitch, (2019)</w:t>
            </w:r>
            <w:r w:rsidRPr="00397A3E">
              <w:rPr>
                <w:rFonts w:ascii="Calibri" w:hAnsi="Calibri" w:cs="Calibri"/>
                <w:noProof w:val="0"/>
                <w:color w:val="000000"/>
                <w:sz w:val="16"/>
                <w:szCs w:val="16"/>
              </w:rPr>
              <w:fldChar w:fldCharType="end"/>
            </w:r>
            <w:r w:rsidR="00AF4A48" w:rsidRPr="00397A3E">
              <w:rPr>
                <w:rFonts w:ascii="Calibri" w:hAnsi="Calibri" w:cs="Calibri"/>
                <w:noProof w:val="0"/>
                <w:color w:val="000000"/>
                <w:sz w:val="16"/>
                <w:szCs w:val="16"/>
              </w:rPr>
              <w:t xml:space="preserve"> Evaluation of rapid qPCR method for quantification of </w:t>
            </w:r>
            <w:r w:rsidR="00AF4A48" w:rsidRPr="00666D1F">
              <w:rPr>
                <w:rFonts w:ascii="Calibri" w:hAnsi="Calibri" w:cs="Calibri"/>
                <w:i/>
                <w:noProof w:val="0"/>
                <w:color w:val="000000"/>
                <w:sz w:val="16"/>
                <w:szCs w:val="16"/>
              </w:rPr>
              <w:t>E. coli</w:t>
            </w:r>
            <w:r w:rsidR="00AF4A48" w:rsidRPr="00397A3E">
              <w:rPr>
                <w:rFonts w:ascii="Calibri" w:hAnsi="Calibri" w:cs="Calibri"/>
                <w:noProof w:val="0"/>
                <w:color w:val="000000"/>
                <w:sz w:val="16"/>
                <w:szCs w:val="16"/>
              </w:rPr>
              <w:t xml:space="preserve"> at non-point source impacted Lake Michigan beaches. (Qualitative research).</w:t>
            </w:r>
          </w:p>
        </w:tc>
        <w:tc>
          <w:tcPr>
            <w:tcW w:w="1011" w:type="dxa"/>
          </w:tcPr>
          <w:p w14:paraId="0784BBEC" w14:textId="6F362671" w:rsidR="00A835F9" w:rsidRPr="00397A3E" w:rsidRDefault="00171C91" w:rsidP="00A835F9">
            <w:pPr>
              <w:spacing w:before="0" w:after="0" w:line="240" w:lineRule="auto"/>
              <w:rPr>
                <w:rFonts w:ascii="Calibri" w:hAnsi="Calibri" w:cs="Calibri"/>
                <w:noProof w:val="0"/>
                <w:sz w:val="16"/>
                <w:szCs w:val="16"/>
              </w:rPr>
            </w:pPr>
            <w:r w:rsidRPr="00397A3E">
              <w:rPr>
                <w:rFonts w:ascii="Calibri" w:hAnsi="Calibri" w:cs="Calibri"/>
                <w:noProof w:val="0"/>
                <w:sz w:val="16"/>
                <w:szCs w:val="16"/>
              </w:rPr>
              <w:t>N/A.  No health assessment undertaken.</w:t>
            </w:r>
          </w:p>
        </w:tc>
        <w:tc>
          <w:tcPr>
            <w:tcW w:w="1104" w:type="dxa"/>
          </w:tcPr>
          <w:p w14:paraId="0A29F75F" w14:textId="7982F1C1" w:rsidR="00A835F9" w:rsidRPr="00397A3E" w:rsidRDefault="00171C91" w:rsidP="00A835F9">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N/A. Study focus is on effectiveness of </w:t>
            </w:r>
            <w:r w:rsidRPr="00666D1F">
              <w:rPr>
                <w:rFonts w:ascii="Calibri" w:hAnsi="Calibri" w:cs="Calibri"/>
                <w:i/>
                <w:noProof w:val="0"/>
                <w:sz w:val="16"/>
                <w:szCs w:val="16"/>
              </w:rPr>
              <w:t>E. coli</w:t>
            </w:r>
            <w:r w:rsidRPr="00397A3E">
              <w:rPr>
                <w:rFonts w:ascii="Calibri" w:hAnsi="Calibri" w:cs="Calibri"/>
                <w:noProof w:val="0"/>
                <w:sz w:val="16"/>
                <w:szCs w:val="16"/>
              </w:rPr>
              <w:t xml:space="preserve"> qPCR for determining Beach Action Values (BAVs).</w:t>
            </w:r>
          </w:p>
        </w:tc>
        <w:tc>
          <w:tcPr>
            <w:tcW w:w="1161" w:type="dxa"/>
          </w:tcPr>
          <w:p w14:paraId="0703B88E" w14:textId="66A3136C" w:rsidR="00A835F9" w:rsidRPr="00397A3E" w:rsidRDefault="00171C91" w:rsidP="00A835F9">
            <w:pPr>
              <w:spacing w:before="0" w:after="0" w:line="240" w:lineRule="auto"/>
              <w:rPr>
                <w:rFonts w:ascii="Calibri" w:hAnsi="Calibri" w:cs="Calibri"/>
                <w:noProof w:val="0"/>
                <w:sz w:val="16"/>
                <w:szCs w:val="16"/>
              </w:rPr>
            </w:pPr>
            <w:r w:rsidRPr="00397A3E">
              <w:rPr>
                <w:rFonts w:ascii="Calibri" w:hAnsi="Calibri" w:cs="Calibri"/>
                <w:noProof w:val="0"/>
                <w:sz w:val="16"/>
                <w:szCs w:val="16"/>
              </w:rPr>
              <w:t>Very large freshwater lake (Lake Michigan)</w:t>
            </w:r>
          </w:p>
        </w:tc>
        <w:tc>
          <w:tcPr>
            <w:tcW w:w="2364" w:type="dxa"/>
          </w:tcPr>
          <w:p w14:paraId="34CBC62D" w14:textId="5BB2FF18" w:rsidR="00A835F9" w:rsidRPr="00397A3E" w:rsidRDefault="00171C91" w:rsidP="00A835F9">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The study evaluates a draft US EPA </w:t>
            </w:r>
            <w:r w:rsidRPr="00397A3E">
              <w:rPr>
                <w:rFonts w:ascii="Calibri" w:hAnsi="Calibri" w:cs="Calibri"/>
                <w:i/>
                <w:iCs/>
                <w:noProof w:val="0"/>
                <w:sz w:val="16"/>
                <w:szCs w:val="16"/>
              </w:rPr>
              <w:t>E. coli</w:t>
            </w:r>
            <w:r w:rsidRPr="00397A3E">
              <w:rPr>
                <w:rFonts w:ascii="Calibri" w:hAnsi="Calibri" w:cs="Calibri"/>
                <w:noProof w:val="0"/>
                <w:sz w:val="16"/>
                <w:szCs w:val="16"/>
              </w:rPr>
              <w:t xml:space="preserve"> qPCR method, compared </w:t>
            </w:r>
            <w:r w:rsidRPr="00397A3E">
              <w:rPr>
                <w:rFonts w:ascii="Calibri" w:hAnsi="Calibri" w:cs="Calibri"/>
                <w:i/>
                <w:iCs/>
                <w:noProof w:val="0"/>
                <w:sz w:val="16"/>
                <w:szCs w:val="16"/>
              </w:rPr>
              <w:t>E. coli</w:t>
            </w:r>
            <w:r w:rsidRPr="00397A3E">
              <w:rPr>
                <w:rFonts w:ascii="Calibri" w:hAnsi="Calibri" w:cs="Calibri"/>
                <w:noProof w:val="0"/>
                <w:sz w:val="16"/>
                <w:szCs w:val="16"/>
              </w:rPr>
              <w:t xml:space="preserve"> qPCR measurements with two established FIB (</w:t>
            </w:r>
            <w:r w:rsidRPr="00666D1F">
              <w:rPr>
                <w:rFonts w:ascii="Calibri" w:hAnsi="Calibri" w:cs="Calibri"/>
                <w:i/>
                <w:noProof w:val="0"/>
                <w:sz w:val="16"/>
                <w:szCs w:val="16"/>
              </w:rPr>
              <w:t>E. coli</w:t>
            </w:r>
            <w:r w:rsidRPr="00397A3E">
              <w:rPr>
                <w:rFonts w:ascii="Calibri" w:hAnsi="Calibri" w:cs="Calibri"/>
                <w:noProof w:val="0"/>
                <w:sz w:val="16"/>
                <w:szCs w:val="16"/>
              </w:rPr>
              <w:t xml:space="preserve"> culture and enterococci qPCR) results, and explored potential strategies to establish </w:t>
            </w:r>
            <w:r w:rsidRPr="00397A3E">
              <w:rPr>
                <w:rFonts w:ascii="Calibri" w:hAnsi="Calibri" w:cs="Calibri"/>
                <w:i/>
                <w:iCs/>
                <w:noProof w:val="0"/>
                <w:sz w:val="16"/>
                <w:szCs w:val="16"/>
              </w:rPr>
              <w:t xml:space="preserve">E. coli </w:t>
            </w:r>
            <w:r w:rsidRPr="00397A3E">
              <w:rPr>
                <w:rFonts w:ascii="Calibri" w:hAnsi="Calibri" w:cs="Calibri"/>
                <w:noProof w:val="0"/>
                <w:sz w:val="16"/>
                <w:szCs w:val="16"/>
              </w:rPr>
              <w:t xml:space="preserve">qPCR Beach Action Value (BAV) criteria in the absence of an epidemiological study.  Rapid qPCR monitoring for </w:t>
            </w:r>
            <w:r w:rsidRPr="00397A3E">
              <w:rPr>
                <w:rFonts w:ascii="Calibri" w:hAnsi="Calibri" w:cs="Calibri"/>
                <w:i/>
                <w:iCs/>
                <w:noProof w:val="0"/>
                <w:sz w:val="16"/>
                <w:szCs w:val="16"/>
              </w:rPr>
              <w:t>E. coli</w:t>
            </w:r>
            <w:r w:rsidRPr="00397A3E">
              <w:rPr>
                <w:rFonts w:ascii="Calibri" w:hAnsi="Calibri" w:cs="Calibri"/>
                <w:noProof w:val="0"/>
                <w:sz w:val="16"/>
                <w:szCs w:val="16"/>
              </w:rPr>
              <w:t xml:space="preserve"> freshwaters was assessed as a potential solution to the 24-h delay problem compared to culture techniques.</w:t>
            </w:r>
          </w:p>
        </w:tc>
        <w:tc>
          <w:tcPr>
            <w:tcW w:w="2101" w:type="dxa"/>
          </w:tcPr>
          <w:p w14:paraId="087E74BB" w14:textId="7F3937EC" w:rsidR="00A835F9" w:rsidRPr="00397A3E" w:rsidRDefault="00171C91" w:rsidP="00640D7A">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Based on analyses of 288 water samples collected from eight of Chicago's Lake Michigan beaches, the </w:t>
            </w:r>
            <w:r w:rsidRPr="00397A3E">
              <w:rPr>
                <w:rFonts w:ascii="Calibri" w:hAnsi="Calibri" w:cs="Calibri"/>
                <w:i/>
                <w:noProof w:val="0"/>
                <w:sz w:val="16"/>
                <w:szCs w:val="16"/>
              </w:rPr>
              <w:t>E. coli</w:t>
            </w:r>
            <w:r w:rsidRPr="00397A3E">
              <w:rPr>
                <w:rFonts w:ascii="Calibri" w:hAnsi="Calibri" w:cs="Calibri"/>
                <w:noProof w:val="0"/>
                <w:sz w:val="16"/>
                <w:szCs w:val="16"/>
              </w:rPr>
              <w:t xml:space="preserve"> qPCR method demonstrated acceptable performance characteristics. The method is prone to low level DNA contamination, possibly originating from assay reagents derived from </w:t>
            </w:r>
            <w:r w:rsidRPr="00397A3E">
              <w:rPr>
                <w:rFonts w:ascii="Calibri" w:hAnsi="Calibri" w:cs="Calibri"/>
                <w:i/>
                <w:noProof w:val="0"/>
                <w:sz w:val="16"/>
                <w:szCs w:val="16"/>
              </w:rPr>
              <w:t>E. coli</w:t>
            </w:r>
            <w:r w:rsidRPr="00397A3E">
              <w:rPr>
                <w:rFonts w:ascii="Calibri" w:hAnsi="Calibri" w:cs="Calibri"/>
                <w:noProof w:val="0"/>
                <w:sz w:val="16"/>
                <w:szCs w:val="16"/>
              </w:rPr>
              <w:t xml:space="preserve"> bacteria. </w:t>
            </w:r>
          </w:p>
        </w:tc>
        <w:tc>
          <w:tcPr>
            <w:tcW w:w="2551" w:type="dxa"/>
          </w:tcPr>
          <w:p w14:paraId="51236021" w14:textId="75C1DBF8" w:rsidR="00640D7A" w:rsidRPr="00397A3E" w:rsidRDefault="00171C91" w:rsidP="00640D7A">
            <w:pPr>
              <w:spacing w:before="0" w:after="0" w:line="240" w:lineRule="auto"/>
              <w:rPr>
                <w:rFonts w:ascii="Calibri" w:hAnsi="Calibri" w:cs="Calibri"/>
                <w:noProof w:val="0"/>
                <w:sz w:val="16"/>
                <w:szCs w:val="16"/>
              </w:rPr>
            </w:pPr>
            <w:r w:rsidRPr="00397A3E">
              <w:rPr>
                <w:rFonts w:ascii="Calibri" w:hAnsi="Calibri" w:cs="Calibri"/>
                <w:noProof w:val="0"/>
                <w:sz w:val="16"/>
                <w:szCs w:val="16"/>
              </w:rPr>
              <w:t xml:space="preserve">Both </w:t>
            </w:r>
            <w:r w:rsidRPr="00397A3E">
              <w:rPr>
                <w:rFonts w:ascii="Calibri" w:hAnsi="Calibri" w:cs="Calibri"/>
                <w:i/>
                <w:noProof w:val="0"/>
                <w:sz w:val="16"/>
                <w:szCs w:val="16"/>
              </w:rPr>
              <w:t>E. coli</w:t>
            </w:r>
            <w:r w:rsidRPr="00397A3E">
              <w:rPr>
                <w:rFonts w:ascii="Calibri" w:hAnsi="Calibri" w:cs="Calibri"/>
                <w:noProof w:val="0"/>
                <w:sz w:val="16"/>
                <w:szCs w:val="16"/>
              </w:rPr>
              <w:t xml:space="preserve"> and enterococci BAVs were exceeded in approximately 18% of the samples.</w:t>
            </w:r>
          </w:p>
          <w:p w14:paraId="7650EF3D" w14:textId="79C9D6E4" w:rsidR="00A835F9" w:rsidRPr="00397A3E" w:rsidRDefault="00171C91" w:rsidP="009151F2">
            <w:pPr>
              <w:spacing w:before="0" w:after="0" w:line="240" w:lineRule="auto"/>
              <w:rPr>
                <w:rFonts w:ascii="Calibri" w:hAnsi="Calibri" w:cs="Calibri"/>
                <w:noProof w:val="0"/>
                <w:sz w:val="16"/>
                <w:szCs w:val="16"/>
              </w:rPr>
            </w:pPr>
            <w:r w:rsidRPr="00397A3E">
              <w:rPr>
                <w:rFonts w:ascii="Calibri" w:hAnsi="Calibri" w:cs="Calibri"/>
                <w:i/>
                <w:noProof w:val="0"/>
                <w:sz w:val="16"/>
                <w:szCs w:val="16"/>
              </w:rPr>
              <w:t>E. coli</w:t>
            </w:r>
            <w:r w:rsidRPr="00397A3E">
              <w:rPr>
                <w:rFonts w:ascii="Calibri" w:hAnsi="Calibri" w:cs="Calibri"/>
                <w:noProof w:val="0"/>
                <w:sz w:val="16"/>
                <w:szCs w:val="16"/>
              </w:rPr>
              <w:t xml:space="preserve"> qPCR values were correlated with both </w:t>
            </w:r>
            <w:r w:rsidRPr="00397A3E">
              <w:rPr>
                <w:rFonts w:ascii="Calibri" w:hAnsi="Calibri" w:cs="Calibri"/>
                <w:i/>
                <w:noProof w:val="0"/>
                <w:sz w:val="16"/>
                <w:szCs w:val="16"/>
              </w:rPr>
              <w:t>E. coli</w:t>
            </w:r>
            <w:r w:rsidRPr="00397A3E">
              <w:rPr>
                <w:rFonts w:ascii="Calibri" w:hAnsi="Calibri" w:cs="Calibri"/>
                <w:noProof w:val="0"/>
                <w:sz w:val="16"/>
                <w:szCs w:val="16"/>
              </w:rPr>
              <w:t xml:space="preserve"> culture (r = 0.83; p &lt; 0.0001) and enterococci qPCR (r = 0.67; p &lt; 0.0001) values.  These statistical results are for same day culture results.  Correlations for 1 day lag between culture and qPCR results were not significant - indicating that </w:t>
            </w:r>
            <w:r w:rsidRPr="00397A3E">
              <w:rPr>
                <w:rFonts w:ascii="Calibri" w:hAnsi="Calibri" w:cs="Calibri"/>
                <w:i/>
                <w:noProof w:val="0"/>
                <w:sz w:val="16"/>
                <w:szCs w:val="16"/>
              </w:rPr>
              <w:t>E. coli</w:t>
            </w:r>
            <w:r w:rsidRPr="00397A3E">
              <w:rPr>
                <w:rFonts w:ascii="Calibri" w:hAnsi="Calibri" w:cs="Calibri"/>
                <w:noProof w:val="0"/>
                <w:sz w:val="16"/>
                <w:szCs w:val="16"/>
              </w:rPr>
              <w:t xml:space="preserve"> culture results available to a beach manager on a given day (from samples cultured the prior day) was not predictive of current water quality.</w:t>
            </w:r>
          </w:p>
        </w:tc>
        <w:tc>
          <w:tcPr>
            <w:tcW w:w="1712" w:type="dxa"/>
          </w:tcPr>
          <w:p w14:paraId="19F6F80A" w14:textId="11D4FF5E" w:rsidR="00446F0B" w:rsidRPr="00397A3E" w:rsidRDefault="00171C91" w:rsidP="00A835F9">
            <w:pPr>
              <w:spacing w:before="0" w:after="0" w:line="240" w:lineRule="auto"/>
              <w:rPr>
                <w:rFonts w:ascii="Calibri" w:hAnsi="Calibri" w:cs="Calibri"/>
                <w:noProof w:val="0"/>
                <w:sz w:val="16"/>
                <w:szCs w:val="16"/>
              </w:rPr>
            </w:pPr>
            <w:r w:rsidRPr="00397A3E">
              <w:rPr>
                <w:rFonts w:ascii="Calibri" w:hAnsi="Calibri" w:cs="Calibri"/>
                <w:noProof w:val="0"/>
                <w:sz w:val="16"/>
                <w:szCs w:val="16"/>
              </w:rPr>
              <w:t>Given the availability of a qPCR method (enterococci) developed by US EPA, along with criteria values and BAVs calibrated directly to observed health risk in epidemiological studies, the authors stated that there was little reason to attempt developing BAV criteria for other testing methods</w:t>
            </w:r>
            <w:r w:rsidR="009C64E6" w:rsidRPr="00397A3E">
              <w:rPr>
                <w:rFonts w:ascii="Calibri" w:hAnsi="Calibri" w:cs="Calibri"/>
                <w:noProof w:val="0"/>
                <w:sz w:val="16"/>
                <w:szCs w:val="16"/>
              </w:rPr>
              <w:t xml:space="preserve"> like </w:t>
            </w:r>
            <w:r w:rsidR="009C64E6" w:rsidRPr="00397A3E">
              <w:rPr>
                <w:rFonts w:ascii="Calibri" w:hAnsi="Calibri" w:cs="Calibri"/>
                <w:i/>
                <w:noProof w:val="0"/>
                <w:sz w:val="16"/>
                <w:szCs w:val="16"/>
              </w:rPr>
              <w:t>E. coli</w:t>
            </w:r>
            <w:r w:rsidR="009C64E6" w:rsidRPr="00397A3E">
              <w:rPr>
                <w:rFonts w:ascii="Calibri" w:hAnsi="Calibri" w:cs="Calibri"/>
                <w:noProof w:val="0"/>
                <w:sz w:val="16"/>
                <w:szCs w:val="16"/>
              </w:rPr>
              <w:t xml:space="preserve"> qPCR</w:t>
            </w:r>
            <w:r w:rsidRPr="00397A3E">
              <w:rPr>
                <w:rFonts w:ascii="Calibri" w:hAnsi="Calibri" w:cs="Calibri"/>
                <w:noProof w:val="0"/>
                <w:sz w:val="16"/>
                <w:szCs w:val="16"/>
              </w:rPr>
              <w:t xml:space="preserve"> in the absence of</w:t>
            </w:r>
            <w:r w:rsidR="009C64E6" w:rsidRPr="00397A3E">
              <w:rPr>
                <w:rFonts w:ascii="Calibri" w:hAnsi="Calibri" w:cs="Calibri"/>
                <w:noProof w:val="0"/>
                <w:sz w:val="16"/>
                <w:szCs w:val="16"/>
              </w:rPr>
              <w:t xml:space="preserve"> guidance from the US EPA</w:t>
            </w:r>
            <w:r w:rsidRPr="00397A3E">
              <w:rPr>
                <w:rFonts w:ascii="Calibri" w:hAnsi="Calibri" w:cs="Calibri"/>
                <w:noProof w:val="0"/>
                <w:sz w:val="16"/>
                <w:szCs w:val="16"/>
              </w:rPr>
              <w:t xml:space="preserve"> about how results of such water testing methods predict health risk.</w:t>
            </w:r>
          </w:p>
        </w:tc>
        <w:tc>
          <w:tcPr>
            <w:tcW w:w="1407" w:type="dxa"/>
          </w:tcPr>
          <w:p w14:paraId="32965B4B" w14:textId="7CC67527" w:rsidR="00A835F9" w:rsidRPr="00397A3E" w:rsidRDefault="00171C91" w:rsidP="00A835F9">
            <w:pPr>
              <w:spacing w:before="0" w:after="0" w:line="240" w:lineRule="auto"/>
              <w:rPr>
                <w:rFonts w:ascii="Calibri" w:hAnsi="Calibri" w:cs="Calibri"/>
                <w:noProof w:val="0"/>
                <w:sz w:val="16"/>
                <w:szCs w:val="16"/>
              </w:rPr>
            </w:pPr>
            <w:r w:rsidRPr="00397A3E">
              <w:rPr>
                <w:rFonts w:ascii="Calibri" w:hAnsi="Calibri" w:cs="Calibri"/>
                <w:noProof w:val="0"/>
                <w:sz w:val="16"/>
                <w:szCs w:val="16"/>
              </w:rPr>
              <w:t>Significance tests used p &lt; 0.05 as the threshold for rejecting the null hypothesis.</w:t>
            </w:r>
          </w:p>
        </w:tc>
      </w:tr>
    </w:tbl>
    <w:p w14:paraId="0F55DE66" w14:textId="31CDCBA4" w:rsidR="00696BCE" w:rsidRPr="00397A3E" w:rsidRDefault="00696BCE" w:rsidP="00696BCE">
      <w:pPr>
        <w:rPr>
          <w:noProof w:val="0"/>
        </w:rPr>
      </w:pPr>
    </w:p>
    <w:p w14:paraId="6E573220" w14:textId="77777777" w:rsidR="00B265FC" w:rsidRPr="00397A3E" w:rsidRDefault="00B265FC" w:rsidP="007451D2">
      <w:pPr>
        <w:spacing w:before="0" w:after="0" w:line="240" w:lineRule="auto"/>
        <w:rPr>
          <w:noProof w:val="0"/>
        </w:rPr>
      </w:pPr>
    </w:p>
    <w:p w14:paraId="51C0587F" w14:textId="77777777" w:rsidR="00C246CB" w:rsidRPr="00397A3E" w:rsidRDefault="00C246CB" w:rsidP="00E5124B">
      <w:pPr>
        <w:rPr>
          <w:noProof w:val="0"/>
        </w:rPr>
        <w:sectPr w:rsidR="00C246CB" w:rsidRPr="00397A3E" w:rsidSect="00C246CB">
          <w:headerReference w:type="default" r:id="rId38"/>
          <w:pgSz w:w="16838" w:h="11906" w:orient="landscape"/>
          <w:pgMar w:top="1588" w:right="1588" w:bottom="1418" w:left="1418" w:header="680" w:footer="709" w:gutter="0"/>
          <w:cols w:space="708"/>
          <w:docGrid w:linePitch="360"/>
        </w:sectPr>
      </w:pPr>
    </w:p>
    <w:p w14:paraId="2B1166AB" w14:textId="57799783" w:rsidR="00776E9C" w:rsidRPr="00397A3E" w:rsidRDefault="00171C91" w:rsidP="00D95B6A">
      <w:pPr>
        <w:pStyle w:val="Heading2"/>
        <w:rPr>
          <w:noProof w:val="0"/>
        </w:rPr>
      </w:pPr>
      <w:bookmarkStart w:id="398" w:name="_Toc106964842"/>
      <w:r w:rsidRPr="00397A3E">
        <w:rPr>
          <w:noProof w:val="0"/>
        </w:rPr>
        <w:t>Assessment</w:t>
      </w:r>
      <w:r w:rsidR="00775E19">
        <w:rPr>
          <w:noProof w:val="0"/>
        </w:rPr>
        <w:t xml:space="preserve"> of the certainty in the body of evidence</w:t>
      </w:r>
      <w:bookmarkEnd w:id="398"/>
      <w:r w:rsidR="005B2629" w:rsidRPr="00397A3E">
        <w:rPr>
          <w:noProof w:val="0"/>
        </w:rPr>
        <w:t xml:space="preserve"> </w:t>
      </w:r>
    </w:p>
    <w:p w14:paraId="7A155EA2" w14:textId="07457678" w:rsidR="00776E9C" w:rsidRPr="00397A3E" w:rsidRDefault="00171C91" w:rsidP="00776E9C">
      <w:pPr>
        <w:pStyle w:val="Heading3"/>
        <w:rPr>
          <w:noProof w:val="0"/>
          <w:color w:val="auto"/>
        </w:rPr>
      </w:pPr>
      <w:bookmarkStart w:id="399" w:name="_Toc71621667"/>
      <w:bookmarkStart w:id="400" w:name="_Toc106964843"/>
      <w:r>
        <w:rPr>
          <w:noProof w:val="0"/>
          <w:color w:val="auto"/>
        </w:rPr>
        <w:t>Grading the</w:t>
      </w:r>
      <w:r w:rsidRPr="00397A3E">
        <w:rPr>
          <w:noProof w:val="0"/>
          <w:color w:val="auto"/>
        </w:rPr>
        <w:t xml:space="preserve"> certainty of evidence</w:t>
      </w:r>
      <w:bookmarkEnd w:id="399"/>
      <w:r w:rsidRPr="00397A3E">
        <w:rPr>
          <w:noProof w:val="0"/>
          <w:color w:val="auto"/>
        </w:rPr>
        <w:t xml:space="preserve"> of </w:t>
      </w:r>
      <w:r w:rsidR="00E1386E" w:rsidRPr="00397A3E">
        <w:rPr>
          <w:noProof w:val="0"/>
          <w:color w:val="auto"/>
        </w:rPr>
        <w:t>p</w:t>
      </w:r>
      <w:r w:rsidR="00F03193" w:rsidRPr="00397A3E">
        <w:rPr>
          <w:noProof w:val="0"/>
          <w:color w:val="auto"/>
        </w:rPr>
        <w:t xml:space="preserve">rimary </w:t>
      </w:r>
      <w:r w:rsidR="00E1386E" w:rsidRPr="00397A3E">
        <w:rPr>
          <w:noProof w:val="0"/>
          <w:color w:val="auto"/>
        </w:rPr>
        <w:t>s</w:t>
      </w:r>
      <w:r w:rsidR="00F03193" w:rsidRPr="00397A3E">
        <w:rPr>
          <w:noProof w:val="0"/>
          <w:color w:val="auto"/>
        </w:rPr>
        <w:t>tudies</w:t>
      </w:r>
      <w:bookmarkEnd w:id="400"/>
    </w:p>
    <w:p w14:paraId="44CBAD7A" w14:textId="51A92362" w:rsidR="00775E19" w:rsidRDefault="00171C91" w:rsidP="00C246CB">
      <w:pPr>
        <w:rPr>
          <w:noProof w:val="0"/>
        </w:rPr>
      </w:pPr>
      <w:r>
        <w:rPr>
          <w:noProof w:val="0"/>
        </w:rPr>
        <w:t xml:space="preserve">As described in the research protocol (O’Connor, 2020), a process based on the OHAT approach to using the GRADE framework was used to assess the </w:t>
      </w:r>
      <w:r w:rsidR="00F36A1E">
        <w:rPr>
          <w:noProof w:val="0"/>
        </w:rPr>
        <w:t xml:space="preserve">certainty of the </w:t>
      </w:r>
      <w:r>
        <w:rPr>
          <w:noProof w:val="0"/>
        </w:rPr>
        <w:t>body of evidence</w:t>
      </w:r>
      <w:r w:rsidR="00712C4C">
        <w:rPr>
          <w:noProof w:val="0"/>
        </w:rPr>
        <w:t xml:space="preserve"> for the </w:t>
      </w:r>
      <w:r w:rsidR="00435A51">
        <w:rPr>
          <w:noProof w:val="0"/>
        </w:rPr>
        <w:t xml:space="preserve">13 </w:t>
      </w:r>
      <w:r w:rsidR="00712C4C">
        <w:rPr>
          <w:noProof w:val="0"/>
        </w:rPr>
        <w:t>primary studies used to answer the primary research question</w:t>
      </w:r>
      <w:r>
        <w:rPr>
          <w:noProof w:val="0"/>
        </w:rPr>
        <w:t xml:space="preserve"> (OHAT, 2019).</w:t>
      </w:r>
    </w:p>
    <w:p w14:paraId="29135F93" w14:textId="5670F532" w:rsidR="00712C4C" w:rsidRPr="00397A3E" w:rsidRDefault="00171C91" w:rsidP="00712C4C">
      <w:pPr>
        <w:rPr>
          <w:noProof w:val="0"/>
          <w:szCs w:val="20"/>
        </w:rPr>
      </w:pPr>
      <w:r w:rsidRPr="00397A3E">
        <w:rPr>
          <w:noProof w:val="0"/>
          <w:szCs w:val="20"/>
        </w:rPr>
        <w:t xml:space="preserve">As noted in Section </w:t>
      </w:r>
      <w:r w:rsidRPr="00397A3E">
        <w:rPr>
          <w:noProof w:val="0"/>
          <w:szCs w:val="20"/>
        </w:rPr>
        <w:fldChar w:fldCharType="begin"/>
      </w:r>
      <w:r w:rsidRPr="00397A3E">
        <w:rPr>
          <w:noProof w:val="0"/>
          <w:szCs w:val="20"/>
        </w:rPr>
        <w:instrText xml:space="preserve"> REF _Ref93923104 \r \h </w:instrText>
      </w:r>
      <w:r w:rsidRPr="00397A3E">
        <w:rPr>
          <w:noProof w:val="0"/>
          <w:szCs w:val="20"/>
        </w:rPr>
      </w:r>
      <w:r w:rsidRPr="00397A3E">
        <w:rPr>
          <w:noProof w:val="0"/>
          <w:szCs w:val="20"/>
        </w:rPr>
        <w:fldChar w:fldCharType="separate"/>
      </w:r>
      <w:r w:rsidR="001A0E9F">
        <w:rPr>
          <w:noProof w:val="0"/>
          <w:szCs w:val="20"/>
        </w:rPr>
        <w:t>2.3.2</w:t>
      </w:r>
      <w:r w:rsidRPr="00397A3E">
        <w:rPr>
          <w:noProof w:val="0"/>
          <w:szCs w:val="20"/>
        </w:rPr>
        <w:fldChar w:fldCharType="end"/>
      </w:r>
      <w:r w:rsidRPr="00397A3E">
        <w:rPr>
          <w:noProof w:val="0"/>
          <w:szCs w:val="20"/>
        </w:rPr>
        <w:t>, at the direction of the Committee, secondary research questions were addressed through the review of existing guidelines and reviews only, rather than through review of the primary studies and thus were not included in the GRADE assessment.</w:t>
      </w:r>
    </w:p>
    <w:p w14:paraId="239828D8" w14:textId="2E14BE79" w:rsidR="008E7D9C" w:rsidRPr="00F36A1E" w:rsidRDefault="00171C91" w:rsidP="00C246CB">
      <w:pPr>
        <w:rPr>
          <w:b/>
          <w:noProof w:val="0"/>
        </w:rPr>
      </w:pPr>
      <w:r w:rsidRPr="00F36A1E">
        <w:rPr>
          <w:b/>
          <w:noProof w:val="0"/>
        </w:rPr>
        <w:t>Initial confidence ratings</w:t>
      </w:r>
    </w:p>
    <w:p w14:paraId="42B2F9C5" w14:textId="17A912FA" w:rsidR="00F36A1E" w:rsidRDefault="00171C91" w:rsidP="00C246CB">
      <w:pPr>
        <w:rPr>
          <w:noProof w:val="0"/>
        </w:rPr>
      </w:pPr>
      <w:r w:rsidRPr="00F36A1E">
        <w:rPr>
          <w:noProof w:val="0"/>
        </w:rPr>
        <w:t xml:space="preserve">Each evidence stream was assigned an initial certainty rating similar to that described in the OHAT Handbook (OHAT, 2019). </w:t>
      </w:r>
      <w:r w:rsidR="00712C4C">
        <w:rPr>
          <w:noProof w:val="0"/>
        </w:rPr>
        <w:t xml:space="preserve">The systematic review did not include a GRADE assessment but was given an initial rating </w:t>
      </w:r>
      <w:r w:rsidR="008032C8">
        <w:rPr>
          <w:noProof w:val="0"/>
        </w:rPr>
        <w:t xml:space="preserve">of “moderate certainty” based on limitations of the meta-analysis noted by the review authors. </w:t>
      </w:r>
      <w:r w:rsidRPr="00F36A1E">
        <w:rPr>
          <w:noProof w:val="0"/>
        </w:rPr>
        <w:t>Cohort studies are categ</w:t>
      </w:r>
      <w:r w:rsidR="00712C4C">
        <w:rPr>
          <w:noProof w:val="0"/>
        </w:rPr>
        <w:t>orised in the OHAT Handbook as “low to moderate certainty”</w:t>
      </w:r>
      <w:r w:rsidRPr="00F36A1E">
        <w:rPr>
          <w:noProof w:val="0"/>
        </w:rPr>
        <w:t xml:space="preserve">; however, based on the types of </w:t>
      </w:r>
      <w:r w:rsidR="008E7D9C">
        <w:rPr>
          <w:noProof w:val="0"/>
        </w:rPr>
        <w:t>comparison groups and efforts taken to determine pre-exposure for the included cohort study, this was assigned an initial</w:t>
      </w:r>
      <w:r w:rsidRPr="00F36A1E">
        <w:rPr>
          <w:noProof w:val="0"/>
        </w:rPr>
        <w:t xml:space="preserve"> </w:t>
      </w:r>
      <w:r w:rsidR="008E7D9C">
        <w:rPr>
          <w:noProof w:val="0"/>
        </w:rPr>
        <w:t>certai</w:t>
      </w:r>
      <w:r w:rsidR="00712C4C">
        <w:rPr>
          <w:noProof w:val="0"/>
        </w:rPr>
        <w:t>nty of “</w:t>
      </w:r>
      <w:r w:rsidR="008E7D9C">
        <w:rPr>
          <w:noProof w:val="0"/>
        </w:rPr>
        <w:t>moderate”.</w:t>
      </w:r>
      <w:r w:rsidRPr="00F36A1E">
        <w:rPr>
          <w:noProof w:val="0"/>
        </w:rPr>
        <w:t xml:space="preserve"> </w:t>
      </w:r>
      <w:r w:rsidR="00712C4C">
        <w:rPr>
          <w:noProof w:val="0"/>
        </w:rPr>
        <w:t>Qualitative studies were given the same initial rating as o</w:t>
      </w:r>
      <w:r w:rsidRPr="00F36A1E">
        <w:rPr>
          <w:noProof w:val="0"/>
        </w:rPr>
        <w:t xml:space="preserve">bservational studies </w:t>
      </w:r>
      <w:r w:rsidR="00712C4C">
        <w:rPr>
          <w:noProof w:val="0"/>
        </w:rPr>
        <w:t>(“</w:t>
      </w:r>
      <w:r w:rsidRPr="00F36A1E">
        <w:rPr>
          <w:noProof w:val="0"/>
        </w:rPr>
        <w:t>low certainty</w:t>
      </w:r>
      <w:r w:rsidR="00712C4C">
        <w:rPr>
          <w:noProof w:val="0"/>
        </w:rPr>
        <w:t>”)</w:t>
      </w:r>
      <w:r w:rsidRPr="00F36A1E">
        <w:rPr>
          <w:noProof w:val="0"/>
        </w:rPr>
        <w:t xml:space="preserve">. </w:t>
      </w:r>
    </w:p>
    <w:p w14:paraId="684A1B1E" w14:textId="77777777" w:rsidR="00F36A1E" w:rsidRPr="00F36A1E" w:rsidRDefault="00171C91" w:rsidP="00F36A1E">
      <w:pPr>
        <w:rPr>
          <w:b/>
          <w:noProof w:val="0"/>
        </w:rPr>
      </w:pPr>
      <w:r w:rsidRPr="00F36A1E">
        <w:rPr>
          <w:b/>
          <w:noProof w:val="0"/>
        </w:rPr>
        <w:t>Risk of bias</w:t>
      </w:r>
    </w:p>
    <w:p w14:paraId="7940D1BF" w14:textId="6D1AB2ED" w:rsidR="00F36A1E" w:rsidRDefault="00171C91" w:rsidP="00F36A1E">
      <w:pPr>
        <w:rPr>
          <w:noProof w:val="0"/>
        </w:rPr>
      </w:pPr>
      <w:r>
        <w:rPr>
          <w:noProof w:val="0"/>
        </w:rPr>
        <w:t xml:space="preserve">While none of the studies reviewed were designed as randomised control trials or similar clinical trials, there was a general low risk of bias across the included studies. </w:t>
      </w:r>
    </w:p>
    <w:p w14:paraId="109B8853" w14:textId="77777777" w:rsidR="00F36A1E" w:rsidRPr="00F36A1E" w:rsidRDefault="00171C91" w:rsidP="00F36A1E">
      <w:pPr>
        <w:rPr>
          <w:b/>
          <w:noProof w:val="0"/>
        </w:rPr>
      </w:pPr>
      <w:r w:rsidRPr="00F36A1E">
        <w:rPr>
          <w:b/>
          <w:noProof w:val="0"/>
        </w:rPr>
        <w:t>Unexplained inconsistency</w:t>
      </w:r>
    </w:p>
    <w:p w14:paraId="39C987BC" w14:textId="055C301A" w:rsidR="00F36A1E" w:rsidRDefault="00171C91" w:rsidP="00F36A1E">
      <w:pPr>
        <w:rPr>
          <w:noProof w:val="0"/>
        </w:rPr>
      </w:pPr>
      <w:r>
        <w:rPr>
          <w:noProof w:val="0"/>
        </w:rPr>
        <w:t xml:space="preserve">A large amount of heterogeneity was observed across the body of evidence; however, this can be explained by the inconsistent nature of the exposure scenarios for recreational water exposure (different recreational water exposures, durations, locations and types) </w:t>
      </w:r>
      <w:r w:rsidR="00435A51">
        <w:rPr>
          <w:noProof w:val="0"/>
        </w:rPr>
        <w:t>and study designs</w:t>
      </w:r>
      <w:r>
        <w:rPr>
          <w:noProof w:val="0"/>
        </w:rPr>
        <w:t>. This resulted in a rating of ‘not serious’ across all study types and outcomes.</w:t>
      </w:r>
    </w:p>
    <w:p w14:paraId="0368F7E4" w14:textId="77777777" w:rsidR="00F36A1E" w:rsidRPr="00F36A1E" w:rsidRDefault="00171C91" w:rsidP="00F36A1E">
      <w:pPr>
        <w:rPr>
          <w:b/>
          <w:noProof w:val="0"/>
        </w:rPr>
      </w:pPr>
      <w:r w:rsidRPr="00F36A1E">
        <w:rPr>
          <w:b/>
          <w:noProof w:val="0"/>
        </w:rPr>
        <w:t>Indirectness</w:t>
      </w:r>
    </w:p>
    <w:p w14:paraId="6CFA88F8" w14:textId="28AE8D27" w:rsidR="00F36A1E" w:rsidRDefault="00171C91" w:rsidP="00F36A1E">
      <w:pPr>
        <w:rPr>
          <w:noProof w:val="0"/>
        </w:rPr>
      </w:pPr>
      <w:r>
        <w:rPr>
          <w:noProof w:val="0"/>
        </w:rPr>
        <w:t>Most of the included studies were relevant to the primary research question and the populations and recreational exposure types could be assessed for Australian settings. This resulted in a rating of ‘</w:t>
      </w:r>
      <w:r w:rsidR="008032C8">
        <w:rPr>
          <w:noProof w:val="0"/>
        </w:rPr>
        <w:t xml:space="preserve">not </w:t>
      </w:r>
      <w:r>
        <w:rPr>
          <w:noProof w:val="0"/>
        </w:rPr>
        <w:t>serious’ across all study types.</w:t>
      </w:r>
    </w:p>
    <w:p w14:paraId="62657333" w14:textId="77777777" w:rsidR="00F36A1E" w:rsidRPr="00F36A1E" w:rsidRDefault="00171C91" w:rsidP="00F36A1E">
      <w:pPr>
        <w:rPr>
          <w:b/>
          <w:noProof w:val="0"/>
        </w:rPr>
      </w:pPr>
      <w:r w:rsidRPr="00F36A1E">
        <w:rPr>
          <w:b/>
          <w:noProof w:val="0"/>
        </w:rPr>
        <w:t>Imprecision</w:t>
      </w:r>
    </w:p>
    <w:p w14:paraId="690154F3" w14:textId="6E161E85" w:rsidR="00F36A1E" w:rsidRDefault="00171C91" w:rsidP="00F36A1E">
      <w:pPr>
        <w:rPr>
          <w:noProof w:val="0"/>
        </w:rPr>
      </w:pPr>
      <w:r>
        <w:rPr>
          <w:noProof w:val="0"/>
        </w:rPr>
        <w:t>Reasonable efforts were made to assess the statistical significance of the findings across the body of evidence. This resulted in a rating of ‘not serious’ acr</w:t>
      </w:r>
      <w:r w:rsidR="00653B35">
        <w:rPr>
          <w:noProof w:val="0"/>
        </w:rPr>
        <w:t>oss all study types</w:t>
      </w:r>
      <w:r>
        <w:rPr>
          <w:noProof w:val="0"/>
        </w:rPr>
        <w:t>.</w:t>
      </w:r>
    </w:p>
    <w:p w14:paraId="7324DDEB" w14:textId="77777777" w:rsidR="00F36A1E" w:rsidRPr="00F36A1E" w:rsidRDefault="00171C91" w:rsidP="00F36A1E">
      <w:pPr>
        <w:rPr>
          <w:b/>
          <w:noProof w:val="0"/>
        </w:rPr>
      </w:pPr>
      <w:r w:rsidRPr="00F36A1E">
        <w:rPr>
          <w:b/>
          <w:noProof w:val="0"/>
        </w:rPr>
        <w:t>Publication bias</w:t>
      </w:r>
    </w:p>
    <w:p w14:paraId="686272EF" w14:textId="219BB440" w:rsidR="00F36A1E" w:rsidRDefault="00171C91" w:rsidP="00F36A1E">
      <w:pPr>
        <w:rPr>
          <w:noProof w:val="0"/>
        </w:rPr>
      </w:pPr>
      <w:r>
        <w:rPr>
          <w:noProof w:val="0"/>
        </w:rPr>
        <w:t>Publication bias was not detected</w:t>
      </w:r>
      <w:r w:rsidR="00396FF2">
        <w:rPr>
          <w:noProof w:val="0"/>
        </w:rPr>
        <w:t xml:space="preserve"> except in the systematic review. However, this did not appear to be a concern to the review authors and was therefore not used as a reason to downgrade the certainty in the evidence.</w:t>
      </w:r>
    </w:p>
    <w:p w14:paraId="23E030B0" w14:textId="77777777" w:rsidR="00F36A1E" w:rsidRPr="00F36A1E" w:rsidRDefault="00171C91" w:rsidP="00F36A1E">
      <w:pPr>
        <w:rPr>
          <w:b/>
          <w:noProof w:val="0"/>
        </w:rPr>
      </w:pPr>
      <w:r w:rsidRPr="00F36A1E">
        <w:rPr>
          <w:b/>
          <w:noProof w:val="0"/>
        </w:rPr>
        <w:t>Reasons for upgrading</w:t>
      </w:r>
    </w:p>
    <w:p w14:paraId="6AB89F0F" w14:textId="6DB67739" w:rsidR="00F36A1E" w:rsidRDefault="00171C91" w:rsidP="00F36A1E">
      <w:pPr>
        <w:rPr>
          <w:noProof w:val="0"/>
        </w:rPr>
      </w:pPr>
      <w:r>
        <w:rPr>
          <w:noProof w:val="0"/>
        </w:rPr>
        <w:t>There was insufficient information to determine if there were any further reasons to upgrade the certainty of the overall body of evidence using the GRADE system.</w:t>
      </w:r>
    </w:p>
    <w:p w14:paraId="47BAFB75" w14:textId="77777777" w:rsidR="00F36A1E" w:rsidRPr="00F36A1E" w:rsidRDefault="00171C91" w:rsidP="00F36A1E">
      <w:pPr>
        <w:rPr>
          <w:b/>
          <w:noProof w:val="0"/>
        </w:rPr>
      </w:pPr>
      <w:r w:rsidRPr="00F36A1E">
        <w:rPr>
          <w:b/>
          <w:noProof w:val="0"/>
        </w:rPr>
        <w:t>Overall certainty rating</w:t>
      </w:r>
    </w:p>
    <w:p w14:paraId="125FD4A8" w14:textId="77777777" w:rsidR="00670AE7" w:rsidRDefault="00171C91" w:rsidP="008032C8">
      <w:pPr>
        <w:rPr>
          <w:noProof w:val="0"/>
        </w:rPr>
      </w:pPr>
      <w:r w:rsidRPr="00397A3E">
        <w:rPr>
          <w:noProof w:val="0"/>
        </w:rPr>
        <w:t>The GRADE assessment of the overall quality of the primary studies body of evidence was undertaken for the outcome identified for the primary research question which was “</w:t>
      </w:r>
      <w:r w:rsidRPr="00397A3E">
        <w:rPr>
          <w:i/>
          <w:iCs/>
          <w:noProof w:val="0"/>
        </w:rPr>
        <w:t>How can we monitor, assess, and predict risks from diffuse and point source microbial contamination in recreational waters?”.</w:t>
      </w:r>
    </w:p>
    <w:p w14:paraId="7E0F5E17" w14:textId="72A76DEC" w:rsidR="00912DC4" w:rsidRDefault="00171C91" w:rsidP="00F36A1E">
      <w:pPr>
        <w:rPr>
          <w:noProof w:val="0"/>
        </w:rPr>
      </w:pPr>
      <w:r w:rsidRPr="00397A3E">
        <w:rPr>
          <w:noProof w:val="0"/>
        </w:rPr>
        <w:t xml:space="preserve">The </w:t>
      </w:r>
      <w:r>
        <w:rPr>
          <w:noProof w:val="0"/>
        </w:rPr>
        <w:t>overall certainty rating was</w:t>
      </w:r>
      <w:r w:rsidRPr="00397A3E">
        <w:rPr>
          <w:noProof w:val="0"/>
        </w:rPr>
        <w:t xml:space="preserve"> </w:t>
      </w:r>
      <w:r>
        <w:rPr>
          <w:noProof w:val="0"/>
        </w:rPr>
        <w:t>“</w:t>
      </w:r>
      <w:r w:rsidR="00670AE7">
        <w:rPr>
          <w:noProof w:val="0"/>
        </w:rPr>
        <w:t>moderate</w:t>
      </w:r>
      <w:r>
        <w:rPr>
          <w:noProof w:val="0"/>
        </w:rPr>
        <w:t>” for the systematic review</w:t>
      </w:r>
      <w:r w:rsidR="00670AE7">
        <w:rPr>
          <w:noProof w:val="0"/>
        </w:rPr>
        <w:t xml:space="preserve"> and cohort study</w:t>
      </w:r>
      <w:r>
        <w:rPr>
          <w:noProof w:val="0"/>
        </w:rPr>
        <w:t>, leading to a final</w:t>
      </w:r>
      <w:r w:rsidR="00670AE7">
        <w:rPr>
          <w:noProof w:val="0"/>
        </w:rPr>
        <w:t xml:space="preserve"> certainty rating of “</w:t>
      </w:r>
      <w:r w:rsidR="00670AE7" w:rsidRPr="000D57CB">
        <w:rPr>
          <w:i/>
          <w:noProof w:val="0"/>
        </w:rPr>
        <w:t>moderately confident in the reported associations</w:t>
      </w:r>
      <w:r w:rsidR="00670AE7">
        <w:rPr>
          <w:noProof w:val="0"/>
        </w:rPr>
        <w:t>”. The overall certainty rating was “l</w:t>
      </w:r>
      <w:r w:rsidRPr="00397A3E">
        <w:rPr>
          <w:noProof w:val="0"/>
        </w:rPr>
        <w:t xml:space="preserve">ow” </w:t>
      </w:r>
      <w:r>
        <w:rPr>
          <w:noProof w:val="0"/>
        </w:rPr>
        <w:t>for the 11 qua</w:t>
      </w:r>
      <w:r w:rsidR="002A32BC">
        <w:rPr>
          <w:noProof w:val="0"/>
        </w:rPr>
        <w:t>l</w:t>
      </w:r>
      <w:r>
        <w:rPr>
          <w:noProof w:val="0"/>
        </w:rPr>
        <w:t xml:space="preserve">itative studies </w:t>
      </w:r>
      <w:r w:rsidRPr="00397A3E">
        <w:rPr>
          <w:noProof w:val="0"/>
        </w:rPr>
        <w:t>(</w:t>
      </w:r>
      <w:r w:rsidRPr="00397A3E">
        <w:rPr>
          <w:noProof w:val="0"/>
        </w:rPr>
        <w:fldChar w:fldCharType="begin"/>
      </w:r>
      <w:r w:rsidRPr="00397A3E">
        <w:rPr>
          <w:noProof w:val="0"/>
        </w:rPr>
        <w:instrText xml:space="preserve"> REF _Ref72249111 \h  \* MERGEFORMAT </w:instrText>
      </w:r>
      <w:r w:rsidRPr="00397A3E">
        <w:rPr>
          <w:noProof w:val="0"/>
        </w:rPr>
      </w:r>
      <w:r w:rsidRPr="00397A3E">
        <w:rPr>
          <w:noProof w:val="0"/>
        </w:rPr>
        <w:fldChar w:fldCharType="separate"/>
      </w:r>
      <w:r w:rsidR="001A0E9F" w:rsidRPr="00397A3E">
        <w:rPr>
          <w:noProof w:val="0"/>
        </w:rPr>
        <w:t xml:space="preserve">Table </w:t>
      </w:r>
      <w:r w:rsidR="001A0E9F">
        <w:rPr>
          <w:noProof w:val="0"/>
        </w:rPr>
        <w:t>6</w:t>
      </w:r>
      <w:r w:rsidR="001A0E9F">
        <w:rPr>
          <w:noProof w:val="0"/>
        </w:rPr>
        <w:noBreakHyphen/>
        <w:t>6</w:t>
      </w:r>
      <w:r w:rsidRPr="00397A3E">
        <w:rPr>
          <w:noProof w:val="0"/>
        </w:rPr>
        <w:fldChar w:fldCharType="end"/>
      </w:r>
      <w:r w:rsidRPr="00397A3E">
        <w:rPr>
          <w:noProof w:val="0"/>
        </w:rPr>
        <w:t>)</w:t>
      </w:r>
      <w:r>
        <w:rPr>
          <w:noProof w:val="0"/>
        </w:rPr>
        <w:t>.</w:t>
      </w:r>
      <w:r w:rsidRPr="00397A3E">
        <w:rPr>
          <w:noProof w:val="0"/>
        </w:rPr>
        <w:t xml:space="preserve"> </w:t>
      </w:r>
      <w:r w:rsidR="00670AE7">
        <w:rPr>
          <w:noProof w:val="0"/>
        </w:rPr>
        <w:t>T</w:t>
      </w:r>
      <w:r w:rsidRPr="00397A3E">
        <w:rPr>
          <w:noProof w:val="0"/>
        </w:rPr>
        <w:t>his led to a final certainty rating of “</w:t>
      </w:r>
      <w:r w:rsidRPr="00397A3E">
        <w:rPr>
          <w:i/>
          <w:iCs/>
          <w:noProof w:val="0"/>
        </w:rPr>
        <w:t>limited confidence in the reported associations</w:t>
      </w:r>
      <w:r w:rsidRPr="00397A3E">
        <w:rPr>
          <w:noProof w:val="0"/>
        </w:rPr>
        <w:t>”.  This result stems from the high degree of heterogeneity in study focus of the 13 studies that made it through the screening and quality assessment stages of the literature review.  The broad nature of the primary research question resulted in a wide range of study types being eligible for inclusion and consequently it was not possible to apply gradings for some the categories in the GRADE assessment (e.g. magnitude of effect).  None of the factors that could influence a change in the grading of certainty of the body of evidence (</w:t>
      </w:r>
      <w:r w:rsidRPr="00397A3E">
        <w:rPr>
          <w:noProof w:val="0"/>
        </w:rPr>
        <w:fldChar w:fldCharType="begin"/>
      </w:r>
      <w:r w:rsidRPr="00397A3E">
        <w:rPr>
          <w:noProof w:val="0"/>
        </w:rPr>
        <w:instrText xml:space="preserve"> REF _Ref48215533 \h  \* MERGEFORMAT </w:instrText>
      </w:r>
      <w:r w:rsidRPr="00397A3E">
        <w:rPr>
          <w:noProof w:val="0"/>
        </w:rPr>
      </w:r>
      <w:r w:rsidRPr="00397A3E">
        <w:rPr>
          <w:noProof w:val="0"/>
        </w:rPr>
        <w:fldChar w:fldCharType="separate"/>
      </w:r>
      <w:r w:rsidR="001A0E9F" w:rsidRPr="00397A3E">
        <w:rPr>
          <w:noProof w:val="0"/>
        </w:rPr>
        <w:t xml:space="preserve">Figure </w:t>
      </w:r>
      <w:r w:rsidR="001A0E9F">
        <w:rPr>
          <w:noProof w:val="0"/>
        </w:rPr>
        <w:t>2</w:t>
      </w:r>
      <w:r w:rsidR="001A0E9F" w:rsidRPr="00397A3E">
        <w:rPr>
          <w:noProof w:val="0"/>
        </w:rPr>
        <w:noBreakHyphen/>
      </w:r>
      <w:r w:rsidR="001A0E9F">
        <w:rPr>
          <w:noProof w:val="0"/>
        </w:rPr>
        <w:t>1</w:t>
      </w:r>
      <w:r w:rsidRPr="00397A3E">
        <w:rPr>
          <w:noProof w:val="0"/>
        </w:rPr>
        <w:fldChar w:fldCharType="end"/>
      </w:r>
      <w:r w:rsidRPr="00397A3E">
        <w:rPr>
          <w:noProof w:val="0"/>
        </w:rPr>
        <w:t xml:space="preserve">, </w:t>
      </w:r>
      <w:r w:rsidRPr="00397A3E">
        <w:rPr>
          <w:noProof w:val="0"/>
        </w:rPr>
        <w:fldChar w:fldCharType="begin"/>
      </w:r>
      <w:r w:rsidRPr="00397A3E">
        <w:rPr>
          <w:noProof w:val="0"/>
        </w:rPr>
        <w:instrText xml:space="preserve"> REF _Ref48213891 \h  \* MERGEFORMAT </w:instrText>
      </w:r>
      <w:r w:rsidRPr="00397A3E">
        <w:rPr>
          <w:noProof w:val="0"/>
        </w:rPr>
      </w:r>
      <w:r w:rsidRPr="00397A3E">
        <w:rPr>
          <w:noProof w:val="0"/>
        </w:rPr>
        <w:fldChar w:fldCharType="separate"/>
      </w:r>
      <w:r w:rsidR="001A0E9F" w:rsidRPr="00397A3E">
        <w:rPr>
          <w:noProof w:val="0"/>
        </w:rPr>
        <w:t xml:space="preserve">Table </w:t>
      </w:r>
      <w:r w:rsidR="001A0E9F">
        <w:rPr>
          <w:noProof w:val="0"/>
        </w:rPr>
        <w:t>2</w:t>
      </w:r>
      <w:r w:rsidR="001A0E9F">
        <w:rPr>
          <w:noProof w:val="0"/>
        </w:rPr>
        <w:noBreakHyphen/>
        <w:t>8</w:t>
      </w:r>
      <w:r w:rsidRPr="00397A3E">
        <w:rPr>
          <w:noProof w:val="0"/>
        </w:rPr>
        <w:fldChar w:fldCharType="end"/>
      </w:r>
      <w:r w:rsidRPr="00397A3E">
        <w:rPr>
          <w:noProof w:val="0"/>
        </w:rPr>
        <w:t>) were identified (</w:t>
      </w:r>
      <w:r w:rsidRPr="00397A3E">
        <w:rPr>
          <w:noProof w:val="0"/>
        </w:rPr>
        <w:fldChar w:fldCharType="begin"/>
      </w:r>
      <w:r w:rsidRPr="00397A3E">
        <w:rPr>
          <w:noProof w:val="0"/>
        </w:rPr>
        <w:instrText xml:space="preserve"> REF _Ref72249111 \h  \* MERGEFORMAT </w:instrText>
      </w:r>
      <w:r w:rsidRPr="00397A3E">
        <w:rPr>
          <w:noProof w:val="0"/>
        </w:rPr>
      </w:r>
      <w:r w:rsidRPr="00397A3E">
        <w:rPr>
          <w:noProof w:val="0"/>
        </w:rPr>
        <w:fldChar w:fldCharType="separate"/>
      </w:r>
      <w:r w:rsidR="001A0E9F" w:rsidRPr="00397A3E">
        <w:rPr>
          <w:noProof w:val="0"/>
        </w:rPr>
        <w:t xml:space="preserve">Table </w:t>
      </w:r>
      <w:r w:rsidR="001A0E9F">
        <w:rPr>
          <w:noProof w:val="0"/>
        </w:rPr>
        <w:t>6</w:t>
      </w:r>
      <w:r w:rsidR="001A0E9F">
        <w:rPr>
          <w:noProof w:val="0"/>
        </w:rPr>
        <w:noBreakHyphen/>
        <w:t>6</w:t>
      </w:r>
      <w:r w:rsidRPr="00397A3E">
        <w:rPr>
          <w:noProof w:val="0"/>
        </w:rPr>
        <w:fldChar w:fldCharType="end"/>
      </w:r>
      <w:r w:rsidRPr="00397A3E">
        <w:rPr>
          <w:noProof w:val="0"/>
        </w:rPr>
        <w:t>).</w:t>
      </w:r>
    </w:p>
    <w:p w14:paraId="2E99A659" w14:textId="77777777" w:rsidR="00912DC4" w:rsidRPr="00D00CCB" w:rsidRDefault="00912DC4" w:rsidP="00912DC4">
      <w:pPr>
        <w:rPr>
          <w:bCs/>
          <w:noProof w:val="0"/>
        </w:rPr>
      </w:pPr>
      <w:r>
        <w:rPr>
          <w:noProof w:val="0"/>
        </w:rPr>
        <w:t>It is worth noting that methods and approaches for systematic reviews of environmental health evidence is still an area of research and development, and further modification of the available frameworks and tools is beyond the scope of services required for this review.</w:t>
      </w:r>
      <w:r w:rsidRPr="00D00CCB">
        <w:rPr>
          <w:rFonts w:asciiTheme="minorHAnsi" w:eastAsiaTheme="minorHAnsi" w:hAnsiTheme="minorHAnsi" w:cstheme="minorBidi"/>
          <w:bCs/>
          <w:noProof w:val="0"/>
          <w:sz w:val="22"/>
          <w:szCs w:val="22"/>
          <w:lang w:eastAsia="en-US"/>
        </w:rPr>
        <w:t xml:space="preserve"> </w:t>
      </w:r>
      <w:r w:rsidRPr="00D00CCB">
        <w:rPr>
          <w:bCs/>
          <w:noProof w:val="0"/>
        </w:rPr>
        <w:t>Further analysis and evaluation of the primary studies by the Committee can be undertaken if required.</w:t>
      </w:r>
    </w:p>
    <w:p w14:paraId="398EFD7C" w14:textId="7CB670B9" w:rsidR="00912DC4" w:rsidRPr="00397A3E" w:rsidRDefault="00912DC4" w:rsidP="00F36A1E">
      <w:pPr>
        <w:rPr>
          <w:noProof w:val="0"/>
        </w:rPr>
        <w:sectPr w:rsidR="00912DC4" w:rsidRPr="00397A3E" w:rsidSect="00C246CB">
          <w:headerReference w:type="default" r:id="rId39"/>
          <w:headerReference w:type="first" r:id="rId40"/>
          <w:pgSz w:w="11906" w:h="16838"/>
          <w:pgMar w:top="1588" w:right="1418" w:bottom="1418" w:left="2835" w:header="680" w:footer="709" w:gutter="0"/>
          <w:cols w:space="708"/>
          <w:docGrid w:linePitch="360"/>
        </w:sectPr>
      </w:pPr>
    </w:p>
    <w:p w14:paraId="4920C741" w14:textId="48F6B9B1" w:rsidR="00696BCE" w:rsidRPr="00397A3E" w:rsidRDefault="00171C91" w:rsidP="004529CC">
      <w:pPr>
        <w:pStyle w:val="Caption"/>
        <w:rPr>
          <w:noProof w:val="0"/>
        </w:rPr>
      </w:pPr>
      <w:bookmarkStart w:id="401" w:name="_Ref72249111"/>
      <w:bookmarkStart w:id="402" w:name="_Toc106964873"/>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6</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6</w:t>
      </w:r>
      <w:r w:rsidR="00F178D7">
        <w:rPr>
          <w:noProof w:val="0"/>
        </w:rPr>
        <w:fldChar w:fldCharType="end"/>
      </w:r>
      <w:bookmarkEnd w:id="401"/>
      <w:r w:rsidRPr="00397A3E">
        <w:rPr>
          <w:noProof w:val="0"/>
        </w:rPr>
        <w:t xml:space="preserve">. </w:t>
      </w:r>
      <w:r w:rsidR="001F75BD" w:rsidRPr="00397A3E">
        <w:rPr>
          <w:noProof w:val="0"/>
        </w:rPr>
        <w:t>GRADE report for p</w:t>
      </w:r>
      <w:r w:rsidRPr="00397A3E">
        <w:rPr>
          <w:noProof w:val="0"/>
        </w:rPr>
        <w:t xml:space="preserve">resence of significant human health risks due to </w:t>
      </w:r>
      <w:r w:rsidR="008843FD" w:rsidRPr="00397A3E">
        <w:rPr>
          <w:noProof w:val="0"/>
        </w:rPr>
        <w:t>microbial risks</w:t>
      </w:r>
      <w:r w:rsidRPr="00397A3E">
        <w:rPr>
          <w:noProof w:val="0"/>
        </w:rPr>
        <w:t xml:space="preserve"> in recreational water</w:t>
      </w:r>
      <w:bookmarkEnd w:id="402"/>
    </w:p>
    <w:tbl>
      <w:tblPr>
        <w:tblW w:w="14454" w:type="dxa"/>
        <w:tblLook w:val="04A0" w:firstRow="1" w:lastRow="0" w:firstColumn="1" w:lastColumn="0" w:noHBand="0" w:noVBand="1"/>
      </w:tblPr>
      <w:tblGrid>
        <w:gridCol w:w="1114"/>
        <w:gridCol w:w="1149"/>
        <w:gridCol w:w="1225"/>
        <w:gridCol w:w="1169"/>
        <w:gridCol w:w="1180"/>
        <w:gridCol w:w="1101"/>
        <w:gridCol w:w="1203"/>
        <w:gridCol w:w="1210"/>
        <w:gridCol w:w="1276"/>
        <w:gridCol w:w="1275"/>
        <w:gridCol w:w="1276"/>
        <w:gridCol w:w="1276"/>
      </w:tblGrid>
      <w:tr w:rsidR="00785848" w14:paraId="00862052" w14:textId="77777777" w:rsidTr="00E75E76">
        <w:trPr>
          <w:trHeight w:val="612"/>
        </w:trPr>
        <w:tc>
          <w:tcPr>
            <w:tcW w:w="1114" w:type="dxa"/>
            <w:tcBorders>
              <w:top w:val="single" w:sz="4" w:space="0" w:color="B5DDDC"/>
              <w:left w:val="single" w:sz="4" w:space="0" w:color="B5DDDC"/>
              <w:bottom w:val="single" w:sz="4" w:space="0" w:color="B5DDDC"/>
              <w:right w:val="single" w:sz="4" w:space="0" w:color="B5DDDC"/>
            </w:tcBorders>
            <w:shd w:val="clear" w:color="000000" w:fill="B5DDDC"/>
            <w:vAlign w:val="center"/>
            <w:hideMark/>
          </w:tcPr>
          <w:p w14:paraId="1593FB56" w14:textId="730931D1" w:rsidR="00864BB5" w:rsidRPr="00397A3E" w:rsidRDefault="00171C91" w:rsidP="0050769B">
            <w:pPr>
              <w:spacing w:before="0" w:after="0" w:line="240" w:lineRule="auto"/>
              <w:rPr>
                <w:rFonts w:ascii="Calibri" w:hAnsi="Calibri" w:cs="Calibri"/>
                <w:b/>
                <w:bCs/>
                <w:noProof w:val="0"/>
                <w:color w:val="008000"/>
                <w:sz w:val="16"/>
                <w:szCs w:val="16"/>
              </w:rPr>
            </w:pPr>
            <w:r>
              <w:rPr>
                <w:rFonts w:ascii="Calibri" w:hAnsi="Calibri" w:cs="Calibri"/>
                <w:b/>
                <w:bCs/>
                <w:noProof w:val="0"/>
                <w:color w:val="008000"/>
                <w:sz w:val="16"/>
                <w:szCs w:val="16"/>
              </w:rPr>
              <w:t>Body of evidence</w:t>
            </w:r>
          </w:p>
        </w:tc>
        <w:tc>
          <w:tcPr>
            <w:tcW w:w="1149" w:type="dxa"/>
            <w:tcBorders>
              <w:top w:val="single" w:sz="4" w:space="0" w:color="B5DDDC"/>
              <w:left w:val="nil"/>
              <w:bottom w:val="single" w:sz="4" w:space="0" w:color="B5DDDC"/>
              <w:right w:val="single" w:sz="4" w:space="0" w:color="B5DDDC"/>
            </w:tcBorders>
            <w:shd w:val="clear" w:color="000000" w:fill="B5DDDC"/>
            <w:vAlign w:val="center"/>
            <w:hideMark/>
          </w:tcPr>
          <w:p w14:paraId="35E67923" w14:textId="77777777" w:rsidR="00864BB5" w:rsidRPr="00397A3E" w:rsidRDefault="00171C91" w:rsidP="00507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Risk of bias</w:t>
            </w:r>
          </w:p>
        </w:tc>
        <w:tc>
          <w:tcPr>
            <w:tcW w:w="1225" w:type="dxa"/>
            <w:tcBorders>
              <w:top w:val="single" w:sz="4" w:space="0" w:color="B5DDDC"/>
              <w:left w:val="nil"/>
              <w:bottom w:val="single" w:sz="4" w:space="0" w:color="B5DDDC"/>
              <w:right w:val="single" w:sz="4" w:space="0" w:color="B5DDDC"/>
            </w:tcBorders>
            <w:shd w:val="clear" w:color="000000" w:fill="B5DDDC"/>
            <w:vAlign w:val="center"/>
            <w:hideMark/>
          </w:tcPr>
          <w:p w14:paraId="65C20D67" w14:textId="77777777" w:rsidR="00864BB5" w:rsidRPr="00397A3E" w:rsidRDefault="00171C91" w:rsidP="00507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Unexplained inconsistency</w:t>
            </w:r>
          </w:p>
        </w:tc>
        <w:tc>
          <w:tcPr>
            <w:tcW w:w="1169" w:type="dxa"/>
            <w:tcBorders>
              <w:top w:val="single" w:sz="4" w:space="0" w:color="B5DDDC"/>
              <w:left w:val="nil"/>
              <w:bottom w:val="single" w:sz="4" w:space="0" w:color="B5DDDC"/>
              <w:right w:val="single" w:sz="4" w:space="0" w:color="B5DDDC"/>
            </w:tcBorders>
            <w:shd w:val="clear" w:color="000000" w:fill="B5DDDC"/>
            <w:vAlign w:val="center"/>
            <w:hideMark/>
          </w:tcPr>
          <w:p w14:paraId="60891284" w14:textId="77777777" w:rsidR="00864BB5" w:rsidRPr="00397A3E" w:rsidRDefault="00171C91" w:rsidP="00507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Indirectness</w:t>
            </w:r>
          </w:p>
        </w:tc>
        <w:tc>
          <w:tcPr>
            <w:tcW w:w="1180" w:type="dxa"/>
            <w:tcBorders>
              <w:top w:val="single" w:sz="4" w:space="0" w:color="B5DDDC"/>
              <w:left w:val="nil"/>
              <w:bottom w:val="single" w:sz="4" w:space="0" w:color="B5DDDC"/>
              <w:right w:val="single" w:sz="4" w:space="0" w:color="B5DDDC"/>
            </w:tcBorders>
            <w:shd w:val="clear" w:color="000000" w:fill="B5DDDC"/>
            <w:vAlign w:val="center"/>
            <w:hideMark/>
          </w:tcPr>
          <w:p w14:paraId="05983397" w14:textId="77777777" w:rsidR="00864BB5" w:rsidRPr="00397A3E" w:rsidRDefault="00171C91" w:rsidP="00507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Imprecision</w:t>
            </w:r>
          </w:p>
        </w:tc>
        <w:tc>
          <w:tcPr>
            <w:tcW w:w="1101" w:type="dxa"/>
            <w:tcBorders>
              <w:top w:val="single" w:sz="4" w:space="0" w:color="B5DDDC"/>
              <w:left w:val="nil"/>
              <w:bottom w:val="single" w:sz="4" w:space="0" w:color="B5DDDC"/>
              <w:right w:val="single" w:sz="4" w:space="0" w:color="B5DDDC"/>
            </w:tcBorders>
            <w:shd w:val="clear" w:color="000000" w:fill="B5DDDC"/>
            <w:vAlign w:val="center"/>
            <w:hideMark/>
          </w:tcPr>
          <w:p w14:paraId="3AFFCEF8" w14:textId="77777777" w:rsidR="00864BB5" w:rsidRPr="00397A3E" w:rsidRDefault="00171C91" w:rsidP="00507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Publication bias</w:t>
            </w:r>
          </w:p>
        </w:tc>
        <w:tc>
          <w:tcPr>
            <w:tcW w:w="1203" w:type="dxa"/>
            <w:tcBorders>
              <w:top w:val="single" w:sz="4" w:space="0" w:color="B5DDDC"/>
              <w:left w:val="nil"/>
              <w:bottom w:val="single" w:sz="4" w:space="0" w:color="B5DDDC"/>
              <w:right w:val="single" w:sz="4" w:space="0" w:color="B5DDDC"/>
            </w:tcBorders>
            <w:shd w:val="clear" w:color="000000" w:fill="B5DDDC"/>
            <w:vAlign w:val="center"/>
            <w:hideMark/>
          </w:tcPr>
          <w:p w14:paraId="02B3D2E5" w14:textId="77777777" w:rsidR="00864BB5" w:rsidRPr="00397A3E" w:rsidRDefault="00171C91" w:rsidP="00507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Magnitude of effect</w:t>
            </w:r>
          </w:p>
        </w:tc>
        <w:tc>
          <w:tcPr>
            <w:tcW w:w="1210" w:type="dxa"/>
            <w:tcBorders>
              <w:top w:val="single" w:sz="4" w:space="0" w:color="B5DDDC"/>
              <w:left w:val="nil"/>
              <w:bottom w:val="single" w:sz="4" w:space="0" w:color="B5DDDC"/>
              <w:right w:val="single" w:sz="4" w:space="0" w:color="B5DDDC"/>
            </w:tcBorders>
            <w:shd w:val="clear" w:color="000000" w:fill="B5DDDC"/>
            <w:vAlign w:val="center"/>
            <w:hideMark/>
          </w:tcPr>
          <w:p w14:paraId="47AE43A7" w14:textId="77777777" w:rsidR="00864BB5" w:rsidRPr="00397A3E" w:rsidRDefault="00171C91" w:rsidP="00507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Dose Response</w:t>
            </w:r>
          </w:p>
        </w:tc>
        <w:tc>
          <w:tcPr>
            <w:tcW w:w="1276" w:type="dxa"/>
            <w:tcBorders>
              <w:top w:val="single" w:sz="4" w:space="0" w:color="B5DDDC"/>
              <w:left w:val="nil"/>
              <w:bottom w:val="single" w:sz="4" w:space="0" w:color="B5DDDC"/>
              <w:right w:val="single" w:sz="4" w:space="0" w:color="B5DDDC"/>
            </w:tcBorders>
            <w:shd w:val="clear" w:color="000000" w:fill="B5DDDC"/>
            <w:vAlign w:val="center"/>
            <w:hideMark/>
          </w:tcPr>
          <w:p w14:paraId="03663ACF" w14:textId="77777777" w:rsidR="00864BB5" w:rsidRPr="00397A3E" w:rsidRDefault="00171C91" w:rsidP="00507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Residual confounding</w:t>
            </w:r>
          </w:p>
        </w:tc>
        <w:tc>
          <w:tcPr>
            <w:tcW w:w="1275" w:type="dxa"/>
            <w:tcBorders>
              <w:top w:val="single" w:sz="4" w:space="0" w:color="B5DDDC"/>
              <w:left w:val="nil"/>
              <w:bottom w:val="single" w:sz="4" w:space="0" w:color="B5DDDC"/>
              <w:right w:val="single" w:sz="4" w:space="0" w:color="B5DDDC"/>
            </w:tcBorders>
            <w:shd w:val="clear" w:color="000000" w:fill="B5DDDC"/>
            <w:vAlign w:val="center"/>
            <w:hideMark/>
          </w:tcPr>
          <w:p w14:paraId="03EAD937" w14:textId="77777777" w:rsidR="00864BB5" w:rsidRPr="00397A3E" w:rsidRDefault="00171C91" w:rsidP="00507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Consistency across species/model</w:t>
            </w:r>
          </w:p>
        </w:tc>
        <w:tc>
          <w:tcPr>
            <w:tcW w:w="1276" w:type="dxa"/>
            <w:tcBorders>
              <w:top w:val="single" w:sz="4" w:space="0" w:color="B5DDDC"/>
              <w:left w:val="nil"/>
              <w:bottom w:val="single" w:sz="4" w:space="0" w:color="B5DDDC"/>
              <w:right w:val="single" w:sz="4" w:space="0" w:color="B5DDDC"/>
            </w:tcBorders>
            <w:shd w:val="clear" w:color="000000" w:fill="B5DDDC"/>
            <w:vAlign w:val="center"/>
            <w:hideMark/>
          </w:tcPr>
          <w:p w14:paraId="639BC76E" w14:textId="77777777" w:rsidR="00864BB5" w:rsidRPr="00397A3E" w:rsidRDefault="00171C91" w:rsidP="00507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Other reason to increase confidence?</w:t>
            </w:r>
          </w:p>
        </w:tc>
        <w:tc>
          <w:tcPr>
            <w:tcW w:w="1276" w:type="dxa"/>
            <w:tcBorders>
              <w:top w:val="single" w:sz="4" w:space="0" w:color="B5DDDC"/>
              <w:left w:val="nil"/>
              <w:bottom w:val="single" w:sz="4" w:space="0" w:color="B5DDDC"/>
              <w:right w:val="single" w:sz="4" w:space="0" w:color="B5DDDC"/>
            </w:tcBorders>
            <w:shd w:val="clear" w:color="000000" w:fill="B5DDDC"/>
            <w:vAlign w:val="center"/>
            <w:hideMark/>
          </w:tcPr>
          <w:p w14:paraId="6A3EA67E" w14:textId="77777777" w:rsidR="00864BB5" w:rsidRPr="00397A3E" w:rsidRDefault="00171C91" w:rsidP="0050769B">
            <w:pPr>
              <w:spacing w:before="0" w:after="0" w:line="240" w:lineRule="auto"/>
              <w:rPr>
                <w:rFonts w:ascii="Calibri" w:hAnsi="Calibri" w:cs="Calibri"/>
                <w:b/>
                <w:bCs/>
                <w:noProof w:val="0"/>
                <w:color w:val="008000"/>
                <w:sz w:val="16"/>
                <w:szCs w:val="16"/>
              </w:rPr>
            </w:pPr>
            <w:r w:rsidRPr="00397A3E">
              <w:rPr>
                <w:rFonts w:ascii="Calibri" w:hAnsi="Calibri" w:cs="Calibri"/>
                <w:b/>
                <w:bCs/>
                <w:noProof w:val="0"/>
                <w:color w:val="008000"/>
                <w:sz w:val="16"/>
                <w:szCs w:val="16"/>
              </w:rPr>
              <w:t>Final certainty rating</w:t>
            </w:r>
          </w:p>
        </w:tc>
      </w:tr>
      <w:tr w:rsidR="00785848" w14:paraId="0DD34FFD" w14:textId="77777777" w:rsidTr="00E75E76">
        <w:trPr>
          <w:trHeight w:val="612"/>
        </w:trPr>
        <w:tc>
          <w:tcPr>
            <w:tcW w:w="1114" w:type="dxa"/>
            <w:tcBorders>
              <w:top w:val="single" w:sz="4" w:space="0" w:color="B5DDDC"/>
              <w:left w:val="single" w:sz="4" w:space="0" w:color="B5DDDC"/>
              <w:bottom w:val="single" w:sz="4" w:space="0" w:color="B5DDDC"/>
              <w:right w:val="single" w:sz="4" w:space="0" w:color="B5DDDC"/>
            </w:tcBorders>
            <w:shd w:val="clear" w:color="000000" w:fill="B5DDDC"/>
          </w:tcPr>
          <w:p w14:paraId="51F2C3AB" w14:textId="21646AE9" w:rsidR="00864BB5" w:rsidRPr="00E75E76" w:rsidRDefault="00171C91" w:rsidP="00864BB5">
            <w:pPr>
              <w:spacing w:before="0" w:after="0" w:line="240" w:lineRule="auto"/>
              <w:rPr>
                <w:rFonts w:ascii="Calibri" w:hAnsi="Calibri" w:cs="Calibri"/>
                <w:bCs/>
                <w:i/>
                <w:noProof w:val="0"/>
                <w:color w:val="008000"/>
                <w:sz w:val="16"/>
                <w:szCs w:val="16"/>
              </w:rPr>
            </w:pPr>
            <w:r w:rsidRPr="00E75E76">
              <w:rPr>
                <w:rFonts w:ascii="Calibri" w:hAnsi="Calibri" w:cs="Calibri"/>
                <w:bCs/>
                <w:i/>
                <w:noProof w:val="0"/>
                <w:color w:val="008000"/>
                <w:sz w:val="16"/>
                <w:szCs w:val="16"/>
              </w:rPr>
              <w:t>Evidence stream or study type (# studies)</w:t>
            </w:r>
          </w:p>
          <w:p w14:paraId="694965F0" w14:textId="77777777" w:rsidR="00864BB5" w:rsidRPr="00E75E76" w:rsidRDefault="00864BB5" w:rsidP="00864BB5">
            <w:pPr>
              <w:spacing w:before="0" w:after="0" w:line="240" w:lineRule="auto"/>
              <w:rPr>
                <w:rFonts w:ascii="Calibri" w:hAnsi="Calibri" w:cs="Calibri"/>
                <w:bCs/>
                <w:i/>
                <w:noProof w:val="0"/>
                <w:color w:val="008000"/>
                <w:sz w:val="16"/>
                <w:szCs w:val="16"/>
              </w:rPr>
            </w:pPr>
          </w:p>
          <w:p w14:paraId="3FD89AD4" w14:textId="77777777" w:rsidR="00864BB5" w:rsidRPr="00E75E76" w:rsidRDefault="00171C91" w:rsidP="00864BB5">
            <w:pPr>
              <w:spacing w:before="0" w:after="0" w:line="240" w:lineRule="auto"/>
              <w:rPr>
                <w:rFonts w:ascii="Calibri" w:hAnsi="Calibri" w:cs="Calibri"/>
                <w:bCs/>
                <w:i/>
                <w:noProof w:val="0"/>
                <w:color w:val="008000"/>
                <w:sz w:val="16"/>
                <w:szCs w:val="16"/>
              </w:rPr>
            </w:pPr>
            <w:r w:rsidRPr="00E75E76">
              <w:rPr>
                <w:rFonts w:ascii="Calibri" w:hAnsi="Calibri" w:cs="Calibri"/>
                <w:bCs/>
                <w:i/>
                <w:noProof w:val="0"/>
                <w:color w:val="008000"/>
                <w:sz w:val="16"/>
                <w:szCs w:val="16"/>
              </w:rPr>
              <w:t>Initial certainty rating</w:t>
            </w:r>
          </w:p>
          <w:p w14:paraId="388CB9C1" w14:textId="73B88D68" w:rsidR="00864BB5" w:rsidRPr="00E75E76" w:rsidRDefault="00171C91" w:rsidP="00864BB5">
            <w:pPr>
              <w:spacing w:before="0" w:after="0" w:line="240" w:lineRule="auto"/>
              <w:rPr>
                <w:rFonts w:ascii="Calibri" w:hAnsi="Calibri" w:cs="Calibri"/>
                <w:bCs/>
                <w:noProof w:val="0"/>
                <w:color w:val="008000"/>
                <w:sz w:val="16"/>
                <w:szCs w:val="16"/>
              </w:rPr>
            </w:pPr>
            <w:r w:rsidRPr="00E75E76">
              <w:rPr>
                <w:rFonts w:ascii="Calibri" w:hAnsi="Calibri" w:cs="Calibri"/>
                <w:bCs/>
                <w:i/>
                <w:noProof w:val="0"/>
                <w:color w:val="008000"/>
                <w:sz w:val="16"/>
                <w:szCs w:val="16"/>
              </w:rPr>
              <w:t>(OHAT,2019)</w:t>
            </w:r>
          </w:p>
        </w:tc>
        <w:tc>
          <w:tcPr>
            <w:tcW w:w="1149" w:type="dxa"/>
            <w:tcBorders>
              <w:top w:val="single" w:sz="4" w:space="0" w:color="B5DDDC"/>
              <w:left w:val="nil"/>
              <w:bottom w:val="single" w:sz="4" w:space="0" w:color="B5DDDC"/>
              <w:right w:val="single" w:sz="4" w:space="0" w:color="B5DDDC"/>
            </w:tcBorders>
            <w:shd w:val="clear" w:color="000000" w:fill="B5DDDC"/>
          </w:tcPr>
          <w:p w14:paraId="776592ED" w14:textId="77777777" w:rsidR="00864BB5" w:rsidRPr="00E75E76" w:rsidRDefault="00171C91" w:rsidP="00864BB5">
            <w:pPr>
              <w:spacing w:before="0" w:after="0" w:line="240" w:lineRule="auto"/>
              <w:rPr>
                <w:rFonts w:ascii="Calibri" w:hAnsi="Calibri" w:cs="Calibri"/>
                <w:bCs/>
                <w:i/>
                <w:noProof w:val="0"/>
                <w:color w:val="008000"/>
                <w:sz w:val="16"/>
                <w:szCs w:val="16"/>
              </w:rPr>
            </w:pPr>
            <w:r w:rsidRPr="00E75E76">
              <w:rPr>
                <w:rFonts w:ascii="Calibri" w:hAnsi="Calibri" w:cs="Calibri"/>
                <w:bCs/>
                <w:i/>
                <w:noProof w:val="0"/>
                <w:color w:val="008000"/>
                <w:sz w:val="16"/>
                <w:szCs w:val="16"/>
              </w:rPr>
              <w:t>Serious, not serious, unknown</w:t>
            </w:r>
          </w:p>
          <w:p w14:paraId="0EC2919A" w14:textId="77777777" w:rsidR="00864BB5" w:rsidRPr="00E75E76" w:rsidRDefault="00864BB5" w:rsidP="00864BB5">
            <w:pPr>
              <w:spacing w:before="0" w:after="0" w:line="240" w:lineRule="auto"/>
              <w:rPr>
                <w:rFonts w:ascii="Calibri" w:hAnsi="Calibri" w:cs="Calibri"/>
                <w:bCs/>
                <w:noProof w:val="0"/>
                <w:color w:val="008000"/>
                <w:sz w:val="16"/>
                <w:szCs w:val="16"/>
              </w:rPr>
            </w:pPr>
          </w:p>
          <w:p w14:paraId="7CABAB75" w14:textId="59586C07" w:rsidR="00864BB5" w:rsidRPr="00E75E76" w:rsidRDefault="00171C91" w:rsidP="00864BB5">
            <w:pPr>
              <w:spacing w:before="0" w:after="0" w:line="240" w:lineRule="auto"/>
              <w:rPr>
                <w:rFonts w:ascii="Calibri" w:hAnsi="Calibri" w:cs="Calibri"/>
                <w:bCs/>
                <w:noProof w:val="0"/>
                <w:color w:val="008000"/>
                <w:sz w:val="16"/>
                <w:szCs w:val="16"/>
              </w:rPr>
            </w:pPr>
            <w:r w:rsidRPr="00E75E76">
              <w:rPr>
                <w:rFonts w:ascii="Calibri" w:hAnsi="Calibri" w:cs="Calibri"/>
                <w:bCs/>
                <w:noProof w:val="0"/>
                <w:color w:val="008000"/>
                <w:sz w:val="16"/>
                <w:szCs w:val="16"/>
              </w:rPr>
              <w:t>Describe trends, key questions, issues</w:t>
            </w:r>
          </w:p>
        </w:tc>
        <w:tc>
          <w:tcPr>
            <w:tcW w:w="1225" w:type="dxa"/>
            <w:tcBorders>
              <w:top w:val="single" w:sz="4" w:space="0" w:color="B5DDDC"/>
              <w:left w:val="nil"/>
              <w:bottom w:val="single" w:sz="4" w:space="0" w:color="B5DDDC"/>
              <w:right w:val="single" w:sz="4" w:space="0" w:color="B5DDDC"/>
            </w:tcBorders>
            <w:shd w:val="clear" w:color="000000" w:fill="B5DDDC"/>
          </w:tcPr>
          <w:p w14:paraId="21C36E5C" w14:textId="77777777" w:rsidR="00864BB5" w:rsidRPr="00E75E76" w:rsidRDefault="00171C91" w:rsidP="00864BB5">
            <w:pPr>
              <w:spacing w:before="0" w:after="0" w:line="240" w:lineRule="auto"/>
              <w:rPr>
                <w:rFonts w:ascii="Calibri" w:hAnsi="Calibri" w:cs="Calibri"/>
                <w:bCs/>
                <w:i/>
                <w:noProof w:val="0"/>
                <w:color w:val="008000"/>
                <w:sz w:val="16"/>
                <w:szCs w:val="16"/>
              </w:rPr>
            </w:pPr>
            <w:r w:rsidRPr="00E75E76">
              <w:rPr>
                <w:rFonts w:ascii="Calibri" w:hAnsi="Calibri" w:cs="Calibri"/>
                <w:bCs/>
                <w:i/>
                <w:noProof w:val="0"/>
                <w:color w:val="008000"/>
                <w:sz w:val="16"/>
                <w:szCs w:val="16"/>
              </w:rPr>
              <w:t>Serious, not serious, not applicable (NA)</w:t>
            </w:r>
          </w:p>
          <w:p w14:paraId="616D76CB" w14:textId="77777777" w:rsidR="00864BB5" w:rsidRPr="00E75E76" w:rsidRDefault="00864BB5" w:rsidP="00864BB5">
            <w:pPr>
              <w:spacing w:before="0" w:after="0" w:line="240" w:lineRule="auto"/>
              <w:rPr>
                <w:rFonts w:ascii="Calibri" w:hAnsi="Calibri" w:cs="Calibri"/>
                <w:bCs/>
                <w:noProof w:val="0"/>
                <w:color w:val="008000"/>
                <w:sz w:val="16"/>
                <w:szCs w:val="16"/>
              </w:rPr>
            </w:pPr>
          </w:p>
          <w:p w14:paraId="60DDB006" w14:textId="3F732C80" w:rsidR="00864BB5" w:rsidRPr="00E75E76" w:rsidRDefault="00171C91" w:rsidP="00864BB5">
            <w:pPr>
              <w:spacing w:before="0" w:after="0" w:line="240" w:lineRule="auto"/>
              <w:rPr>
                <w:rFonts w:ascii="Calibri" w:hAnsi="Calibri" w:cs="Calibri"/>
                <w:bCs/>
                <w:noProof w:val="0"/>
                <w:color w:val="008000"/>
                <w:sz w:val="16"/>
                <w:szCs w:val="16"/>
              </w:rPr>
            </w:pPr>
            <w:r w:rsidRPr="00E75E76">
              <w:rPr>
                <w:rFonts w:ascii="Calibri" w:hAnsi="Calibri" w:cs="Calibri"/>
                <w:bCs/>
                <w:noProof w:val="0"/>
                <w:color w:val="008000"/>
                <w:sz w:val="16"/>
                <w:szCs w:val="16"/>
              </w:rPr>
              <w:t>Describe results in terms of consistency, explain apparent inconsistency</w:t>
            </w:r>
          </w:p>
        </w:tc>
        <w:tc>
          <w:tcPr>
            <w:tcW w:w="1169" w:type="dxa"/>
            <w:tcBorders>
              <w:top w:val="single" w:sz="4" w:space="0" w:color="B5DDDC"/>
              <w:left w:val="nil"/>
              <w:bottom w:val="single" w:sz="4" w:space="0" w:color="B5DDDC"/>
              <w:right w:val="single" w:sz="4" w:space="0" w:color="B5DDDC"/>
            </w:tcBorders>
            <w:shd w:val="clear" w:color="000000" w:fill="B5DDDC"/>
          </w:tcPr>
          <w:p w14:paraId="29B99E63" w14:textId="77777777" w:rsidR="00864BB5" w:rsidRPr="00E75E76" w:rsidRDefault="00171C91" w:rsidP="00864BB5">
            <w:pPr>
              <w:spacing w:before="0" w:after="0" w:line="240" w:lineRule="auto"/>
              <w:rPr>
                <w:rFonts w:ascii="Calibri" w:hAnsi="Calibri" w:cs="Calibri"/>
                <w:bCs/>
                <w:i/>
                <w:noProof w:val="0"/>
                <w:color w:val="008000"/>
                <w:sz w:val="16"/>
                <w:szCs w:val="16"/>
              </w:rPr>
            </w:pPr>
            <w:r w:rsidRPr="00E75E76">
              <w:rPr>
                <w:rFonts w:ascii="Calibri" w:hAnsi="Calibri" w:cs="Calibri"/>
                <w:bCs/>
                <w:i/>
                <w:noProof w:val="0"/>
                <w:color w:val="008000"/>
                <w:sz w:val="16"/>
                <w:szCs w:val="16"/>
              </w:rPr>
              <w:t>Serious or not serious, NA</w:t>
            </w:r>
          </w:p>
          <w:p w14:paraId="50FDF9EE" w14:textId="77777777" w:rsidR="00864BB5" w:rsidRPr="00E75E76" w:rsidRDefault="00864BB5" w:rsidP="00864BB5">
            <w:pPr>
              <w:spacing w:before="0" w:after="0" w:line="240" w:lineRule="auto"/>
              <w:rPr>
                <w:rFonts w:ascii="Calibri" w:hAnsi="Calibri" w:cs="Calibri"/>
                <w:bCs/>
                <w:noProof w:val="0"/>
                <w:color w:val="008000"/>
                <w:sz w:val="16"/>
                <w:szCs w:val="16"/>
              </w:rPr>
            </w:pPr>
          </w:p>
          <w:p w14:paraId="3A6A019E" w14:textId="77777777" w:rsidR="00864BB5" w:rsidRPr="00E75E76" w:rsidRDefault="00171C91" w:rsidP="00864BB5">
            <w:pPr>
              <w:spacing w:before="0" w:after="0" w:line="240" w:lineRule="auto"/>
              <w:rPr>
                <w:rFonts w:ascii="Calibri" w:hAnsi="Calibri" w:cs="Calibri"/>
                <w:bCs/>
                <w:noProof w:val="0"/>
                <w:color w:val="008000"/>
                <w:sz w:val="16"/>
                <w:szCs w:val="16"/>
              </w:rPr>
            </w:pPr>
            <w:r w:rsidRPr="00E75E76">
              <w:rPr>
                <w:rFonts w:ascii="Calibri" w:hAnsi="Calibri" w:cs="Calibri"/>
                <w:bCs/>
                <w:noProof w:val="0"/>
                <w:color w:val="008000"/>
                <w:sz w:val="16"/>
                <w:szCs w:val="16"/>
              </w:rPr>
              <w:t>Discuss use of upstream indicators or populations with less relevance, any</w:t>
            </w:r>
          </w:p>
          <w:p w14:paraId="33B6AE39" w14:textId="0FCCE24B" w:rsidR="00864BB5" w:rsidRPr="00E75E76" w:rsidRDefault="00171C91" w:rsidP="00864BB5">
            <w:pPr>
              <w:spacing w:before="0" w:after="0" w:line="240" w:lineRule="auto"/>
              <w:rPr>
                <w:rFonts w:ascii="Calibri" w:hAnsi="Calibri" w:cs="Calibri"/>
                <w:bCs/>
                <w:noProof w:val="0"/>
                <w:color w:val="008000"/>
                <w:sz w:val="16"/>
                <w:szCs w:val="16"/>
              </w:rPr>
            </w:pPr>
            <w:r w:rsidRPr="00E75E76">
              <w:rPr>
                <w:rFonts w:ascii="Calibri" w:hAnsi="Calibri" w:cs="Calibri"/>
                <w:bCs/>
                <w:noProof w:val="0"/>
                <w:color w:val="008000"/>
                <w:sz w:val="16"/>
                <w:szCs w:val="16"/>
              </w:rPr>
              <w:t>time-related exposure considerations</w:t>
            </w:r>
          </w:p>
        </w:tc>
        <w:tc>
          <w:tcPr>
            <w:tcW w:w="1180" w:type="dxa"/>
            <w:tcBorders>
              <w:top w:val="single" w:sz="4" w:space="0" w:color="B5DDDC"/>
              <w:left w:val="nil"/>
              <w:bottom w:val="single" w:sz="4" w:space="0" w:color="B5DDDC"/>
              <w:right w:val="single" w:sz="4" w:space="0" w:color="B5DDDC"/>
            </w:tcBorders>
            <w:shd w:val="clear" w:color="000000" w:fill="B5DDDC"/>
          </w:tcPr>
          <w:p w14:paraId="36364BA0" w14:textId="77777777" w:rsidR="00864BB5" w:rsidRPr="00E75E76" w:rsidRDefault="00171C91" w:rsidP="00864BB5">
            <w:pPr>
              <w:spacing w:before="0" w:after="0" w:line="240" w:lineRule="auto"/>
              <w:rPr>
                <w:rFonts w:ascii="Calibri" w:hAnsi="Calibri" w:cs="Calibri"/>
                <w:bCs/>
                <w:i/>
                <w:noProof w:val="0"/>
                <w:color w:val="008000"/>
                <w:sz w:val="16"/>
                <w:szCs w:val="16"/>
              </w:rPr>
            </w:pPr>
            <w:r w:rsidRPr="00E75E76">
              <w:rPr>
                <w:rFonts w:ascii="Calibri" w:hAnsi="Calibri" w:cs="Calibri"/>
                <w:bCs/>
                <w:i/>
                <w:noProof w:val="0"/>
                <w:color w:val="008000"/>
                <w:sz w:val="16"/>
                <w:szCs w:val="16"/>
              </w:rPr>
              <w:t>Serious, not serious, unknown, NA</w:t>
            </w:r>
          </w:p>
          <w:p w14:paraId="5C000AB8" w14:textId="77777777" w:rsidR="00864BB5" w:rsidRPr="00E75E76" w:rsidRDefault="00864BB5" w:rsidP="00864BB5">
            <w:pPr>
              <w:spacing w:before="0" w:after="0" w:line="240" w:lineRule="auto"/>
              <w:rPr>
                <w:rFonts w:ascii="Calibri" w:hAnsi="Calibri" w:cs="Calibri"/>
                <w:bCs/>
                <w:noProof w:val="0"/>
                <w:color w:val="008000"/>
                <w:sz w:val="16"/>
                <w:szCs w:val="16"/>
              </w:rPr>
            </w:pPr>
          </w:p>
          <w:p w14:paraId="02468499" w14:textId="08A82DA2" w:rsidR="00864BB5" w:rsidRPr="00E75E76" w:rsidRDefault="00171C91" w:rsidP="00864BB5">
            <w:pPr>
              <w:spacing w:before="0" w:after="0" w:line="240" w:lineRule="auto"/>
              <w:rPr>
                <w:rFonts w:ascii="Calibri" w:hAnsi="Calibri" w:cs="Calibri"/>
                <w:bCs/>
                <w:noProof w:val="0"/>
                <w:color w:val="008000"/>
                <w:sz w:val="16"/>
                <w:szCs w:val="16"/>
              </w:rPr>
            </w:pPr>
            <w:r w:rsidRPr="00E75E76">
              <w:rPr>
                <w:rFonts w:ascii="Calibri" w:hAnsi="Calibri" w:cs="Calibri"/>
                <w:bCs/>
                <w:noProof w:val="0"/>
                <w:color w:val="008000"/>
                <w:sz w:val="16"/>
                <w:szCs w:val="16"/>
              </w:rPr>
              <w:t>Discuss ability to distinguish treatment from control, describe confidence intervals (if available)</w:t>
            </w:r>
          </w:p>
        </w:tc>
        <w:tc>
          <w:tcPr>
            <w:tcW w:w="1101" w:type="dxa"/>
            <w:tcBorders>
              <w:top w:val="single" w:sz="4" w:space="0" w:color="B5DDDC"/>
              <w:left w:val="nil"/>
              <w:bottom w:val="single" w:sz="4" w:space="0" w:color="B5DDDC"/>
              <w:right w:val="single" w:sz="4" w:space="0" w:color="B5DDDC"/>
            </w:tcBorders>
            <w:shd w:val="clear" w:color="000000" w:fill="B5DDDC"/>
          </w:tcPr>
          <w:p w14:paraId="3CC9A018" w14:textId="77777777" w:rsidR="00864BB5" w:rsidRPr="00E75E76" w:rsidRDefault="00171C91" w:rsidP="00864BB5">
            <w:pPr>
              <w:spacing w:before="0" w:after="0" w:line="240" w:lineRule="auto"/>
              <w:rPr>
                <w:rFonts w:ascii="Calibri" w:hAnsi="Calibri" w:cs="Calibri"/>
                <w:bCs/>
                <w:i/>
                <w:noProof w:val="0"/>
                <w:color w:val="008000"/>
                <w:sz w:val="16"/>
                <w:szCs w:val="16"/>
              </w:rPr>
            </w:pPr>
            <w:r w:rsidRPr="00E75E76">
              <w:rPr>
                <w:rFonts w:ascii="Calibri" w:hAnsi="Calibri" w:cs="Calibri"/>
                <w:bCs/>
                <w:i/>
                <w:noProof w:val="0"/>
                <w:color w:val="008000"/>
                <w:sz w:val="16"/>
                <w:szCs w:val="16"/>
              </w:rPr>
              <w:t>Detected, undetected</w:t>
            </w:r>
          </w:p>
          <w:p w14:paraId="1E0F9F4C" w14:textId="77777777" w:rsidR="00864BB5" w:rsidRPr="00E75E76" w:rsidRDefault="00864BB5" w:rsidP="00864BB5">
            <w:pPr>
              <w:spacing w:before="0" w:after="0" w:line="240" w:lineRule="auto"/>
              <w:rPr>
                <w:rFonts w:ascii="Calibri" w:hAnsi="Calibri" w:cs="Calibri"/>
                <w:bCs/>
                <w:noProof w:val="0"/>
                <w:color w:val="008000"/>
                <w:sz w:val="16"/>
                <w:szCs w:val="16"/>
              </w:rPr>
            </w:pPr>
          </w:p>
          <w:p w14:paraId="6659846C" w14:textId="585EF3A2" w:rsidR="00864BB5" w:rsidRPr="00E75E76" w:rsidRDefault="00171C91" w:rsidP="00864BB5">
            <w:pPr>
              <w:spacing w:before="0" w:after="0" w:line="240" w:lineRule="auto"/>
              <w:rPr>
                <w:rFonts w:ascii="Calibri" w:hAnsi="Calibri" w:cs="Calibri"/>
                <w:bCs/>
                <w:noProof w:val="0"/>
                <w:color w:val="008000"/>
                <w:sz w:val="16"/>
                <w:szCs w:val="16"/>
              </w:rPr>
            </w:pPr>
            <w:r w:rsidRPr="00E75E76">
              <w:rPr>
                <w:rFonts w:ascii="Calibri" w:hAnsi="Calibri" w:cs="Calibri"/>
                <w:bCs/>
                <w:noProof w:val="0"/>
                <w:color w:val="008000"/>
                <w:sz w:val="16"/>
                <w:szCs w:val="16"/>
              </w:rPr>
              <w:t>Discuss factors that might indicate publication bias (e.g., funding, lag)</w:t>
            </w:r>
          </w:p>
        </w:tc>
        <w:tc>
          <w:tcPr>
            <w:tcW w:w="1203" w:type="dxa"/>
            <w:tcBorders>
              <w:top w:val="single" w:sz="4" w:space="0" w:color="B5DDDC"/>
              <w:left w:val="nil"/>
              <w:bottom w:val="single" w:sz="4" w:space="0" w:color="B5DDDC"/>
              <w:right w:val="single" w:sz="4" w:space="0" w:color="B5DDDC"/>
            </w:tcBorders>
            <w:shd w:val="clear" w:color="000000" w:fill="B5DDDC"/>
          </w:tcPr>
          <w:p w14:paraId="15245EE8" w14:textId="77777777" w:rsidR="00864BB5" w:rsidRPr="00E75E76" w:rsidRDefault="00171C91" w:rsidP="00864BB5">
            <w:pPr>
              <w:spacing w:before="0" w:after="0" w:line="240" w:lineRule="auto"/>
              <w:rPr>
                <w:rFonts w:ascii="Calibri" w:hAnsi="Calibri" w:cs="Calibri"/>
                <w:bCs/>
                <w:i/>
                <w:noProof w:val="0"/>
                <w:color w:val="008000"/>
                <w:sz w:val="16"/>
                <w:szCs w:val="16"/>
              </w:rPr>
            </w:pPr>
            <w:r w:rsidRPr="00E75E76">
              <w:rPr>
                <w:rFonts w:ascii="Calibri" w:hAnsi="Calibri" w:cs="Calibri"/>
                <w:bCs/>
                <w:i/>
                <w:noProof w:val="0"/>
                <w:color w:val="008000"/>
                <w:sz w:val="16"/>
                <w:szCs w:val="16"/>
              </w:rPr>
              <w:t>Large, not large, unknown, NA</w:t>
            </w:r>
          </w:p>
          <w:p w14:paraId="2F59B609" w14:textId="77777777" w:rsidR="00864BB5" w:rsidRPr="00E75E76" w:rsidRDefault="00864BB5" w:rsidP="00864BB5">
            <w:pPr>
              <w:spacing w:before="0" w:after="0" w:line="240" w:lineRule="auto"/>
              <w:rPr>
                <w:rFonts w:ascii="Calibri" w:hAnsi="Calibri" w:cs="Calibri"/>
                <w:bCs/>
                <w:noProof w:val="0"/>
                <w:color w:val="008000"/>
                <w:sz w:val="16"/>
                <w:szCs w:val="16"/>
              </w:rPr>
            </w:pPr>
          </w:p>
          <w:p w14:paraId="133A0ED6" w14:textId="1FA94340" w:rsidR="00864BB5" w:rsidRPr="00E75E76" w:rsidRDefault="00171C91" w:rsidP="00864BB5">
            <w:pPr>
              <w:spacing w:before="0" w:after="0" w:line="240" w:lineRule="auto"/>
              <w:rPr>
                <w:rFonts w:ascii="Calibri" w:hAnsi="Calibri" w:cs="Calibri"/>
                <w:bCs/>
                <w:noProof w:val="0"/>
                <w:color w:val="008000"/>
                <w:sz w:val="16"/>
                <w:szCs w:val="16"/>
              </w:rPr>
            </w:pPr>
            <w:r w:rsidRPr="00E75E76">
              <w:rPr>
                <w:rFonts w:ascii="Calibri" w:hAnsi="Calibri" w:cs="Calibri"/>
                <w:bCs/>
                <w:noProof w:val="0"/>
                <w:color w:val="008000"/>
                <w:sz w:val="16"/>
                <w:szCs w:val="16"/>
              </w:rPr>
              <w:t>Describe magnitude of response or strength of association</w:t>
            </w:r>
          </w:p>
        </w:tc>
        <w:tc>
          <w:tcPr>
            <w:tcW w:w="1210" w:type="dxa"/>
            <w:tcBorders>
              <w:top w:val="single" w:sz="4" w:space="0" w:color="B5DDDC"/>
              <w:left w:val="nil"/>
              <w:bottom w:val="single" w:sz="4" w:space="0" w:color="B5DDDC"/>
              <w:right w:val="single" w:sz="4" w:space="0" w:color="B5DDDC"/>
            </w:tcBorders>
            <w:shd w:val="clear" w:color="000000" w:fill="B5DDDC"/>
          </w:tcPr>
          <w:p w14:paraId="4DF8A9AF" w14:textId="77777777" w:rsidR="00864BB5" w:rsidRPr="00E75E76" w:rsidRDefault="00171C91" w:rsidP="00864BB5">
            <w:pPr>
              <w:spacing w:before="0" w:after="0" w:line="240" w:lineRule="auto"/>
              <w:rPr>
                <w:rFonts w:ascii="Calibri" w:hAnsi="Calibri" w:cs="Calibri"/>
                <w:bCs/>
                <w:i/>
                <w:noProof w:val="0"/>
                <w:color w:val="008000"/>
                <w:sz w:val="16"/>
                <w:szCs w:val="16"/>
              </w:rPr>
            </w:pPr>
            <w:r w:rsidRPr="00E75E76">
              <w:rPr>
                <w:rFonts w:ascii="Calibri" w:hAnsi="Calibri" w:cs="Calibri"/>
                <w:bCs/>
                <w:i/>
                <w:noProof w:val="0"/>
                <w:color w:val="008000"/>
                <w:sz w:val="16"/>
                <w:szCs w:val="16"/>
              </w:rPr>
              <w:t>Yes, no, unknown</w:t>
            </w:r>
          </w:p>
          <w:p w14:paraId="5792829A" w14:textId="77777777" w:rsidR="00864BB5" w:rsidRPr="00E75E76" w:rsidRDefault="00864BB5" w:rsidP="00864BB5">
            <w:pPr>
              <w:spacing w:before="0" w:after="0" w:line="240" w:lineRule="auto"/>
              <w:rPr>
                <w:rFonts w:ascii="Calibri" w:hAnsi="Calibri" w:cs="Calibri"/>
                <w:bCs/>
                <w:noProof w:val="0"/>
                <w:color w:val="008000"/>
                <w:sz w:val="16"/>
                <w:szCs w:val="16"/>
              </w:rPr>
            </w:pPr>
          </w:p>
          <w:p w14:paraId="3557EBEE" w14:textId="2AA93A98" w:rsidR="00864BB5" w:rsidRPr="00E75E76" w:rsidRDefault="00171C91" w:rsidP="007270CD">
            <w:pPr>
              <w:spacing w:before="0" w:after="0" w:line="240" w:lineRule="auto"/>
              <w:rPr>
                <w:rFonts w:ascii="Calibri" w:hAnsi="Calibri" w:cs="Calibri"/>
                <w:bCs/>
                <w:noProof w:val="0"/>
                <w:color w:val="008000"/>
                <w:sz w:val="16"/>
                <w:szCs w:val="16"/>
              </w:rPr>
            </w:pPr>
            <w:r w:rsidRPr="00E75E76">
              <w:rPr>
                <w:rFonts w:ascii="Calibri" w:hAnsi="Calibri" w:cs="Calibri"/>
                <w:bCs/>
                <w:noProof w:val="0"/>
                <w:color w:val="008000"/>
                <w:sz w:val="16"/>
                <w:szCs w:val="16"/>
              </w:rPr>
              <w:t>Outline evidence for or against dose response</w:t>
            </w:r>
          </w:p>
        </w:tc>
        <w:tc>
          <w:tcPr>
            <w:tcW w:w="1276" w:type="dxa"/>
            <w:tcBorders>
              <w:top w:val="single" w:sz="4" w:space="0" w:color="B5DDDC"/>
              <w:left w:val="nil"/>
              <w:bottom w:val="single" w:sz="4" w:space="0" w:color="B5DDDC"/>
              <w:right w:val="single" w:sz="4" w:space="0" w:color="B5DDDC"/>
            </w:tcBorders>
            <w:shd w:val="clear" w:color="000000" w:fill="B5DDDC"/>
          </w:tcPr>
          <w:p w14:paraId="696E93E9" w14:textId="77777777" w:rsidR="00864BB5" w:rsidRPr="00E75E76" w:rsidRDefault="00171C91" w:rsidP="00607A82">
            <w:pPr>
              <w:spacing w:before="0" w:after="0" w:line="240" w:lineRule="auto"/>
              <w:rPr>
                <w:rFonts w:ascii="Calibri" w:hAnsi="Calibri" w:cs="Calibri"/>
                <w:bCs/>
                <w:i/>
                <w:noProof w:val="0"/>
                <w:color w:val="008000"/>
                <w:sz w:val="16"/>
                <w:szCs w:val="16"/>
              </w:rPr>
            </w:pPr>
            <w:r w:rsidRPr="00E75E76">
              <w:rPr>
                <w:rFonts w:ascii="Calibri" w:hAnsi="Calibri" w:cs="Calibri"/>
                <w:bCs/>
                <w:i/>
                <w:noProof w:val="0"/>
                <w:color w:val="008000"/>
                <w:sz w:val="16"/>
                <w:szCs w:val="16"/>
              </w:rPr>
              <w:t>Yes, no, unknown</w:t>
            </w:r>
          </w:p>
          <w:p w14:paraId="522D3539" w14:textId="77777777" w:rsidR="00864BB5" w:rsidRPr="00E75E76" w:rsidRDefault="00864BB5" w:rsidP="00E75E76">
            <w:pPr>
              <w:spacing w:before="0" w:after="0" w:line="240" w:lineRule="auto"/>
              <w:rPr>
                <w:rFonts w:ascii="Calibri" w:hAnsi="Calibri" w:cs="Calibri"/>
                <w:bCs/>
                <w:noProof w:val="0"/>
                <w:color w:val="008000"/>
                <w:sz w:val="16"/>
                <w:szCs w:val="16"/>
              </w:rPr>
            </w:pPr>
          </w:p>
          <w:p w14:paraId="0902C82E" w14:textId="2B5FB4E8" w:rsidR="00864BB5" w:rsidRPr="00E75E76" w:rsidRDefault="00171C91" w:rsidP="00E75E76">
            <w:pPr>
              <w:spacing w:before="0" w:after="0" w:line="240" w:lineRule="auto"/>
              <w:rPr>
                <w:rFonts w:ascii="Calibri" w:hAnsi="Calibri" w:cs="Calibri"/>
                <w:bCs/>
                <w:noProof w:val="0"/>
                <w:color w:val="008000"/>
                <w:sz w:val="16"/>
                <w:szCs w:val="16"/>
              </w:rPr>
            </w:pPr>
            <w:r w:rsidRPr="00E75E76">
              <w:rPr>
                <w:rFonts w:ascii="Calibri" w:hAnsi="Calibri" w:cs="Calibri"/>
                <w:bCs/>
                <w:noProof w:val="0"/>
                <w:color w:val="008000"/>
                <w:sz w:val="16"/>
                <w:szCs w:val="16"/>
              </w:rPr>
              <w:t>Address whether there is evidence that confounding would bias toward null</w:t>
            </w:r>
          </w:p>
        </w:tc>
        <w:tc>
          <w:tcPr>
            <w:tcW w:w="1275" w:type="dxa"/>
            <w:tcBorders>
              <w:top w:val="single" w:sz="4" w:space="0" w:color="B5DDDC"/>
              <w:left w:val="nil"/>
              <w:bottom w:val="single" w:sz="4" w:space="0" w:color="B5DDDC"/>
              <w:right w:val="single" w:sz="4" w:space="0" w:color="B5DDDC"/>
            </w:tcBorders>
            <w:shd w:val="clear" w:color="000000" w:fill="B5DDDC"/>
          </w:tcPr>
          <w:p w14:paraId="3960FDD6" w14:textId="77777777" w:rsidR="00864BB5" w:rsidRPr="00E75E76" w:rsidRDefault="00171C91" w:rsidP="00E75E76">
            <w:pPr>
              <w:spacing w:before="0" w:after="0" w:line="240" w:lineRule="auto"/>
              <w:rPr>
                <w:rFonts w:ascii="Calibri" w:hAnsi="Calibri" w:cs="Calibri"/>
                <w:bCs/>
                <w:i/>
                <w:noProof w:val="0"/>
                <w:color w:val="008000"/>
                <w:sz w:val="16"/>
                <w:szCs w:val="16"/>
              </w:rPr>
            </w:pPr>
            <w:r w:rsidRPr="00E75E76">
              <w:rPr>
                <w:rFonts w:ascii="Calibri" w:hAnsi="Calibri" w:cs="Calibri"/>
                <w:bCs/>
                <w:i/>
                <w:noProof w:val="0"/>
                <w:color w:val="008000"/>
                <w:sz w:val="16"/>
                <w:szCs w:val="16"/>
              </w:rPr>
              <w:t>Yes, no, NA</w:t>
            </w:r>
          </w:p>
          <w:p w14:paraId="58F6D960" w14:textId="77777777" w:rsidR="00864BB5" w:rsidRPr="00E75E76" w:rsidRDefault="00864BB5" w:rsidP="00AB577D">
            <w:pPr>
              <w:spacing w:before="0" w:after="0" w:line="240" w:lineRule="auto"/>
              <w:rPr>
                <w:rFonts w:ascii="Calibri" w:hAnsi="Calibri" w:cs="Calibri"/>
                <w:bCs/>
                <w:noProof w:val="0"/>
                <w:color w:val="008000"/>
                <w:sz w:val="16"/>
                <w:szCs w:val="16"/>
              </w:rPr>
            </w:pPr>
          </w:p>
          <w:p w14:paraId="4AC64176" w14:textId="10FE2187" w:rsidR="00864BB5" w:rsidRPr="00E75E76" w:rsidRDefault="00171C91" w:rsidP="00AB577D">
            <w:pPr>
              <w:spacing w:before="0" w:after="0" w:line="240" w:lineRule="auto"/>
              <w:rPr>
                <w:rFonts w:ascii="Calibri" w:hAnsi="Calibri" w:cs="Calibri"/>
                <w:bCs/>
                <w:noProof w:val="0"/>
                <w:color w:val="008000"/>
                <w:sz w:val="16"/>
                <w:szCs w:val="16"/>
              </w:rPr>
            </w:pPr>
            <w:r w:rsidRPr="00E75E76">
              <w:rPr>
                <w:rFonts w:ascii="Calibri" w:hAnsi="Calibri" w:cs="Calibri"/>
                <w:bCs/>
                <w:noProof w:val="0"/>
                <w:color w:val="008000"/>
                <w:sz w:val="16"/>
                <w:szCs w:val="16"/>
              </w:rPr>
              <w:t>Describe cross-species, model, or population consistency</w:t>
            </w:r>
          </w:p>
        </w:tc>
        <w:tc>
          <w:tcPr>
            <w:tcW w:w="1276" w:type="dxa"/>
            <w:tcBorders>
              <w:top w:val="single" w:sz="4" w:space="0" w:color="B5DDDC"/>
              <w:left w:val="nil"/>
              <w:bottom w:val="single" w:sz="4" w:space="0" w:color="B5DDDC"/>
              <w:right w:val="single" w:sz="4" w:space="0" w:color="B5DDDC"/>
            </w:tcBorders>
            <w:shd w:val="clear" w:color="000000" w:fill="B5DDDC"/>
          </w:tcPr>
          <w:p w14:paraId="517105F1" w14:textId="77777777" w:rsidR="00864BB5" w:rsidRPr="00E75E76" w:rsidRDefault="00171C91" w:rsidP="00AB577D">
            <w:pPr>
              <w:spacing w:before="0" w:after="0" w:line="240" w:lineRule="auto"/>
              <w:rPr>
                <w:rFonts w:ascii="Calibri" w:hAnsi="Calibri" w:cs="Calibri"/>
                <w:bCs/>
                <w:i/>
                <w:noProof w:val="0"/>
                <w:color w:val="008000"/>
                <w:sz w:val="16"/>
                <w:szCs w:val="16"/>
              </w:rPr>
            </w:pPr>
            <w:r w:rsidRPr="00E75E76">
              <w:rPr>
                <w:rFonts w:ascii="Calibri" w:hAnsi="Calibri" w:cs="Calibri"/>
                <w:bCs/>
                <w:i/>
                <w:noProof w:val="0"/>
                <w:color w:val="008000"/>
                <w:sz w:val="16"/>
                <w:szCs w:val="16"/>
              </w:rPr>
              <w:t>Yes or no</w:t>
            </w:r>
          </w:p>
          <w:p w14:paraId="77FDD26D" w14:textId="77777777" w:rsidR="00864BB5" w:rsidRPr="00E75E76" w:rsidRDefault="00864BB5" w:rsidP="00AB577D">
            <w:pPr>
              <w:spacing w:before="0" w:after="0" w:line="240" w:lineRule="auto"/>
              <w:rPr>
                <w:rFonts w:ascii="Calibri" w:hAnsi="Calibri" w:cs="Calibri"/>
                <w:bCs/>
                <w:noProof w:val="0"/>
                <w:color w:val="008000"/>
                <w:sz w:val="16"/>
                <w:szCs w:val="16"/>
              </w:rPr>
            </w:pPr>
          </w:p>
          <w:p w14:paraId="32CA20E9" w14:textId="5F7EA4AB" w:rsidR="00864BB5" w:rsidRPr="00E75E76" w:rsidRDefault="00171C91" w:rsidP="00AB577D">
            <w:pPr>
              <w:spacing w:before="0" w:after="0" w:line="240" w:lineRule="auto"/>
              <w:rPr>
                <w:rFonts w:ascii="Calibri" w:hAnsi="Calibri" w:cs="Calibri"/>
                <w:bCs/>
                <w:noProof w:val="0"/>
                <w:color w:val="008000"/>
                <w:sz w:val="16"/>
                <w:szCs w:val="16"/>
              </w:rPr>
            </w:pPr>
            <w:r w:rsidRPr="00E75E76">
              <w:rPr>
                <w:rFonts w:ascii="Calibri" w:hAnsi="Calibri" w:cs="Calibri"/>
                <w:bCs/>
                <w:noProof w:val="0"/>
                <w:color w:val="008000"/>
                <w:sz w:val="16"/>
                <w:szCs w:val="16"/>
              </w:rPr>
              <w:t>Describe any other factors that increase confidence in the results</w:t>
            </w:r>
          </w:p>
        </w:tc>
        <w:tc>
          <w:tcPr>
            <w:tcW w:w="1276" w:type="dxa"/>
            <w:tcBorders>
              <w:top w:val="single" w:sz="4" w:space="0" w:color="B5DDDC"/>
              <w:left w:val="nil"/>
              <w:bottom w:val="single" w:sz="4" w:space="0" w:color="B5DDDC"/>
              <w:right w:val="single" w:sz="4" w:space="0" w:color="B5DDDC"/>
            </w:tcBorders>
            <w:shd w:val="clear" w:color="000000" w:fill="B5DDDC"/>
          </w:tcPr>
          <w:p w14:paraId="08F49903" w14:textId="77777777" w:rsidR="00864BB5" w:rsidRPr="00E75E76" w:rsidRDefault="00171C91" w:rsidP="00AB577D">
            <w:pPr>
              <w:spacing w:before="0" w:after="0" w:line="240" w:lineRule="auto"/>
              <w:rPr>
                <w:rFonts w:ascii="Calibri" w:hAnsi="Calibri" w:cs="Calibri"/>
                <w:bCs/>
                <w:i/>
                <w:noProof w:val="0"/>
                <w:color w:val="008000"/>
                <w:sz w:val="16"/>
                <w:szCs w:val="16"/>
              </w:rPr>
            </w:pPr>
            <w:r w:rsidRPr="00E75E76">
              <w:rPr>
                <w:rFonts w:ascii="Calibri" w:hAnsi="Calibri" w:cs="Calibri"/>
                <w:bCs/>
                <w:i/>
                <w:noProof w:val="0"/>
                <w:color w:val="008000"/>
                <w:sz w:val="16"/>
                <w:szCs w:val="16"/>
              </w:rPr>
              <w:t>High, moderate, low or very low</w:t>
            </w:r>
          </w:p>
          <w:p w14:paraId="2A9EAC0F" w14:textId="77777777" w:rsidR="00864BB5" w:rsidRPr="00E75E76" w:rsidRDefault="00864BB5" w:rsidP="00AB577D">
            <w:pPr>
              <w:spacing w:before="0" w:after="0" w:line="240" w:lineRule="auto"/>
              <w:rPr>
                <w:rFonts w:ascii="Calibri" w:hAnsi="Calibri" w:cs="Calibri"/>
                <w:bCs/>
                <w:noProof w:val="0"/>
                <w:color w:val="008000"/>
                <w:sz w:val="16"/>
                <w:szCs w:val="16"/>
              </w:rPr>
            </w:pPr>
          </w:p>
          <w:p w14:paraId="0F5D6AB5" w14:textId="243B761F" w:rsidR="00864BB5" w:rsidRPr="00E75E76" w:rsidRDefault="00171C91" w:rsidP="00AB577D">
            <w:pPr>
              <w:spacing w:before="0" w:after="0" w:line="240" w:lineRule="auto"/>
              <w:rPr>
                <w:rFonts w:ascii="Calibri" w:hAnsi="Calibri" w:cs="Calibri"/>
                <w:bCs/>
                <w:noProof w:val="0"/>
                <w:color w:val="008000"/>
                <w:sz w:val="16"/>
                <w:szCs w:val="16"/>
              </w:rPr>
            </w:pPr>
            <w:r w:rsidRPr="00E75E76">
              <w:rPr>
                <w:rFonts w:ascii="Calibri" w:hAnsi="Calibri" w:cs="Calibri"/>
                <w:bCs/>
                <w:noProof w:val="0"/>
                <w:color w:val="008000"/>
                <w:sz w:val="16"/>
                <w:szCs w:val="16"/>
              </w:rPr>
              <w:t>List reasons for down-grading or upgrading</w:t>
            </w:r>
          </w:p>
        </w:tc>
      </w:tr>
      <w:tr w:rsidR="00785848" w14:paraId="4B38BA22" w14:textId="77777777" w:rsidTr="00E75E76">
        <w:tblPrEx>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Ex>
        <w:trPr>
          <w:cantSplit/>
          <w:trHeight w:val="336"/>
          <w:tblHeader/>
        </w:trPr>
        <w:tc>
          <w:tcPr>
            <w:tcW w:w="14454" w:type="dxa"/>
            <w:gridSpan w:val="12"/>
            <w:shd w:val="clear" w:color="000000" w:fill="D6EAEB"/>
            <w:vAlign w:val="center"/>
            <w:hideMark/>
          </w:tcPr>
          <w:p w14:paraId="3DB7B21C" w14:textId="77777777" w:rsidR="00E75E76" w:rsidRPr="00397A3E" w:rsidRDefault="00171C91" w:rsidP="008E7D9C">
            <w:pPr>
              <w:spacing w:before="0" w:after="0" w:line="240" w:lineRule="auto"/>
              <w:rPr>
                <w:rFonts w:ascii="Calibri" w:hAnsi="Calibri" w:cs="Calibri"/>
                <w:b/>
                <w:bCs/>
                <w:noProof w:val="0"/>
                <w:color w:val="000000"/>
                <w:sz w:val="16"/>
                <w:szCs w:val="16"/>
              </w:rPr>
            </w:pPr>
            <w:r w:rsidRPr="00397A3E">
              <w:rPr>
                <w:rFonts w:ascii="Calibri" w:hAnsi="Calibri" w:cs="Calibri"/>
                <w:b/>
                <w:bCs/>
                <w:noProof w:val="0"/>
                <w:color w:val="000000"/>
                <w:sz w:val="16"/>
                <w:szCs w:val="16"/>
              </w:rPr>
              <w:t xml:space="preserve">Research question: </w:t>
            </w:r>
            <w:r w:rsidRPr="00397A3E">
              <w:rPr>
                <w:rFonts w:ascii="Calibri" w:hAnsi="Calibri" w:cs="Calibri"/>
                <w:i/>
                <w:iCs/>
                <w:noProof w:val="0"/>
                <w:color w:val="000000"/>
                <w:sz w:val="16"/>
                <w:szCs w:val="16"/>
              </w:rPr>
              <w:t>How can we monitor, assess, and predict risks from diffuse and point source microbial contamination in recreational waters?</w:t>
            </w:r>
          </w:p>
        </w:tc>
      </w:tr>
      <w:tr w:rsidR="00785848" w14:paraId="50196C37" w14:textId="77777777" w:rsidTr="00E75E76">
        <w:tblPrEx>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Ex>
        <w:trPr>
          <w:cantSplit/>
          <w:trHeight w:val="240"/>
          <w:tblHeader/>
        </w:trPr>
        <w:tc>
          <w:tcPr>
            <w:tcW w:w="14454" w:type="dxa"/>
            <w:gridSpan w:val="12"/>
            <w:shd w:val="clear" w:color="000000" w:fill="D6EAEB"/>
            <w:vAlign w:val="center"/>
            <w:hideMark/>
          </w:tcPr>
          <w:p w14:paraId="5A497BA6" w14:textId="77777777" w:rsidR="00E75E76" w:rsidRPr="00397A3E" w:rsidRDefault="00171C91" w:rsidP="008E7D9C">
            <w:pPr>
              <w:spacing w:before="0" w:after="0" w:line="240" w:lineRule="auto"/>
              <w:rPr>
                <w:rFonts w:ascii="Calibri" w:hAnsi="Calibri" w:cs="Calibri"/>
                <w:b/>
                <w:bCs/>
                <w:noProof w:val="0"/>
                <w:color w:val="000000"/>
                <w:sz w:val="16"/>
                <w:szCs w:val="16"/>
              </w:rPr>
            </w:pPr>
            <w:r w:rsidRPr="00397A3E">
              <w:rPr>
                <w:rFonts w:ascii="Calibri" w:hAnsi="Calibri" w:cs="Calibri"/>
                <w:b/>
                <w:bCs/>
                <w:noProof w:val="0"/>
                <w:color w:val="000000"/>
                <w:sz w:val="16"/>
                <w:szCs w:val="16"/>
              </w:rPr>
              <w:t>Outcome 1. Study describes methods for assessing and predicting microbial risks in recreational waters from diffuse and point sources.</w:t>
            </w:r>
          </w:p>
        </w:tc>
      </w:tr>
      <w:tr w:rsidR="00785848" w14:paraId="2F70901C" w14:textId="77777777" w:rsidTr="00E75E76">
        <w:trPr>
          <w:trHeight w:val="444"/>
        </w:trPr>
        <w:tc>
          <w:tcPr>
            <w:tcW w:w="1114" w:type="dxa"/>
            <w:tcBorders>
              <w:top w:val="nil"/>
              <w:left w:val="single" w:sz="4" w:space="0" w:color="B5DDDC"/>
              <w:bottom w:val="single" w:sz="4" w:space="0" w:color="B5DDDC"/>
              <w:right w:val="single" w:sz="4" w:space="0" w:color="B5DDDC"/>
            </w:tcBorders>
            <w:vAlign w:val="center"/>
          </w:tcPr>
          <w:p w14:paraId="5DCA22D3" w14:textId="77777777" w:rsidR="005849FB" w:rsidRDefault="00171C91" w:rsidP="00607A82">
            <w:pPr>
              <w:spacing w:before="0" w:after="0" w:line="240" w:lineRule="auto"/>
              <w:rPr>
                <w:rFonts w:ascii="Calibri" w:hAnsi="Calibri" w:cs="Calibri"/>
                <w:b/>
                <w:noProof w:val="0"/>
                <w:color w:val="000000"/>
                <w:sz w:val="16"/>
                <w:szCs w:val="16"/>
              </w:rPr>
            </w:pPr>
            <w:r>
              <w:rPr>
                <w:rFonts w:ascii="Calibri" w:hAnsi="Calibri" w:cs="Calibri"/>
                <w:b/>
                <w:noProof w:val="0"/>
                <w:color w:val="000000"/>
                <w:sz w:val="16"/>
                <w:szCs w:val="16"/>
              </w:rPr>
              <w:t>Systematic review (</w:t>
            </w:r>
            <w:r w:rsidR="00D21940">
              <w:rPr>
                <w:rFonts w:ascii="Calibri" w:hAnsi="Calibri" w:cs="Calibri"/>
                <w:b/>
                <w:noProof w:val="0"/>
                <w:color w:val="000000"/>
                <w:sz w:val="16"/>
                <w:szCs w:val="16"/>
              </w:rPr>
              <w:t>1</w:t>
            </w:r>
            <w:r>
              <w:rPr>
                <w:rFonts w:ascii="Calibri" w:hAnsi="Calibri" w:cs="Calibri"/>
                <w:b/>
                <w:noProof w:val="0"/>
                <w:color w:val="000000"/>
                <w:sz w:val="16"/>
                <w:szCs w:val="16"/>
              </w:rPr>
              <w:t>)</w:t>
            </w:r>
          </w:p>
          <w:p w14:paraId="6C1CF92F" w14:textId="6F8E68E4" w:rsidR="00E75E76" w:rsidRPr="00435A51" w:rsidRDefault="00171C91" w:rsidP="00607A82">
            <w:pPr>
              <w:spacing w:before="0" w:after="0" w:line="240" w:lineRule="auto"/>
              <w:rPr>
                <w:rFonts w:ascii="Calibri" w:hAnsi="Calibri" w:cs="Calibri"/>
                <w:noProof w:val="0"/>
                <w:color w:val="000000"/>
                <w:sz w:val="16"/>
                <w:szCs w:val="16"/>
              </w:rPr>
            </w:pPr>
            <w:r w:rsidRPr="00435A51">
              <w:rPr>
                <w:rFonts w:ascii="Calibri" w:hAnsi="Calibri" w:cs="Calibri"/>
                <w:noProof w:val="0"/>
                <w:color w:val="000000"/>
                <w:sz w:val="16"/>
                <w:szCs w:val="16"/>
              </w:rPr>
              <w:t>(A</w:t>
            </w:r>
            <w:r w:rsidR="00D21940" w:rsidRPr="00435A51">
              <w:rPr>
                <w:rFonts w:ascii="Calibri" w:hAnsi="Calibri" w:cs="Calibri"/>
                <w:noProof w:val="0"/>
                <w:color w:val="000000"/>
                <w:sz w:val="16"/>
                <w:szCs w:val="16"/>
              </w:rPr>
              <w:t xml:space="preserve">ssesses 92 </w:t>
            </w:r>
            <w:r w:rsidRPr="00435A51">
              <w:rPr>
                <w:rFonts w:ascii="Calibri" w:hAnsi="Calibri" w:cs="Calibri"/>
                <w:noProof w:val="0"/>
                <w:color w:val="000000"/>
                <w:sz w:val="16"/>
                <w:szCs w:val="16"/>
              </w:rPr>
              <w:t>primary studies of mixed study type)</w:t>
            </w:r>
          </w:p>
          <w:p w14:paraId="396CE435" w14:textId="77777777" w:rsidR="00E75E76" w:rsidRDefault="00E75E76" w:rsidP="00607A82">
            <w:pPr>
              <w:spacing w:before="0" w:after="0" w:line="240" w:lineRule="auto"/>
              <w:rPr>
                <w:rFonts w:ascii="Calibri" w:hAnsi="Calibri" w:cs="Calibri"/>
                <w:b/>
                <w:noProof w:val="0"/>
                <w:color w:val="000000"/>
                <w:sz w:val="16"/>
                <w:szCs w:val="16"/>
              </w:rPr>
            </w:pPr>
          </w:p>
          <w:p w14:paraId="399349B4" w14:textId="6CEB25FF" w:rsidR="00E75E76" w:rsidRPr="00E75E76" w:rsidRDefault="00171C91" w:rsidP="00607A82">
            <w:pPr>
              <w:spacing w:before="0" w:after="0" w:line="240" w:lineRule="auto"/>
              <w:rPr>
                <w:rFonts w:ascii="Calibri" w:hAnsi="Calibri" w:cs="Calibri"/>
                <w:noProof w:val="0"/>
                <w:color w:val="000000"/>
                <w:sz w:val="16"/>
                <w:szCs w:val="16"/>
              </w:rPr>
            </w:pPr>
            <w:r>
              <w:rPr>
                <w:rFonts w:ascii="Calibri" w:hAnsi="Calibri" w:cs="Calibri"/>
                <w:noProof w:val="0"/>
                <w:color w:val="000000"/>
                <w:sz w:val="16"/>
                <w:szCs w:val="16"/>
              </w:rPr>
              <w:t>Moderate</w:t>
            </w:r>
            <w:r w:rsidRPr="00E75E76">
              <w:rPr>
                <w:rFonts w:ascii="Calibri" w:hAnsi="Calibri" w:cs="Calibri"/>
                <w:noProof w:val="0"/>
                <w:color w:val="000000"/>
                <w:sz w:val="16"/>
                <w:szCs w:val="16"/>
              </w:rPr>
              <w:t xml:space="preserve"> certainty</w:t>
            </w:r>
          </w:p>
        </w:tc>
        <w:tc>
          <w:tcPr>
            <w:tcW w:w="1149" w:type="dxa"/>
            <w:tcBorders>
              <w:top w:val="nil"/>
              <w:left w:val="nil"/>
              <w:bottom w:val="single" w:sz="4" w:space="0" w:color="B5DDDC"/>
              <w:right w:val="single" w:sz="4" w:space="0" w:color="B5DDDC"/>
            </w:tcBorders>
            <w:vAlign w:val="center"/>
          </w:tcPr>
          <w:p w14:paraId="29AD93D9" w14:textId="2AAFE3C4" w:rsidR="00E75E76" w:rsidRDefault="00171C91" w:rsidP="00E75E76">
            <w:pPr>
              <w:spacing w:before="0" w:after="0" w:line="240" w:lineRule="auto"/>
              <w:rPr>
                <w:rFonts w:ascii="Calibri" w:hAnsi="Calibri" w:cs="Calibri"/>
                <w:noProof w:val="0"/>
                <w:color w:val="000000"/>
                <w:sz w:val="16"/>
                <w:szCs w:val="16"/>
              </w:rPr>
            </w:pPr>
            <w:r>
              <w:rPr>
                <w:rFonts w:ascii="Calibri" w:hAnsi="Calibri" w:cs="Calibri"/>
                <w:noProof w:val="0"/>
                <w:color w:val="000000"/>
                <w:sz w:val="16"/>
                <w:szCs w:val="16"/>
              </w:rPr>
              <w:t>Not serious.</w:t>
            </w:r>
          </w:p>
          <w:p w14:paraId="38C192A9" w14:textId="77777777" w:rsidR="00DA78FF" w:rsidRDefault="00DA78FF" w:rsidP="00E75E76">
            <w:pPr>
              <w:spacing w:before="0" w:after="0" w:line="240" w:lineRule="auto"/>
              <w:rPr>
                <w:rFonts w:ascii="Calibri" w:hAnsi="Calibri" w:cs="Calibri"/>
                <w:noProof w:val="0"/>
                <w:color w:val="000000"/>
                <w:sz w:val="16"/>
                <w:szCs w:val="16"/>
              </w:rPr>
            </w:pPr>
          </w:p>
          <w:p w14:paraId="627F5CA6" w14:textId="32896C2F" w:rsidR="00DA78FF" w:rsidRDefault="00171C91" w:rsidP="00E75E76">
            <w:pPr>
              <w:spacing w:before="0" w:after="0" w:line="240" w:lineRule="auto"/>
              <w:rPr>
                <w:rFonts w:ascii="Calibri" w:hAnsi="Calibri" w:cs="Calibri"/>
                <w:noProof w:val="0"/>
                <w:color w:val="000000"/>
                <w:sz w:val="16"/>
                <w:szCs w:val="16"/>
              </w:rPr>
            </w:pPr>
            <w:r>
              <w:rPr>
                <w:rFonts w:ascii="Calibri" w:hAnsi="Calibri" w:cs="Calibri"/>
                <w:noProof w:val="0"/>
                <w:color w:val="000000"/>
                <w:sz w:val="16"/>
                <w:szCs w:val="16"/>
              </w:rPr>
              <w:t>Overall risk of bias is probably low</w:t>
            </w:r>
            <w:r w:rsidR="005849FB">
              <w:rPr>
                <w:rFonts w:ascii="Calibri" w:hAnsi="Calibri" w:cs="Calibri"/>
                <w:noProof w:val="0"/>
                <w:color w:val="000000"/>
                <w:sz w:val="16"/>
                <w:szCs w:val="16"/>
              </w:rPr>
              <w:t xml:space="preserve"> (85/92 studies low risk of bias, 7/92 high risk of bias)</w:t>
            </w:r>
          </w:p>
        </w:tc>
        <w:tc>
          <w:tcPr>
            <w:tcW w:w="1225" w:type="dxa"/>
            <w:tcBorders>
              <w:top w:val="nil"/>
              <w:left w:val="nil"/>
              <w:bottom w:val="single" w:sz="4" w:space="0" w:color="B5DDDC"/>
              <w:right w:val="single" w:sz="4" w:space="0" w:color="B5DDDC"/>
            </w:tcBorders>
            <w:vAlign w:val="center"/>
          </w:tcPr>
          <w:p w14:paraId="4B12397A" w14:textId="631BF3F5" w:rsidR="00E75E76" w:rsidRPr="00397A3E" w:rsidRDefault="00171C91" w:rsidP="00607A82">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Not serious</w:t>
            </w:r>
          </w:p>
        </w:tc>
        <w:tc>
          <w:tcPr>
            <w:tcW w:w="1169" w:type="dxa"/>
            <w:tcBorders>
              <w:top w:val="nil"/>
              <w:left w:val="nil"/>
              <w:bottom w:val="single" w:sz="4" w:space="0" w:color="B5DDDC"/>
              <w:right w:val="single" w:sz="4" w:space="0" w:color="B5DDDC"/>
            </w:tcBorders>
            <w:vAlign w:val="center"/>
          </w:tcPr>
          <w:p w14:paraId="1533C9C0" w14:textId="1CA33C36" w:rsidR="00E75E76" w:rsidRPr="00397A3E" w:rsidRDefault="00171C91" w:rsidP="00607A82">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Not serious</w:t>
            </w:r>
            <w:r w:rsidRPr="00397A3E">
              <w:rPr>
                <w:rFonts w:ascii="Calibri" w:hAnsi="Calibri" w:cs="Calibri"/>
                <w:noProof w:val="0"/>
                <w:color w:val="000000"/>
                <w:sz w:val="16"/>
                <w:szCs w:val="16"/>
                <w:vertAlign w:val="superscript"/>
              </w:rPr>
              <w:t>2.</w:t>
            </w:r>
          </w:p>
        </w:tc>
        <w:tc>
          <w:tcPr>
            <w:tcW w:w="1180" w:type="dxa"/>
            <w:tcBorders>
              <w:top w:val="nil"/>
              <w:left w:val="nil"/>
              <w:bottom w:val="single" w:sz="4" w:space="0" w:color="B5DDDC"/>
              <w:right w:val="single" w:sz="4" w:space="0" w:color="B5DDDC"/>
            </w:tcBorders>
            <w:vAlign w:val="center"/>
          </w:tcPr>
          <w:p w14:paraId="7ECF88B6" w14:textId="608BED05" w:rsidR="00E75E76" w:rsidRPr="00397A3E" w:rsidRDefault="00171C91" w:rsidP="00607A82">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Not serious</w:t>
            </w:r>
          </w:p>
        </w:tc>
        <w:tc>
          <w:tcPr>
            <w:tcW w:w="1101" w:type="dxa"/>
            <w:tcBorders>
              <w:top w:val="nil"/>
              <w:left w:val="nil"/>
              <w:bottom w:val="single" w:sz="4" w:space="0" w:color="B5DDDC"/>
              <w:right w:val="single" w:sz="4" w:space="0" w:color="B5DDDC"/>
            </w:tcBorders>
            <w:vAlign w:val="center"/>
          </w:tcPr>
          <w:p w14:paraId="7ABCB6A2" w14:textId="63F57EA8" w:rsidR="00E75E76" w:rsidRPr="00397A3E" w:rsidRDefault="00171C91" w:rsidP="00607A82">
            <w:pPr>
              <w:spacing w:before="0" w:after="0" w:line="240" w:lineRule="auto"/>
              <w:rPr>
                <w:rFonts w:ascii="Calibri" w:hAnsi="Calibri" w:cs="Calibri"/>
                <w:noProof w:val="0"/>
                <w:color w:val="000000"/>
                <w:sz w:val="16"/>
                <w:szCs w:val="16"/>
              </w:rPr>
            </w:pPr>
            <w:r>
              <w:rPr>
                <w:rFonts w:ascii="Calibri" w:hAnsi="Calibri" w:cs="Calibri"/>
                <w:noProof w:val="0"/>
                <w:color w:val="000000"/>
                <w:sz w:val="16"/>
                <w:szCs w:val="16"/>
              </w:rPr>
              <w:t>D</w:t>
            </w:r>
            <w:r w:rsidR="00DA78FF" w:rsidRPr="00397A3E">
              <w:rPr>
                <w:rFonts w:ascii="Calibri" w:hAnsi="Calibri" w:cs="Calibri"/>
                <w:noProof w:val="0"/>
                <w:color w:val="000000"/>
                <w:sz w:val="16"/>
                <w:szCs w:val="16"/>
              </w:rPr>
              <w:t>etected</w:t>
            </w:r>
            <w:r w:rsidR="00123A48">
              <w:rPr>
                <w:rFonts w:ascii="Calibri" w:hAnsi="Calibri" w:cs="Calibri"/>
                <w:noProof w:val="0"/>
                <w:color w:val="000000"/>
                <w:sz w:val="16"/>
                <w:szCs w:val="16"/>
              </w:rPr>
              <w:t xml:space="preserve"> but not downgraded</w:t>
            </w:r>
          </w:p>
        </w:tc>
        <w:tc>
          <w:tcPr>
            <w:tcW w:w="1203" w:type="dxa"/>
            <w:tcBorders>
              <w:top w:val="nil"/>
              <w:left w:val="nil"/>
              <w:bottom w:val="single" w:sz="4" w:space="0" w:color="B5DDDC"/>
              <w:right w:val="single" w:sz="4" w:space="0" w:color="B5DDDC"/>
            </w:tcBorders>
            <w:vAlign w:val="center"/>
          </w:tcPr>
          <w:p w14:paraId="34B76342" w14:textId="59D90D1C" w:rsidR="00E75E76" w:rsidRPr="00397A3E" w:rsidRDefault="00171C91" w:rsidP="00607A82">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N/A</w:t>
            </w:r>
            <w:r w:rsidRPr="00397A3E">
              <w:rPr>
                <w:rFonts w:ascii="Calibri" w:hAnsi="Calibri" w:cs="Calibri"/>
                <w:noProof w:val="0"/>
                <w:color w:val="000000"/>
                <w:sz w:val="16"/>
                <w:szCs w:val="16"/>
                <w:vertAlign w:val="superscript"/>
              </w:rPr>
              <w:t>3</w:t>
            </w:r>
          </w:p>
        </w:tc>
        <w:tc>
          <w:tcPr>
            <w:tcW w:w="1210" w:type="dxa"/>
            <w:tcBorders>
              <w:top w:val="nil"/>
              <w:left w:val="nil"/>
              <w:bottom w:val="single" w:sz="4" w:space="0" w:color="B5DDDC"/>
              <w:right w:val="single" w:sz="4" w:space="0" w:color="B5DDDC"/>
            </w:tcBorders>
            <w:vAlign w:val="center"/>
          </w:tcPr>
          <w:p w14:paraId="7A679EEF" w14:textId="036E06E7" w:rsidR="00E75E76" w:rsidRPr="00397A3E" w:rsidRDefault="00171C91" w:rsidP="00607A82">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N/A</w:t>
            </w:r>
            <w:r w:rsidRPr="00397A3E">
              <w:rPr>
                <w:rFonts w:ascii="Calibri" w:hAnsi="Calibri" w:cs="Calibri"/>
                <w:noProof w:val="0"/>
                <w:color w:val="000000"/>
                <w:sz w:val="16"/>
                <w:szCs w:val="16"/>
                <w:vertAlign w:val="superscript"/>
              </w:rPr>
              <w:t>4</w:t>
            </w:r>
          </w:p>
        </w:tc>
        <w:tc>
          <w:tcPr>
            <w:tcW w:w="1276" w:type="dxa"/>
            <w:tcBorders>
              <w:top w:val="nil"/>
              <w:left w:val="nil"/>
              <w:bottom w:val="single" w:sz="4" w:space="0" w:color="B5DDDC"/>
              <w:right w:val="single" w:sz="4" w:space="0" w:color="B5DDDC"/>
            </w:tcBorders>
            <w:vAlign w:val="center"/>
          </w:tcPr>
          <w:p w14:paraId="74492D5C" w14:textId="618200F4" w:rsidR="00E75E76" w:rsidRPr="00397A3E" w:rsidRDefault="00171C91" w:rsidP="00607A82">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No</w:t>
            </w:r>
            <w:r w:rsidRPr="00397A3E">
              <w:rPr>
                <w:rFonts w:ascii="Calibri" w:hAnsi="Calibri" w:cs="Calibri"/>
                <w:noProof w:val="0"/>
                <w:color w:val="000000"/>
                <w:sz w:val="16"/>
                <w:szCs w:val="16"/>
                <w:vertAlign w:val="superscript"/>
              </w:rPr>
              <w:t>5</w:t>
            </w:r>
          </w:p>
        </w:tc>
        <w:tc>
          <w:tcPr>
            <w:tcW w:w="1275" w:type="dxa"/>
            <w:tcBorders>
              <w:top w:val="nil"/>
              <w:left w:val="nil"/>
              <w:bottom w:val="single" w:sz="4" w:space="0" w:color="B5DDDC"/>
              <w:right w:val="single" w:sz="4" w:space="0" w:color="B5DDDC"/>
            </w:tcBorders>
            <w:vAlign w:val="center"/>
          </w:tcPr>
          <w:p w14:paraId="365E0A0C" w14:textId="1B158650" w:rsidR="00E75E76" w:rsidRPr="00397A3E" w:rsidRDefault="00171C91" w:rsidP="00607A82">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N/A</w:t>
            </w:r>
            <w:r w:rsidRPr="00397A3E">
              <w:rPr>
                <w:rFonts w:ascii="Calibri" w:hAnsi="Calibri" w:cs="Calibri"/>
                <w:noProof w:val="0"/>
                <w:color w:val="000000"/>
                <w:sz w:val="16"/>
                <w:szCs w:val="16"/>
                <w:vertAlign w:val="superscript"/>
              </w:rPr>
              <w:t>6</w:t>
            </w:r>
          </w:p>
        </w:tc>
        <w:tc>
          <w:tcPr>
            <w:tcW w:w="1276" w:type="dxa"/>
            <w:tcBorders>
              <w:top w:val="nil"/>
              <w:left w:val="nil"/>
              <w:bottom w:val="single" w:sz="4" w:space="0" w:color="B5DDDC"/>
              <w:right w:val="single" w:sz="4" w:space="0" w:color="B5DDDC"/>
            </w:tcBorders>
            <w:vAlign w:val="center"/>
          </w:tcPr>
          <w:p w14:paraId="50B4504A" w14:textId="24818035" w:rsidR="00E75E76" w:rsidRPr="00397A3E" w:rsidRDefault="00171C91" w:rsidP="00607A82">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No</w:t>
            </w:r>
          </w:p>
        </w:tc>
        <w:tc>
          <w:tcPr>
            <w:tcW w:w="1276" w:type="dxa"/>
            <w:tcBorders>
              <w:top w:val="nil"/>
              <w:left w:val="nil"/>
              <w:bottom w:val="single" w:sz="4" w:space="0" w:color="B5DDDC"/>
              <w:right w:val="single" w:sz="4" w:space="0" w:color="B5DDDC"/>
            </w:tcBorders>
            <w:vAlign w:val="center"/>
          </w:tcPr>
          <w:p w14:paraId="198A49D2" w14:textId="77777777" w:rsidR="008032C8" w:rsidRDefault="00171C91" w:rsidP="008032C8">
            <w:pPr>
              <w:spacing w:before="0" w:after="0" w:line="240" w:lineRule="auto"/>
              <w:rPr>
                <w:rFonts w:ascii="Calibri" w:hAnsi="Calibri" w:cs="Calibri"/>
                <w:b/>
                <w:bCs/>
                <w:noProof w:val="0"/>
                <w:color w:val="000000"/>
                <w:sz w:val="16"/>
                <w:szCs w:val="16"/>
              </w:rPr>
            </w:pPr>
            <w:r w:rsidRPr="00397A3E">
              <w:rPr>
                <w:rFonts w:ascii="Cambria Math" w:hAnsi="Cambria Math" w:cs="Cambria Math"/>
                <w:b/>
                <w:bCs/>
                <w:noProof w:val="0"/>
                <w:color w:val="000000"/>
                <w:sz w:val="16"/>
                <w:szCs w:val="16"/>
              </w:rPr>
              <w:t>⊕⊕</w:t>
            </w:r>
            <w:r w:rsidRPr="00AB577D">
              <w:rPr>
                <w:rFonts w:ascii="Cambria Math" w:hAnsi="Cambria Math" w:cs="Cambria Math"/>
                <w:b/>
                <w:bCs/>
                <w:noProof w:val="0"/>
                <w:color w:val="000000"/>
                <w:sz w:val="16"/>
                <w:szCs w:val="16"/>
              </w:rPr>
              <w:t>⊕</w:t>
            </w:r>
            <w:r w:rsidRPr="00397A3E">
              <w:rPr>
                <w:rFonts w:ascii="Calibri" w:hAnsi="Calibri" w:cs="Calibri"/>
                <w:b/>
                <w:bCs/>
                <w:noProof w:val="0"/>
                <w:color w:val="000000"/>
                <w:sz w:val="16"/>
                <w:szCs w:val="16"/>
              </w:rPr>
              <w:t>Ο</w:t>
            </w:r>
          </w:p>
          <w:p w14:paraId="656CE4E8" w14:textId="77777777" w:rsidR="00DA78FF" w:rsidRDefault="00DA78FF" w:rsidP="00DA78FF">
            <w:pPr>
              <w:spacing w:before="0" w:after="0" w:line="240" w:lineRule="auto"/>
              <w:rPr>
                <w:rFonts w:ascii="Calibri" w:hAnsi="Calibri" w:cs="Calibri"/>
                <w:b/>
                <w:bCs/>
                <w:noProof w:val="0"/>
                <w:color w:val="000000"/>
                <w:sz w:val="16"/>
                <w:szCs w:val="16"/>
              </w:rPr>
            </w:pPr>
          </w:p>
          <w:p w14:paraId="3079103C" w14:textId="34E72338" w:rsidR="00E75E76" w:rsidRPr="00397A3E" w:rsidRDefault="00171C91" w:rsidP="00DA78FF">
            <w:pPr>
              <w:spacing w:before="0" w:after="0" w:line="240" w:lineRule="auto"/>
              <w:rPr>
                <w:rFonts w:ascii="Cambria Math" w:hAnsi="Cambria Math" w:cs="Cambria Math"/>
                <w:b/>
                <w:bCs/>
                <w:noProof w:val="0"/>
                <w:color w:val="000000"/>
                <w:sz w:val="16"/>
                <w:szCs w:val="16"/>
              </w:rPr>
            </w:pPr>
            <w:r>
              <w:rPr>
                <w:rFonts w:ascii="Calibri" w:hAnsi="Calibri" w:cs="Calibri"/>
                <w:b/>
                <w:bCs/>
                <w:noProof w:val="0"/>
                <w:color w:val="000000"/>
                <w:sz w:val="16"/>
                <w:szCs w:val="16"/>
              </w:rPr>
              <w:t>Moderate</w:t>
            </w:r>
            <w:r w:rsidR="00DA78FF">
              <w:rPr>
                <w:rFonts w:ascii="Calibri" w:hAnsi="Calibri" w:cs="Calibri"/>
                <w:b/>
                <w:bCs/>
                <w:noProof w:val="0"/>
                <w:color w:val="000000"/>
                <w:sz w:val="16"/>
                <w:szCs w:val="16"/>
              </w:rPr>
              <w:t xml:space="preserve"> certainty</w:t>
            </w:r>
            <w:r w:rsidR="00123A48" w:rsidRPr="00435A51">
              <w:rPr>
                <w:rFonts w:ascii="Calibri" w:hAnsi="Calibri" w:cs="Calibri"/>
                <w:b/>
                <w:bCs/>
                <w:noProof w:val="0"/>
                <w:color w:val="000000"/>
                <w:sz w:val="16"/>
                <w:szCs w:val="16"/>
                <w:vertAlign w:val="superscript"/>
              </w:rPr>
              <w:t>7</w:t>
            </w:r>
          </w:p>
        </w:tc>
      </w:tr>
      <w:tr w:rsidR="00785848" w14:paraId="20443F20" w14:textId="77777777" w:rsidTr="00E75E76">
        <w:trPr>
          <w:trHeight w:val="444"/>
        </w:trPr>
        <w:tc>
          <w:tcPr>
            <w:tcW w:w="1114" w:type="dxa"/>
            <w:tcBorders>
              <w:top w:val="nil"/>
              <w:left w:val="single" w:sz="4" w:space="0" w:color="B5DDDC"/>
              <w:bottom w:val="single" w:sz="4" w:space="0" w:color="B5DDDC"/>
              <w:right w:val="single" w:sz="4" w:space="0" w:color="B5DDDC"/>
            </w:tcBorders>
            <w:vAlign w:val="center"/>
          </w:tcPr>
          <w:p w14:paraId="6F9A7CDA" w14:textId="77777777" w:rsidR="00E75E76" w:rsidRDefault="00171C91" w:rsidP="00607A82">
            <w:pPr>
              <w:spacing w:before="0" w:after="0" w:line="240" w:lineRule="auto"/>
              <w:rPr>
                <w:rFonts w:ascii="Calibri" w:hAnsi="Calibri" w:cs="Calibri"/>
                <w:b/>
                <w:noProof w:val="0"/>
                <w:color w:val="000000"/>
                <w:sz w:val="16"/>
                <w:szCs w:val="16"/>
              </w:rPr>
            </w:pPr>
            <w:r>
              <w:rPr>
                <w:rFonts w:ascii="Calibri" w:hAnsi="Calibri" w:cs="Calibri"/>
                <w:b/>
                <w:noProof w:val="0"/>
                <w:color w:val="000000"/>
                <w:sz w:val="16"/>
                <w:szCs w:val="16"/>
              </w:rPr>
              <w:t>Cohort study (1)</w:t>
            </w:r>
          </w:p>
          <w:p w14:paraId="13E73147" w14:textId="77777777" w:rsidR="00C823B2" w:rsidRDefault="00C823B2" w:rsidP="00607A82">
            <w:pPr>
              <w:spacing w:before="0" w:after="0" w:line="240" w:lineRule="auto"/>
              <w:rPr>
                <w:rFonts w:ascii="Calibri" w:hAnsi="Calibri" w:cs="Calibri"/>
                <w:noProof w:val="0"/>
                <w:color w:val="000000"/>
                <w:sz w:val="16"/>
                <w:szCs w:val="16"/>
              </w:rPr>
            </w:pPr>
          </w:p>
          <w:p w14:paraId="378BDA96" w14:textId="6E055608" w:rsidR="00DA78FF" w:rsidRDefault="00171C91" w:rsidP="00607A82">
            <w:pPr>
              <w:spacing w:before="0" w:after="0" w:line="240" w:lineRule="auto"/>
              <w:rPr>
                <w:rFonts w:ascii="Calibri" w:hAnsi="Calibri" w:cs="Calibri"/>
                <w:noProof w:val="0"/>
                <w:color w:val="000000"/>
                <w:sz w:val="16"/>
                <w:szCs w:val="16"/>
              </w:rPr>
            </w:pPr>
            <w:r>
              <w:rPr>
                <w:rFonts w:ascii="Calibri" w:hAnsi="Calibri" w:cs="Calibri"/>
                <w:noProof w:val="0"/>
                <w:color w:val="000000"/>
                <w:sz w:val="16"/>
                <w:szCs w:val="16"/>
              </w:rPr>
              <w:t>Moderate certainty</w:t>
            </w:r>
          </w:p>
          <w:p w14:paraId="33DCC273" w14:textId="29A84D26" w:rsidR="00E75E76" w:rsidRPr="00435A51" w:rsidRDefault="00E75E76" w:rsidP="00AB577D">
            <w:pPr>
              <w:spacing w:before="0" w:after="0" w:line="240" w:lineRule="auto"/>
              <w:rPr>
                <w:rFonts w:ascii="Calibri" w:hAnsi="Calibri" w:cs="Calibri"/>
                <w:noProof w:val="0"/>
                <w:color w:val="000000"/>
                <w:sz w:val="16"/>
                <w:szCs w:val="16"/>
              </w:rPr>
            </w:pPr>
          </w:p>
        </w:tc>
        <w:tc>
          <w:tcPr>
            <w:tcW w:w="1149" w:type="dxa"/>
            <w:tcBorders>
              <w:top w:val="nil"/>
              <w:left w:val="nil"/>
              <w:bottom w:val="single" w:sz="4" w:space="0" w:color="B5DDDC"/>
              <w:right w:val="single" w:sz="4" w:space="0" w:color="B5DDDC"/>
            </w:tcBorders>
            <w:vAlign w:val="center"/>
          </w:tcPr>
          <w:p w14:paraId="2F0525D9" w14:textId="77777777" w:rsidR="00DA78FF" w:rsidRDefault="00171C91" w:rsidP="00AB577D">
            <w:pPr>
              <w:spacing w:before="0" w:after="0" w:line="240" w:lineRule="auto"/>
              <w:rPr>
                <w:rFonts w:ascii="Calibri" w:hAnsi="Calibri" w:cs="Calibri"/>
                <w:noProof w:val="0"/>
                <w:color w:val="000000"/>
                <w:sz w:val="16"/>
                <w:szCs w:val="16"/>
              </w:rPr>
            </w:pPr>
            <w:r>
              <w:rPr>
                <w:rFonts w:ascii="Calibri" w:hAnsi="Calibri" w:cs="Calibri"/>
                <w:noProof w:val="0"/>
                <w:color w:val="000000"/>
                <w:sz w:val="16"/>
                <w:szCs w:val="16"/>
              </w:rPr>
              <w:t xml:space="preserve">Not serious. </w:t>
            </w:r>
          </w:p>
          <w:p w14:paraId="5B4D41BB" w14:textId="77777777" w:rsidR="00DA78FF" w:rsidRDefault="00DA78FF" w:rsidP="00AB577D">
            <w:pPr>
              <w:spacing w:before="0" w:after="0" w:line="240" w:lineRule="auto"/>
              <w:rPr>
                <w:rFonts w:ascii="Calibri" w:hAnsi="Calibri" w:cs="Calibri"/>
                <w:noProof w:val="0"/>
                <w:color w:val="000000"/>
                <w:sz w:val="16"/>
                <w:szCs w:val="16"/>
              </w:rPr>
            </w:pPr>
          </w:p>
          <w:p w14:paraId="371C770A" w14:textId="2CA89AF4" w:rsidR="00E75E76" w:rsidRDefault="00171C91" w:rsidP="00AB577D">
            <w:pPr>
              <w:spacing w:before="0" w:after="0" w:line="240" w:lineRule="auto"/>
              <w:rPr>
                <w:rFonts w:ascii="Calibri" w:hAnsi="Calibri" w:cs="Calibri"/>
                <w:noProof w:val="0"/>
                <w:color w:val="000000"/>
                <w:sz w:val="16"/>
                <w:szCs w:val="16"/>
              </w:rPr>
            </w:pPr>
            <w:r>
              <w:rPr>
                <w:rFonts w:ascii="Calibri" w:hAnsi="Calibri" w:cs="Calibri"/>
                <w:noProof w:val="0"/>
                <w:color w:val="000000"/>
                <w:sz w:val="16"/>
                <w:szCs w:val="16"/>
              </w:rPr>
              <w:t>Risk of bias is probably low</w:t>
            </w:r>
          </w:p>
        </w:tc>
        <w:tc>
          <w:tcPr>
            <w:tcW w:w="1225" w:type="dxa"/>
            <w:tcBorders>
              <w:top w:val="nil"/>
              <w:left w:val="nil"/>
              <w:bottom w:val="single" w:sz="4" w:space="0" w:color="B5DDDC"/>
              <w:right w:val="single" w:sz="4" w:space="0" w:color="B5DDDC"/>
            </w:tcBorders>
            <w:vAlign w:val="center"/>
          </w:tcPr>
          <w:p w14:paraId="5A0F9C7D" w14:textId="065034C0" w:rsidR="00E75E76" w:rsidRPr="00397A3E" w:rsidRDefault="00171C91" w:rsidP="00607A82">
            <w:pPr>
              <w:spacing w:before="0" w:after="0" w:line="240" w:lineRule="auto"/>
              <w:rPr>
                <w:rFonts w:ascii="Calibri" w:hAnsi="Calibri" w:cs="Calibri"/>
                <w:noProof w:val="0"/>
                <w:color w:val="000000"/>
                <w:sz w:val="16"/>
                <w:szCs w:val="16"/>
              </w:rPr>
            </w:pPr>
            <w:r>
              <w:rPr>
                <w:rFonts w:ascii="Calibri" w:hAnsi="Calibri" w:cs="Calibri"/>
                <w:noProof w:val="0"/>
                <w:color w:val="000000"/>
                <w:sz w:val="16"/>
                <w:szCs w:val="16"/>
              </w:rPr>
              <w:t>N/A</w:t>
            </w:r>
          </w:p>
        </w:tc>
        <w:tc>
          <w:tcPr>
            <w:tcW w:w="1169" w:type="dxa"/>
            <w:tcBorders>
              <w:top w:val="nil"/>
              <w:left w:val="nil"/>
              <w:bottom w:val="single" w:sz="4" w:space="0" w:color="B5DDDC"/>
              <w:right w:val="single" w:sz="4" w:space="0" w:color="B5DDDC"/>
            </w:tcBorders>
            <w:vAlign w:val="center"/>
          </w:tcPr>
          <w:p w14:paraId="23F349CB" w14:textId="676F140D" w:rsidR="00E75E76" w:rsidRPr="00397A3E" w:rsidRDefault="00171C91" w:rsidP="00607A82">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Not serious</w:t>
            </w:r>
            <w:r w:rsidRPr="00397A3E">
              <w:rPr>
                <w:rFonts w:ascii="Calibri" w:hAnsi="Calibri" w:cs="Calibri"/>
                <w:noProof w:val="0"/>
                <w:color w:val="000000"/>
                <w:sz w:val="16"/>
                <w:szCs w:val="16"/>
                <w:vertAlign w:val="superscript"/>
              </w:rPr>
              <w:t>2.</w:t>
            </w:r>
          </w:p>
        </w:tc>
        <w:tc>
          <w:tcPr>
            <w:tcW w:w="1180" w:type="dxa"/>
            <w:tcBorders>
              <w:top w:val="nil"/>
              <w:left w:val="nil"/>
              <w:bottom w:val="single" w:sz="4" w:space="0" w:color="B5DDDC"/>
              <w:right w:val="single" w:sz="4" w:space="0" w:color="B5DDDC"/>
            </w:tcBorders>
            <w:vAlign w:val="center"/>
          </w:tcPr>
          <w:p w14:paraId="4762B72E" w14:textId="4D156DA9" w:rsidR="00E75E76" w:rsidRPr="00397A3E" w:rsidRDefault="00171C91" w:rsidP="00607A82">
            <w:pPr>
              <w:spacing w:before="0" w:after="0" w:line="240" w:lineRule="auto"/>
              <w:rPr>
                <w:rFonts w:ascii="Calibri" w:hAnsi="Calibri" w:cs="Calibri"/>
                <w:noProof w:val="0"/>
                <w:color w:val="000000"/>
                <w:sz w:val="16"/>
                <w:szCs w:val="16"/>
              </w:rPr>
            </w:pPr>
            <w:r w:rsidRPr="00DA78FF">
              <w:rPr>
                <w:rFonts w:ascii="Calibri" w:hAnsi="Calibri" w:cs="Calibri"/>
                <w:noProof w:val="0"/>
                <w:color w:val="000000"/>
                <w:sz w:val="16"/>
                <w:szCs w:val="16"/>
              </w:rPr>
              <w:t>Not serious</w:t>
            </w:r>
          </w:p>
        </w:tc>
        <w:tc>
          <w:tcPr>
            <w:tcW w:w="1101" w:type="dxa"/>
            <w:tcBorders>
              <w:top w:val="nil"/>
              <w:left w:val="nil"/>
              <w:bottom w:val="single" w:sz="4" w:space="0" w:color="B5DDDC"/>
              <w:right w:val="single" w:sz="4" w:space="0" w:color="B5DDDC"/>
            </w:tcBorders>
            <w:vAlign w:val="center"/>
          </w:tcPr>
          <w:p w14:paraId="311A2FA9" w14:textId="0C353467" w:rsidR="00E75E76" w:rsidRPr="00397A3E" w:rsidRDefault="00171C91" w:rsidP="00607A82">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Undetected</w:t>
            </w:r>
          </w:p>
        </w:tc>
        <w:tc>
          <w:tcPr>
            <w:tcW w:w="1203" w:type="dxa"/>
            <w:tcBorders>
              <w:top w:val="nil"/>
              <w:left w:val="nil"/>
              <w:bottom w:val="single" w:sz="4" w:space="0" w:color="B5DDDC"/>
              <w:right w:val="single" w:sz="4" w:space="0" w:color="B5DDDC"/>
            </w:tcBorders>
            <w:vAlign w:val="center"/>
          </w:tcPr>
          <w:p w14:paraId="54A338F7" w14:textId="64F71AD0" w:rsidR="00E75E76" w:rsidRPr="00397A3E" w:rsidRDefault="00171C91" w:rsidP="00607A82">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N/A</w:t>
            </w:r>
            <w:r w:rsidRPr="00397A3E">
              <w:rPr>
                <w:rFonts w:ascii="Calibri" w:hAnsi="Calibri" w:cs="Calibri"/>
                <w:noProof w:val="0"/>
                <w:color w:val="000000"/>
                <w:sz w:val="16"/>
                <w:szCs w:val="16"/>
                <w:vertAlign w:val="superscript"/>
              </w:rPr>
              <w:t>3</w:t>
            </w:r>
          </w:p>
        </w:tc>
        <w:tc>
          <w:tcPr>
            <w:tcW w:w="1210" w:type="dxa"/>
            <w:tcBorders>
              <w:top w:val="nil"/>
              <w:left w:val="nil"/>
              <w:bottom w:val="single" w:sz="4" w:space="0" w:color="B5DDDC"/>
              <w:right w:val="single" w:sz="4" w:space="0" w:color="B5DDDC"/>
            </w:tcBorders>
            <w:vAlign w:val="center"/>
          </w:tcPr>
          <w:p w14:paraId="14CD3C04" w14:textId="7EC4DFEC" w:rsidR="00E75E76" w:rsidRPr="00397A3E" w:rsidRDefault="00171C91" w:rsidP="00607A82">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N/A</w:t>
            </w:r>
            <w:r w:rsidRPr="00397A3E">
              <w:rPr>
                <w:rFonts w:ascii="Calibri" w:hAnsi="Calibri" w:cs="Calibri"/>
                <w:noProof w:val="0"/>
                <w:color w:val="000000"/>
                <w:sz w:val="16"/>
                <w:szCs w:val="16"/>
                <w:vertAlign w:val="superscript"/>
              </w:rPr>
              <w:t>4</w:t>
            </w:r>
          </w:p>
        </w:tc>
        <w:tc>
          <w:tcPr>
            <w:tcW w:w="1276" w:type="dxa"/>
            <w:tcBorders>
              <w:top w:val="nil"/>
              <w:left w:val="nil"/>
              <w:bottom w:val="single" w:sz="4" w:space="0" w:color="B5DDDC"/>
              <w:right w:val="single" w:sz="4" w:space="0" w:color="B5DDDC"/>
            </w:tcBorders>
            <w:vAlign w:val="center"/>
          </w:tcPr>
          <w:p w14:paraId="20842897" w14:textId="12FF4FE0" w:rsidR="00E75E76" w:rsidRPr="00397A3E" w:rsidRDefault="00171C91" w:rsidP="00607A82">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No</w:t>
            </w:r>
            <w:r w:rsidRPr="00397A3E">
              <w:rPr>
                <w:rFonts w:ascii="Calibri" w:hAnsi="Calibri" w:cs="Calibri"/>
                <w:noProof w:val="0"/>
                <w:color w:val="000000"/>
                <w:sz w:val="16"/>
                <w:szCs w:val="16"/>
                <w:vertAlign w:val="superscript"/>
              </w:rPr>
              <w:t>5</w:t>
            </w:r>
          </w:p>
        </w:tc>
        <w:tc>
          <w:tcPr>
            <w:tcW w:w="1275" w:type="dxa"/>
            <w:tcBorders>
              <w:top w:val="nil"/>
              <w:left w:val="nil"/>
              <w:bottom w:val="single" w:sz="4" w:space="0" w:color="B5DDDC"/>
              <w:right w:val="single" w:sz="4" w:space="0" w:color="B5DDDC"/>
            </w:tcBorders>
            <w:vAlign w:val="center"/>
          </w:tcPr>
          <w:p w14:paraId="0915F91B" w14:textId="480ADE94" w:rsidR="00E75E76" w:rsidRPr="00397A3E" w:rsidRDefault="00171C91" w:rsidP="00607A82">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N/A</w:t>
            </w:r>
            <w:r w:rsidRPr="00397A3E">
              <w:rPr>
                <w:rFonts w:ascii="Calibri" w:hAnsi="Calibri" w:cs="Calibri"/>
                <w:noProof w:val="0"/>
                <w:color w:val="000000"/>
                <w:sz w:val="16"/>
                <w:szCs w:val="16"/>
                <w:vertAlign w:val="superscript"/>
              </w:rPr>
              <w:t>6</w:t>
            </w:r>
          </w:p>
        </w:tc>
        <w:tc>
          <w:tcPr>
            <w:tcW w:w="1276" w:type="dxa"/>
            <w:tcBorders>
              <w:top w:val="nil"/>
              <w:left w:val="nil"/>
              <w:bottom w:val="single" w:sz="4" w:space="0" w:color="B5DDDC"/>
              <w:right w:val="single" w:sz="4" w:space="0" w:color="B5DDDC"/>
            </w:tcBorders>
            <w:vAlign w:val="center"/>
          </w:tcPr>
          <w:p w14:paraId="2B0248E4" w14:textId="0829FF4E" w:rsidR="00E75E76" w:rsidRPr="00397A3E" w:rsidRDefault="00171C91" w:rsidP="00607A82">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No</w:t>
            </w:r>
          </w:p>
        </w:tc>
        <w:tc>
          <w:tcPr>
            <w:tcW w:w="1276" w:type="dxa"/>
            <w:tcBorders>
              <w:top w:val="nil"/>
              <w:left w:val="nil"/>
              <w:bottom w:val="single" w:sz="4" w:space="0" w:color="B5DDDC"/>
              <w:right w:val="single" w:sz="4" w:space="0" w:color="B5DDDC"/>
            </w:tcBorders>
            <w:vAlign w:val="center"/>
          </w:tcPr>
          <w:p w14:paraId="7C206D0C" w14:textId="0E4F1890" w:rsidR="00DA78FF" w:rsidRDefault="00171C91" w:rsidP="00DA78FF">
            <w:pPr>
              <w:spacing w:before="0" w:after="0" w:line="240" w:lineRule="auto"/>
              <w:rPr>
                <w:rFonts w:ascii="Calibri" w:hAnsi="Calibri" w:cs="Calibri"/>
                <w:b/>
                <w:bCs/>
                <w:noProof w:val="0"/>
                <w:color w:val="000000"/>
                <w:sz w:val="16"/>
                <w:szCs w:val="16"/>
              </w:rPr>
            </w:pPr>
            <w:r w:rsidRPr="00397A3E">
              <w:rPr>
                <w:rFonts w:ascii="Cambria Math" w:hAnsi="Cambria Math" w:cs="Cambria Math"/>
                <w:b/>
                <w:bCs/>
                <w:noProof w:val="0"/>
                <w:color w:val="000000"/>
                <w:sz w:val="16"/>
                <w:szCs w:val="16"/>
              </w:rPr>
              <w:t>⊕⊕</w:t>
            </w:r>
            <w:r w:rsidR="00AB577D" w:rsidRPr="00AB577D">
              <w:rPr>
                <w:rFonts w:ascii="Cambria Math" w:hAnsi="Cambria Math" w:cs="Cambria Math"/>
                <w:b/>
                <w:bCs/>
                <w:noProof w:val="0"/>
                <w:color w:val="000000"/>
                <w:sz w:val="16"/>
                <w:szCs w:val="16"/>
              </w:rPr>
              <w:t>⊕</w:t>
            </w:r>
            <w:r w:rsidRPr="00397A3E">
              <w:rPr>
                <w:rFonts w:ascii="Calibri" w:hAnsi="Calibri" w:cs="Calibri"/>
                <w:b/>
                <w:bCs/>
                <w:noProof w:val="0"/>
                <w:color w:val="000000"/>
                <w:sz w:val="16"/>
                <w:szCs w:val="16"/>
              </w:rPr>
              <w:t>Ο</w:t>
            </w:r>
          </w:p>
          <w:p w14:paraId="0304717B" w14:textId="77777777" w:rsidR="00DA78FF" w:rsidRDefault="00DA78FF" w:rsidP="00DA78FF">
            <w:pPr>
              <w:spacing w:before="0" w:after="0" w:line="240" w:lineRule="auto"/>
              <w:rPr>
                <w:rFonts w:ascii="Calibri" w:hAnsi="Calibri" w:cs="Calibri"/>
                <w:b/>
                <w:bCs/>
                <w:noProof w:val="0"/>
                <w:color w:val="000000"/>
                <w:sz w:val="16"/>
                <w:szCs w:val="16"/>
              </w:rPr>
            </w:pPr>
          </w:p>
          <w:p w14:paraId="11B322A1" w14:textId="4F99CA57" w:rsidR="00E75E76" w:rsidRPr="00397A3E" w:rsidRDefault="00171C91" w:rsidP="00DA78FF">
            <w:pPr>
              <w:spacing w:before="0" w:after="0" w:line="240" w:lineRule="auto"/>
              <w:rPr>
                <w:rFonts w:ascii="Cambria Math" w:hAnsi="Cambria Math" w:cs="Cambria Math"/>
                <w:b/>
                <w:bCs/>
                <w:noProof w:val="0"/>
                <w:color w:val="000000"/>
                <w:sz w:val="16"/>
                <w:szCs w:val="16"/>
              </w:rPr>
            </w:pPr>
            <w:r>
              <w:rPr>
                <w:rFonts w:ascii="Calibri" w:hAnsi="Calibri" w:cs="Calibri"/>
                <w:b/>
                <w:bCs/>
                <w:noProof w:val="0"/>
                <w:color w:val="000000"/>
                <w:sz w:val="16"/>
                <w:szCs w:val="16"/>
              </w:rPr>
              <w:t>Moderate</w:t>
            </w:r>
            <w:r w:rsidR="00DA78FF">
              <w:rPr>
                <w:rFonts w:ascii="Calibri" w:hAnsi="Calibri" w:cs="Calibri"/>
                <w:b/>
                <w:bCs/>
                <w:noProof w:val="0"/>
                <w:color w:val="000000"/>
                <w:sz w:val="16"/>
                <w:szCs w:val="16"/>
              </w:rPr>
              <w:t xml:space="preserve"> certainty</w:t>
            </w:r>
          </w:p>
        </w:tc>
      </w:tr>
      <w:tr w:rsidR="00785848" w14:paraId="4DFA095A" w14:textId="77777777" w:rsidTr="00E75E76">
        <w:trPr>
          <w:trHeight w:val="444"/>
        </w:trPr>
        <w:tc>
          <w:tcPr>
            <w:tcW w:w="1114" w:type="dxa"/>
            <w:tcBorders>
              <w:top w:val="nil"/>
              <w:left w:val="single" w:sz="4" w:space="0" w:color="B5DDDC"/>
              <w:bottom w:val="single" w:sz="4" w:space="0" w:color="B5DDDC"/>
              <w:right w:val="single" w:sz="4" w:space="0" w:color="B5DDDC"/>
            </w:tcBorders>
            <w:vAlign w:val="center"/>
            <w:hideMark/>
          </w:tcPr>
          <w:p w14:paraId="7870F229" w14:textId="42C91922" w:rsidR="00864BB5" w:rsidRDefault="00171C91" w:rsidP="00607A82">
            <w:pPr>
              <w:spacing w:before="0" w:after="0" w:line="240" w:lineRule="auto"/>
              <w:rPr>
                <w:rFonts w:ascii="Calibri" w:hAnsi="Calibri" w:cs="Calibri"/>
                <w:b/>
                <w:noProof w:val="0"/>
                <w:color w:val="000000"/>
                <w:sz w:val="16"/>
                <w:szCs w:val="16"/>
              </w:rPr>
            </w:pPr>
            <w:r w:rsidRPr="00E75E76">
              <w:rPr>
                <w:rFonts w:ascii="Calibri" w:hAnsi="Calibri" w:cs="Calibri"/>
                <w:b/>
                <w:noProof w:val="0"/>
                <w:color w:val="000000"/>
                <w:sz w:val="16"/>
                <w:szCs w:val="16"/>
              </w:rPr>
              <w:t>Qualitative studies (</w:t>
            </w:r>
            <w:r w:rsidR="00E75E76">
              <w:rPr>
                <w:rFonts w:ascii="Calibri" w:hAnsi="Calibri" w:cs="Calibri"/>
                <w:b/>
                <w:noProof w:val="0"/>
                <w:color w:val="000000"/>
                <w:sz w:val="16"/>
                <w:szCs w:val="16"/>
              </w:rPr>
              <w:t>11</w:t>
            </w:r>
            <w:r w:rsidRPr="00E75E76">
              <w:rPr>
                <w:rFonts w:ascii="Calibri" w:hAnsi="Calibri" w:cs="Calibri"/>
                <w:b/>
                <w:noProof w:val="0"/>
                <w:color w:val="000000"/>
                <w:sz w:val="16"/>
                <w:szCs w:val="16"/>
              </w:rPr>
              <w:t>)</w:t>
            </w:r>
          </w:p>
          <w:p w14:paraId="115A9744" w14:textId="77777777" w:rsidR="007270CD" w:rsidRDefault="007270CD" w:rsidP="00607A82">
            <w:pPr>
              <w:spacing w:before="0" w:after="0" w:line="240" w:lineRule="auto"/>
              <w:rPr>
                <w:rFonts w:ascii="Calibri" w:hAnsi="Calibri" w:cs="Calibri"/>
                <w:b/>
                <w:noProof w:val="0"/>
                <w:color w:val="000000"/>
                <w:sz w:val="16"/>
                <w:szCs w:val="16"/>
              </w:rPr>
            </w:pPr>
          </w:p>
          <w:p w14:paraId="34929686" w14:textId="4830C0A0" w:rsidR="007270CD" w:rsidRPr="00607A82" w:rsidRDefault="00171C91" w:rsidP="00607A82">
            <w:pPr>
              <w:spacing w:before="0" w:after="0" w:line="240" w:lineRule="auto"/>
              <w:rPr>
                <w:rFonts w:ascii="Calibri" w:hAnsi="Calibri" w:cs="Calibri"/>
                <w:noProof w:val="0"/>
                <w:color w:val="000000"/>
                <w:sz w:val="16"/>
                <w:szCs w:val="16"/>
              </w:rPr>
            </w:pPr>
            <w:r w:rsidRPr="00E75E76">
              <w:rPr>
                <w:rFonts w:ascii="Calibri" w:hAnsi="Calibri" w:cs="Calibri"/>
                <w:noProof w:val="0"/>
                <w:color w:val="000000"/>
                <w:sz w:val="16"/>
                <w:szCs w:val="16"/>
              </w:rPr>
              <w:t>Low certainty</w:t>
            </w:r>
          </w:p>
        </w:tc>
        <w:tc>
          <w:tcPr>
            <w:tcW w:w="1149" w:type="dxa"/>
            <w:tcBorders>
              <w:top w:val="nil"/>
              <w:left w:val="nil"/>
              <w:bottom w:val="single" w:sz="4" w:space="0" w:color="B5DDDC"/>
              <w:right w:val="single" w:sz="4" w:space="0" w:color="B5DDDC"/>
            </w:tcBorders>
            <w:vAlign w:val="center"/>
            <w:hideMark/>
          </w:tcPr>
          <w:p w14:paraId="4F445DF4" w14:textId="6C7FE552" w:rsidR="007270CD" w:rsidRDefault="00171C91" w:rsidP="00E75E76">
            <w:pPr>
              <w:spacing w:before="0" w:after="0" w:line="240" w:lineRule="auto"/>
              <w:rPr>
                <w:rFonts w:ascii="Calibri" w:hAnsi="Calibri" w:cs="Calibri"/>
                <w:noProof w:val="0"/>
                <w:color w:val="000000"/>
                <w:sz w:val="16"/>
                <w:szCs w:val="16"/>
              </w:rPr>
            </w:pPr>
            <w:r>
              <w:rPr>
                <w:rFonts w:ascii="Calibri" w:hAnsi="Calibri" w:cs="Calibri"/>
                <w:noProof w:val="0"/>
                <w:color w:val="000000"/>
                <w:sz w:val="16"/>
                <w:szCs w:val="16"/>
              </w:rPr>
              <w:t>Not serious</w:t>
            </w:r>
          </w:p>
          <w:p w14:paraId="018D6E2F" w14:textId="77777777" w:rsidR="007270CD" w:rsidRDefault="007270CD" w:rsidP="00AB577D">
            <w:pPr>
              <w:spacing w:before="0" w:after="0" w:line="240" w:lineRule="auto"/>
              <w:rPr>
                <w:rFonts w:ascii="Calibri" w:hAnsi="Calibri" w:cs="Calibri"/>
                <w:noProof w:val="0"/>
                <w:color w:val="000000"/>
                <w:sz w:val="16"/>
                <w:szCs w:val="16"/>
              </w:rPr>
            </w:pPr>
          </w:p>
          <w:p w14:paraId="40080C9B" w14:textId="2A5A2367" w:rsidR="00864BB5" w:rsidRPr="00397A3E" w:rsidRDefault="00171C91" w:rsidP="00AB577D">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 xml:space="preserve">Overall risk of bias is </w:t>
            </w:r>
            <w:r w:rsidR="00DA78FF">
              <w:rPr>
                <w:rFonts w:ascii="Calibri" w:hAnsi="Calibri" w:cs="Calibri"/>
                <w:noProof w:val="0"/>
                <w:color w:val="000000"/>
                <w:sz w:val="16"/>
                <w:szCs w:val="16"/>
              </w:rPr>
              <w:t>p</w:t>
            </w:r>
            <w:r w:rsidRPr="00397A3E">
              <w:rPr>
                <w:rFonts w:ascii="Calibri" w:hAnsi="Calibri" w:cs="Calibri"/>
                <w:noProof w:val="0"/>
                <w:color w:val="000000"/>
                <w:sz w:val="16"/>
                <w:szCs w:val="16"/>
              </w:rPr>
              <w:t xml:space="preserve">robably </w:t>
            </w:r>
            <w:r w:rsidR="00DA78FF">
              <w:rPr>
                <w:rFonts w:ascii="Calibri" w:hAnsi="Calibri" w:cs="Calibri"/>
                <w:noProof w:val="0"/>
                <w:color w:val="000000"/>
                <w:sz w:val="16"/>
                <w:szCs w:val="16"/>
              </w:rPr>
              <w:t>l</w:t>
            </w:r>
            <w:r w:rsidRPr="00397A3E">
              <w:rPr>
                <w:rFonts w:ascii="Calibri" w:hAnsi="Calibri" w:cs="Calibri"/>
                <w:noProof w:val="0"/>
                <w:color w:val="000000"/>
                <w:sz w:val="16"/>
                <w:szCs w:val="16"/>
              </w:rPr>
              <w:t>ow</w:t>
            </w:r>
          </w:p>
        </w:tc>
        <w:tc>
          <w:tcPr>
            <w:tcW w:w="1225" w:type="dxa"/>
            <w:tcBorders>
              <w:top w:val="nil"/>
              <w:left w:val="nil"/>
              <w:bottom w:val="single" w:sz="4" w:space="0" w:color="B5DDDC"/>
              <w:right w:val="single" w:sz="4" w:space="0" w:color="B5DDDC"/>
            </w:tcBorders>
            <w:vAlign w:val="center"/>
            <w:hideMark/>
          </w:tcPr>
          <w:p w14:paraId="0FD877F2" w14:textId="77777777" w:rsidR="00864BB5" w:rsidRPr="00397A3E" w:rsidRDefault="00171C91" w:rsidP="00AB577D">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Not serious</w:t>
            </w:r>
            <w:r w:rsidRPr="00397A3E">
              <w:rPr>
                <w:rFonts w:ascii="Calibri" w:hAnsi="Calibri" w:cs="Calibri"/>
                <w:noProof w:val="0"/>
                <w:color w:val="000000"/>
                <w:sz w:val="16"/>
                <w:szCs w:val="16"/>
                <w:vertAlign w:val="superscript"/>
              </w:rPr>
              <w:t>1.</w:t>
            </w:r>
          </w:p>
        </w:tc>
        <w:tc>
          <w:tcPr>
            <w:tcW w:w="1169" w:type="dxa"/>
            <w:tcBorders>
              <w:top w:val="nil"/>
              <w:left w:val="nil"/>
              <w:bottom w:val="single" w:sz="4" w:space="0" w:color="B5DDDC"/>
              <w:right w:val="single" w:sz="4" w:space="0" w:color="B5DDDC"/>
            </w:tcBorders>
            <w:vAlign w:val="center"/>
            <w:hideMark/>
          </w:tcPr>
          <w:p w14:paraId="7E7E2606" w14:textId="77777777" w:rsidR="00864BB5" w:rsidRPr="00397A3E" w:rsidRDefault="00171C91" w:rsidP="00AB577D">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Not serious</w:t>
            </w:r>
            <w:r w:rsidRPr="00397A3E">
              <w:rPr>
                <w:rFonts w:ascii="Calibri" w:hAnsi="Calibri" w:cs="Calibri"/>
                <w:noProof w:val="0"/>
                <w:color w:val="000000"/>
                <w:sz w:val="16"/>
                <w:szCs w:val="16"/>
                <w:vertAlign w:val="superscript"/>
              </w:rPr>
              <w:t>2.</w:t>
            </w:r>
          </w:p>
        </w:tc>
        <w:tc>
          <w:tcPr>
            <w:tcW w:w="1180" w:type="dxa"/>
            <w:tcBorders>
              <w:top w:val="nil"/>
              <w:left w:val="nil"/>
              <w:bottom w:val="single" w:sz="4" w:space="0" w:color="B5DDDC"/>
              <w:right w:val="single" w:sz="4" w:space="0" w:color="B5DDDC"/>
            </w:tcBorders>
            <w:vAlign w:val="center"/>
            <w:hideMark/>
          </w:tcPr>
          <w:p w14:paraId="4885AD57" w14:textId="77777777" w:rsidR="00864BB5" w:rsidRPr="00397A3E" w:rsidRDefault="00171C91" w:rsidP="00AB577D">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Not serious</w:t>
            </w:r>
          </w:p>
        </w:tc>
        <w:tc>
          <w:tcPr>
            <w:tcW w:w="1101" w:type="dxa"/>
            <w:tcBorders>
              <w:top w:val="nil"/>
              <w:left w:val="nil"/>
              <w:bottom w:val="single" w:sz="4" w:space="0" w:color="B5DDDC"/>
              <w:right w:val="single" w:sz="4" w:space="0" w:color="B5DDDC"/>
            </w:tcBorders>
            <w:vAlign w:val="center"/>
            <w:hideMark/>
          </w:tcPr>
          <w:p w14:paraId="4B57B181" w14:textId="77777777" w:rsidR="00864BB5" w:rsidRPr="00397A3E" w:rsidRDefault="00171C91" w:rsidP="00AB577D">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Undetected</w:t>
            </w:r>
          </w:p>
        </w:tc>
        <w:tc>
          <w:tcPr>
            <w:tcW w:w="1203" w:type="dxa"/>
            <w:tcBorders>
              <w:top w:val="nil"/>
              <w:left w:val="nil"/>
              <w:bottom w:val="single" w:sz="4" w:space="0" w:color="B5DDDC"/>
              <w:right w:val="single" w:sz="4" w:space="0" w:color="B5DDDC"/>
            </w:tcBorders>
            <w:vAlign w:val="center"/>
            <w:hideMark/>
          </w:tcPr>
          <w:p w14:paraId="7E4185F7" w14:textId="73922391" w:rsidR="00864BB5" w:rsidRPr="00397A3E" w:rsidRDefault="00171C91" w:rsidP="00AB577D">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N/A</w:t>
            </w:r>
            <w:r w:rsidRPr="00397A3E">
              <w:rPr>
                <w:rFonts w:ascii="Calibri" w:hAnsi="Calibri" w:cs="Calibri"/>
                <w:noProof w:val="0"/>
                <w:color w:val="000000"/>
                <w:sz w:val="16"/>
                <w:szCs w:val="16"/>
                <w:vertAlign w:val="superscript"/>
              </w:rPr>
              <w:t>3</w:t>
            </w:r>
          </w:p>
        </w:tc>
        <w:tc>
          <w:tcPr>
            <w:tcW w:w="1210" w:type="dxa"/>
            <w:tcBorders>
              <w:top w:val="nil"/>
              <w:left w:val="nil"/>
              <w:bottom w:val="single" w:sz="4" w:space="0" w:color="B5DDDC"/>
              <w:right w:val="single" w:sz="4" w:space="0" w:color="B5DDDC"/>
            </w:tcBorders>
            <w:vAlign w:val="center"/>
            <w:hideMark/>
          </w:tcPr>
          <w:p w14:paraId="32BD4859" w14:textId="0EAE6E50" w:rsidR="00864BB5" w:rsidRPr="00397A3E" w:rsidRDefault="00171C91" w:rsidP="00AB577D">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N/A</w:t>
            </w:r>
            <w:r w:rsidRPr="00397A3E">
              <w:rPr>
                <w:rFonts w:ascii="Calibri" w:hAnsi="Calibri" w:cs="Calibri"/>
                <w:noProof w:val="0"/>
                <w:color w:val="000000"/>
                <w:sz w:val="16"/>
                <w:szCs w:val="16"/>
                <w:vertAlign w:val="superscript"/>
              </w:rPr>
              <w:t>4</w:t>
            </w:r>
          </w:p>
        </w:tc>
        <w:tc>
          <w:tcPr>
            <w:tcW w:w="1276" w:type="dxa"/>
            <w:tcBorders>
              <w:top w:val="nil"/>
              <w:left w:val="nil"/>
              <w:bottom w:val="single" w:sz="4" w:space="0" w:color="B5DDDC"/>
              <w:right w:val="single" w:sz="4" w:space="0" w:color="B5DDDC"/>
            </w:tcBorders>
            <w:vAlign w:val="center"/>
            <w:hideMark/>
          </w:tcPr>
          <w:p w14:paraId="228D3C4D" w14:textId="77777777" w:rsidR="00864BB5" w:rsidRPr="00397A3E" w:rsidRDefault="00171C91" w:rsidP="00AB577D">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No</w:t>
            </w:r>
            <w:r w:rsidRPr="00397A3E">
              <w:rPr>
                <w:rFonts w:ascii="Calibri" w:hAnsi="Calibri" w:cs="Calibri"/>
                <w:noProof w:val="0"/>
                <w:color w:val="000000"/>
                <w:sz w:val="16"/>
                <w:szCs w:val="16"/>
                <w:vertAlign w:val="superscript"/>
              </w:rPr>
              <w:t>5</w:t>
            </w:r>
          </w:p>
        </w:tc>
        <w:tc>
          <w:tcPr>
            <w:tcW w:w="1275" w:type="dxa"/>
            <w:tcBorders>
              <w:top w:val="nil"/>
              <w:left w:val="nil"/>
              <w:bottom w:val="single" w:sz="4" w:space="0" w:color="B5DDDC"/>
              <w:right w:val="single" w:sz="4" w:space="0" w:color="B5DDDC"/>
            </w:tcBorders>
            <w:vAlign w:val="center"/>
            <w:hideMark/>
          </w:tcPr>
          <w:p w14:paraId="1F4F11C5" w14:textId="77777777" w:rsidR="00864BB5" w:rsidRPr="00397A3E" w:rsidRDefault="00171C91" w:rsidP="00AB577D">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N/A</w:t>
            </w:r>
            <w:r w:rsidRPr="00397A3E">
              <w:rPr>
                <w:rFonts w:ascii="Calibri" w:hAnsi="Calibri" w:cs="Calibri"/>
                <w:noProof w:val="0"/>
                <w:color w:val="000000"/>
                <w:sz w:val="16"/>
                <w:szCs w:val="16"/>
                <w:vertAlign w:val="superscript"/>
              </w:rPr>
              <w:t>6</w:t>
            </w:r>
          </w:p>
        </w:tc>
        <w:tc>
          <w:tcPr>
            <w:tcW w:w="1276" w:type="dxa"/>
            <w:tcBorders>
              <w:top w:val="nil"/>
              <w:left w:val="nil"/>
              <w:bottom w:val="single" w:sz="4" w:space="0" w:color="B5DDDC"/>
              <w:right w:val="single" w:sz="4" w:space="0" w:color="B5DDDC"/>
            </w:tcBorders>
            <w:vAlign w:val="center"/>
            <w:hideMark/>
          </w:tcPr>
          <w:p w14:paraId="37696418" w14:textId="77777777" w:rsidR="00864BB5" w:rsidRPr="00397A3E" w:rsidRDefault="00171C91" w:rsidP="00AB577D">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rPr>
              <w:t>No</w:t>
            </w:r>
          </w:p>
        </w:tc>
        <w:tc>
          <w:tcPr>
            <w:tcW w:w="1276" w:type="dxa"/>
            <w:tcBorders>
              <w:top w:val="nil"/>
              <w:left w:val="nil"/>
              <w:bottom w:val="single" w:sz="4" w:space="0" w:color="B5DDDC"/>
              <w:right w:val="single" w:sz="4" w:space="0" w:color="B5DDDC"/>
            </w:tcBorders>
            <w:vAlign w:val="center"/>
            <w:hideMark/>
          </w:tcPr>
          <w:p w14:paraId="316E5AD2" w14:textId="77777777" w:rsidR="00864BB5" w:rsidRDefault="00171C91" w:rsidP="00AB577D">
            <w:pPr>
              <w:spacing w:before="0" w:after="0" w:line="240" w:lineRule="auto"/>
              <w:rPr>
                <w:rFonts w:ascii="Calibri" w:hAnsi="Calibri" w:cs="Calibri"/>
                <w:b/>
                <w:bCs/>
                <w:noProof w:val="0"/>
                <w:color w:val="000000"/>
                <w:sz w:val="16"/>
                <w:szCs w:val="16"/>
              </w:rPr>
            </w:pPr>
            <w:r w:rsidRPr="00397A3E">
              <w:rPr>
                <w:rFonts w:ascii="Cambria Math" w:hAnsi="Cambria Math" w:cs="Cambria Math"/>
                <w:b/>
                <w:bCs/>
                <w:noProof w:val="0"/>
                <w:color w:val="000000"/>
                <w:sz w:val="16"/>
                <w:szCs w:val="16"/>
              </w:rPr>
              <w:t>⊕⊕</w:t>
            </w:r>
            <w:r w:rsidRPr="00397A3E">
              <w:rPr>
                <w:rFonts w:ascii="Calibri" w:hAnsi="Calibri" w:cs="Calibri"/>
                <w:b/>
                <w:bCs/>
                <w:noProof w:val="0"/>
                <w:color w:val="000000"/>
                <w:sz w:val="16"/>
                <w:szCs w:val="16"/>
              </w:rPr>
              <w:t>ΟΟ</w:t>
            </w:r>
          </w:p>
          <w:p w14:paraId="3ABED2B1" w14:textId="77777777" w:rsidR="007270CD" w:rsidRDefault="007270CD" w:rsidP="00AB577D">
            <w:pPr>
              <w:spacing w:before="0" w:after="0" w:line="240" w:lineRule="auto"/>
              <w:rPr>
                <w:rFonts w:ascii="Calibri" w:hAnsi="Calibri" w:cs="Calibri"/>
                <w:b/>
                <w:bCs/>
                <w:noProof w:val="0"/>
                <w:color w:val="000000"/>
                <w:sz w:val="16"/>
                <w:szCs w:val="16"/>
              </w:rPr>
            </w:pPr>
          </w:p>
          <w:p w14:paraId="6131C907" w14:textId="6B4C51D2" w:rsidR="007270CD" w:rsidRPr="00397A3E" w:rsidRDefault="00171C91" w:rsidP="00AB577D">
            <w:pPr>
              <w:spacing w:before="0" w:after="0" w:line="240" w:lineRule="auto"/>
              <w:rPr>
                <w:rFonts w:ascii="Calibri" w:hAnsi="Calibri" w:cs="Calibri"/>
                <w:b/>
                <w:bCs/>
                <w:noProof w:val="0"/>
                <w:color w:val="000000"/>
                <w:sz w:val="16"/>
                <w:szCs w:val="16"/>
              </w:rPr>
            </w:pPr>
            <w:r>
              <w:rPr>
                <w:rFonts w:ascii="Calibri" w:hAnsi="Calibri" w:cs="Calibri"/>
                <w:b/>
                <w:bCs/>
                <w:noProof w:val="0"/>
                <w:color w:val="000000"/>
                <w:sz w:val="16"/>
                <w:szCs w:val="16"/>
              </w:rPr>
              <w:t>Low certainty</w:t>
            </w:r>
          </w:p>
        </w:tc>
      </w:tr>
    </w:tbl>
    <w:p w14:paraId="24ABC1CA" w14:textId="5483F169" w:rsidR="0050769B" w:rsidRPr="00397A3E" w:rsidRDefault="00171C91" w:rsidP="0050769B">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vertAlign w:val="superscript"/>
        </w:rPr>
        <w:t>1</w:t>
      </w:r>
      <w:r w:rsidRPr="00397A3E">
        <w:rPr>
          <w:rFonts w:ascii="Calibri" w:hAnsi="Calibri" w:cs="Calibri"/>
          <w:noProof w:val="0"/>
          <w:color w:val="000000"/>
          <w:sz w:val="16"/>
          <w:szCs w:val="16"/>
        </w:rPr>
        <w:t xml:space="preserve">.Substantial </w:t>
      </w:r>
      <w:r w:rsidR="00123A48">
        <w:rPr>
          <w:rFonts w:ascii="Calibri" w:hAnsi="Calibri" w:cs="Calibri"/>
          <w:noProof w:val="0"/>
          <w:color w:val="000000"/>
          <w:sz w:val="16"/>
          <w:szCs w:val="16"/>
        </w:rPr>
        <w:t xml:space="preserve">(high) </w:t>
      </w:r>
      <w:r w:rsidRPr="00397A3E">
        <w:rPr>
          <w:rFonts w:ascii="Calibri" w:hAnsi="Calibri" w:cs="Calibri"/>
          <w:noProof w:val="0"/>
          <w:color w:val="000000"/>
          <w:sz w:val="16"/>
          <w:szCs w:val="16"/>
        </w:rPr>
        <w:t xml:space="preserve">heterogeneity present.  However, this is due to </w:t>
      </w:r>
      <w:r w:rsidR="005849FB">
        <w:rPr>
          <w:rFonts w:ascii="Calibri" w:hAnsi="Calibri" w:cs="Calibri"/>
          <w:noProof w:val="0"/>
          <w:color w:val="000000"/>
          <w:sz w:val="16"/>
          <w:szCs w:val="16"/>
        </w:rPr>
        <w:t>the included</w:t>
      </w:r>
      <w:r w:rsidRPr="00397A3E">
        <w:rPr>
          <w:rFonts w:ascii="Calibri" w:hAnsi="Calibri" w:cs="Calibri"/>
          <w:noProof w:val="0"/>
          <w:color w:val="000000"/>
          <w:sz w:val="16"/>
          <w:szCs w:val="16"/>
        </w:rPr>
        <w:t xml:space="preserve"> studies</w:t>
      </w:r>
      <w:r w:rsidR="005849FB">
        <w:rPr>
          <w:rFonts w:ascii="Calibri" w:hAnsi="Calibri" w:cs="Calibri"/>
          <w:noProof w:val="0"/>
          <w:color w:val="000000"/>
          <w:sz w:val="16"/>
          <w:szCs w:val="16"/>
        </w:rPr>
        <w:t xml:space="preserve"> (including those in the systematic review)</w:t>
      </w:r>
      <w:r w:rsidRPr="00397A3E">
        <w:rPr>
          <w:rFonts w:ascii="Calibri" w:hAnsi="Calibri" w:cs="Calibri"/>
          <w:noProof w:val="0"/>
          <w:color w:val="000000"/>
          <w:sz w:val="16"/>
          <w:szCs w:val="16"/>
        </w:rPr>
        <w:t xml:space="preserve"> each focussing on different </w:t>
      </w:r>
      <w:r w:rsidR="008843FD" w:rsidRPr="00397A3E">
        <w:rPr>
          <w:rFonts w:ascii="Calibri" w:hAnsi="Calibri" w:cs="Calibri"/>
          <w:noProof w:val="0"/>
          <w:color w:val="000000"/>
          <w:sz w:val="16"/>
          <w:szCs w:val="16"/>
        </w:rPr>
        <w:t>aspect</w:t>
      </w:r>
      <w:r w:rsidR="00D25D09" w:rsidRPr="00397A3E">
        <w:rPr>
          <w:rFonts w:ascii="Calibri" w:hAnsi="Calibri" w:cs="Calibri"/>
          <w:noProof w:val="0"/>
          <w:color w:val="000000"/>
          <w:sz w:val="16"/>
          <w:szCs w:val="16"/>
        </w:rPr>
        <w:t>s</w:t>
      </w:r>
      <w:r w:rsidR="008843FD" w:rsidRPr="00397A3E">
        <w:rPr>
          <w:rFonts w:ascii="Calibri" w:hAnsi="Calibri" w:cs="Calibri"/>
          <w:noProof w:val="0"/>
          <w:color w:val="000000"/>
          <w:sz w:val="16"/>
          <w:szCs w:val="16"/>
        </w:rPr>
        <w:t xml:space="preserve"> of microbial risks to recreational water users</w:t>
      </w:r>
      <w:r w:rsidRPr="00397A3E">
        <w:rPr>
          <w:rFonts w:ascii="Calibri" w:hAnsi="Calibri" w:cs="Calibri"/>
          <w:noProof w:val="0"/>
          <w:color w:val="000000"/>
          <w:sz w:val="16"/>
          <w:szCs w:val="16"/>
        </w:rPr>
        <w:t>.</w:t>
      </w:r>
    </w:p>
    <w:p w14:paraId="6C362511" w14:textId="77777777" w:rsidR="0050769B" w:rsidRPr="00397A3E" w:rsidRDefault="00171C91" w:rsidP="0050769B">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vertAlign w:val="superscript"/>
        </w:rPr>
        <w:t>2</w:t>
      </w:r>
      <w:r w:rsidRPr="00397A3E">
        <w:rPr>
          <w:rFonts w:ascii="Calibri" w:hAnsi="Calibri" w:cs="Calibri"/>
          <w:noProof w:val="0"/>
          <w:color w:val="000000"/>
          <w:sz w:val="16"/>
          <w:szCs w:val="16"/>
        </w:rPr>
        <w:t>.Indirectness of evidence is not serious. No changes to the nature of the proposed risks, or their settings would be expected to have occurred since the publication of the studies.</w:t>
      </w:r>
    </w:p>
    <w:p w14:paraId="7438F056" w14:textId="114BEF25" w:rsidR="0050769B" w:rsidRPr="00397A3E" w:rsidRDefault="00171C91" w:rsidP="0050769B">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vertAlign w:val="superscript"/>
        </w:rPr>
        <w:t>3</w:t>
      </w:r>
      <w:r w:rsidRPr="00397A3E">
        <w:rPr>
          <w:rFonts w:ascii="Calibri" w:hAnsi="Calibri" w:cs="Calibri"/>
          <w:noProof w:val="0"/>
          <w:color w:val="000000"/>
          <w:sz w:val="16"/>
          <w:szCs w:val="16"/>
        </w:rPr>
        <w:t xml:space="preserve">. </w:t>
      </w:r>
      <w:r w:rsidR="000D0F7C" w:rsidRPr="00397A3E">
        <w:rPr>
          <w:rFonts w:ascii="Calibri" w:hAnsi="Calibri" w:cs="Calibri"/>
          <w:noProof w:val="0"/>
          <w:color w:val="000000"/>
          <w:sz w:val="16"/>
          <w:szCs w:val="16"/>
        </w:rPr>
        <w:t>Due to heterogeneity of studies and, in many cases, the multitude of effects tested, no single class of effect could be isolated with respect to the primary research question.</w:t>
      </w:r>
    </w:p>
    <w:p w14:paraId="47691A7D" w14:textId="28D9CAEA" w:rsidR="0050769B" w:rsidRPr="00397A3E" w:rsidRDefault="00171C91" w:rsidP="0050769B">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vertAlign w:val="superscript"/>
        </w:rPr>
        <w:t>4</w:t>
      </w:r>
      <w:r w:rsidRPr="00397A3E">
        <w:rPr>
          <w:rFonts w:ascii="Calibri" w:hAnsi="Calibri" w:cs="Calibri"/>
          <w:noProof w:val="0"/>
          <w:color w:val="000000"/>
          <w:sz w:val="16"/>
          <w:szCs w:val="16"/>
        </w:rPr>
        <w:t xml:space="preserve">. </w:t>
      </w:r>
      <w:r w:rsidR="00084CC7" w:rsidRPr="00397A3E">
        <w:rPr>
          <w:rFonts w:ascii="Calibri" w:hAnsi="Calibri" w:cs="Calibri"/>
          <w:noProof w:val="0"/>
          <w:color w:val="000000"/>
          <w:sz w:val="16"/>
          <w:szCs w:val="16"/>
        </w:rPr>
        <w:t>With respect to microbial risks, specific pathogen dose response relationships were not reported in the selected literature</w:t>
      </w:r>
      <w:r w:rsidR="00FF7445" w:rsidRPr="00397A3E">
        <w:rPr>
          <w:rFonts w:ascii="Calibri" w:hAnsi="Calibri" w:cs="Calibri"/>
          <w:noProof w:val="0"/>
          <w:color w:val="000000"/>
          <w:sz w:val="16"/>
          <w:szCs w:val="16"/>
        </w:rPr>
        <w:t xml:space="preserve"> therefore no grading against this category can be made.</w:t>
      </w:r>
    </w:p>
    <w:p w14:paraId="262A0202" w14:textId="77777777" w:rsidR="0050769B" w:rsidRPr="00397A3E" w:rsidRDefault="00171C91" w:rsidP="0050769B">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vertAlign w:val="superscript"/>
        </w:rPr>
        <w:t>5</w:t>
      </w:r>
      <w:r w:rsidRPr="00397A3E">
        <w:rPr>
          <w:rFonts w:ascii="Calibri" w:hAnsi="Calibri" w:cs="Calibri"/>
          <w:noProof w:val="0"/>
          <w:color w:val="000000"/>
          <w:sz w:val="16"/>
          <w:szCs w:val="16"/>
        </w:rPr>
        <w:t>. No evidence of confounding of evidence was identified in any of the studies.</w:t>
      </w:r>
    </w:p>
    <w:p w14:paraId="349BBCFA" w14:textId="3AB5B861" w:rsidR="0050769B" w:rsidRDefault="00171C91" w:rsidP="0050769B">
      <w:pPr>
        <w:spacing w:before="0" w:after="0" w:line="240" w:lineRule="auto"/>
        <w:rPr>
          <w:rFonts w:ascii="Calibri" w:hAnsi="Calibri" w:cs="Calibri"/>
          <w:noProof w:val="0"/>
          <w:color w:val="000000"/>
          <w:sz w:val="16"/>
          <w:szCs w:val="16"/>
        </w:rPr>
      </w:pPr>
      <w:r w:rsidRPr="00397A3E">
        <w:rPr>
          <w:rFonts w:ascii="Calibri" w:hAnsi="Calibri" w:cs="Calibri"/>
          <w:noProof w:val="0"/>
          <w:color w:val="000000"/>
          <w:sz w:val="16"/>
          <w:szCs w:val="16"/>
          <w:vertAlign w:val="superscript"/>
        </w:rPr>
        <w:t>6</w:t>
      </w:r>
      <w:r w:rsidRPr="00397A3E">
        <w:rPr>
          <w:rFonts w:ascii="Calibri" w:hAnsi="Calibri" w:cs="Calibri"/>
          <w:noProof w:val="0"/>
          <w:color w:val="000000"/>
          <w:sz w:val="16"/>
          <w:szCs w:val="16"/>
        </w:rPr>
        <w:t xml:space="preserve">. </w:t>
      </w:r>
      <w:r w:rsidR="009D1FA5" w:rsidRPr="00397A3E">
        <w:rPr>
          <w:rFonts w:ascii="Calibri" w:hAnsi="Calibri" w:cs="Calibri"/>
          <w:noProof w:val="0"/>
          <w:color w:val="000000"/>
          <w:sz w:val="16"/>
          <w:szCs w:val="16"/>
        </w:rPr>
        <w:t>In most cases the studies addressed human health effects via reference to guideline values, whilst the remainder did not</w:t>
      </w:r>
      <w:r w:rsidRPr="00397A3E">
        <w:rPr>
          <w:rFonts w:ascii="Calibri" w:hAnsi="Calibri" w:cs="Calibri"/>
          <w:noProof w:val="0"/>
          <w:color w:val="000000"/>
          <w:sz w:val="16"/>
          <w:szCs w:val="16"/>
        </w:rPr>
        <w:t xml:space="preserve"> </w:t>
      </w:r>
      <w:r w:rsidR="009D1FA5" w:rsidRPr="00397A3E">
        <w:rPr>
          <w:rFonts w:ascii="Calibri" w:hAnsi="Calibri" w:cs="Calibri"/>
          <w:noProof w:val="0"/>
          <w:color w:val="000000"/>
          <w:sz w:val="16"/>
          <w:szCs w:val="16"/>
        </w:rPr>
        <w:t>specifically address health impacts, thus no grading against this category can be made.</w:t>
      </w:r>
    </w:p>
    <w:p w14:paraId="686F4437" w14:textId="58A84145" w:rsidR="00123A48" w:rsidRPr="00397A3E" w:rsidRDefault="00171C91" w:rsidP="0050769B">
      <w:pPr>
        <w:spacing w:before="0" w:after="0" w:line="240" w:lineRule="auto"/>
        <w:rPr>
          <w:rFonts w:ascii="Calibri" w:hAnsi="Calibri" w:cs="Calibri"/>
          <w:noProof w:val="0"/>
          <w:color w:val="000000"/>
          <w:sz w:val="16"/>
          <w:szCs w:val="16"/>
        </w:rPr>
      </w:pPr>
      <w:r w:rsidRPr="00435A51">
        <w:rPr>
          <w:rFonts w:ascii="Calibri" w:hAnsi="Calibri" w:cs="Calibri"/>
          <w:noProof w:val="0"/>
          <w:color w:val="000000"/>
          <w:sz w:val="16"/>
          <w:szCs w:val="16"/>
          <w:vertAlign w:val="superscript"/>
        </w:rPr>
        <w:t>7</w:t>
      </w:r>
      <w:r>
        <w:rPr>
          <w:rFonts w:ascii="Calibri" w:hAnsi="Calibri" w:cs="Calibri"/>
          <w:noProof w:val="0"/>
          <w:color w:val="000000"/>
          <w:sz w:val="16"/>
          <w:szCs w:val="16"/>
        </w:rPr>
        <w:t xml:space="preserve">. GRADE assessment </w:t>
      </w:r>
      <w:r w:rsidR="00435A51">
        <w:rPr>
          <w:rFonts w:ascii="Calibri" w:hAnsi="Calibri" w:cs="Calibri"/>
          <w:noProof w:val="0"/>
          <w:color w:val="000000"/>
          <w:sz w:val="16"/>
          <w:szCs w:val="16"/>
        </w:rPr>
        <w:t xml:space="preserve">was not reported by the authors of the systematic review; </w:t>
      </w:r>
      <w:r w:rsidR="00832A1A">
        <w:rPr>
          <w:rFonts w:ascii="Calibri" w:hAnsi="Calibri" w:cs="Calibri"/>
          <w:noProof w:val="0"/>
          <w:color w:val="000000"/>
          <w:sz w:val="16"/>
          <w:szCs w:val="16"/>
        </w:rPr>
        <w:t>however,</w:t>
      </w:r>
      <w:r w:rsidR="008032C8">
        <w:rPr>
          <w:rFonts w:ascii="Calibri" w:hAnsi="Calibri" w:cs="Calibri"/>
          <w:noProof w:val="0"/>
          <w:color w:val="000000"/>
          <w:sz w:val="16"/>
          <w:szCs w:val="16"/>
        </w:rPr>
        <w:t xml:space="preserve"> th</w:t>
      </w:r>
      <w:r w:rsidR="00435A51">
        <w:rPr>
          <w:rFonts w:ascii="Calibri" w:hAnsi="Calibri" w:cs="Calibri"/>
          <w:noProof w:val="0"/>
          <w:color w:val="000000"/>
          <w:sz w:val="16"/>
          <w:szCs w:val="16"/>
        </w:rPr>
        <w:t>is certainty rating attempts to capture the findings and limitations of the reported meta-analyses</w:t>
      </w:r>
      <w:r w:rsidR="00832A1A">
        <w:rPr>
          <w:rFonts w:ascii="Calibri" w:hAnsi="Calibri" w:cs="Calibri"/>
          <w:noProof w:val="0"/>
          <w:color w:val="000000"/>
          <w:sz w:val="16"/>
          <w:szCs w:val="16"/>
        </w:rPr>
        <w:t xml:space="preserve">. </w:t>
      </w:r>
    </w:p>
    <w:p w14:paraId="55AD89C7" w14:textId="3857B766" w:rsidR="0050769B" w:rsidRPr="00397A3E" w:rsidRDefault="00171C91" w:rsidP="0050769B">
      <w:pPr>
        <w:spacing w:before="0" w:after="0" w:line="240" w:lineRule="auto"/>
        <w:rPr>
          <w:rFonts w:ascii="Calibri" w:hAnsi="Calibri" w:cs="Calibri"/>
          <w:noProof w:val="0"/>
          <w:color w:val="000000"/>
          <w:sz w:val="18"/>
          <w:szCs w:val="18"/>
        </w:rPr>
      </w:pPr>
      <w:r w:rsidRPr="00397A3E">
        <w:rPr>
          <w:rFonts w:ascii="Calibri" w:hAnsi="Calibri" w:cs="Calibri"/>
          <w:noProof w:val="0"/>
          <w:color w:val="000000"/>
          <w:sz w:val="18"/>
          <w:szCs w:val="18"/>
        </w:rPr>
        <w:t xml:space="preserve">Key to GRADE quality of evidence: </w:t>
      </w:r>
      <w:r w:rsidRPr="00397A3E">
        <w:rPr>
          <w:rFonts w:ascii="Calibri" w:hAnsi="Calibri" w:cs="Calibri"/>
          <w:noProof w:val="0"/>
          <w:color w:val="000000"/>
          <w:sz w:val="18"/>
          <w:szCs w:val="18"/>
        </w:rPr>
        <w:br/>
      </w:r>
      <w:r w:rsidRPr="00397A3E">
        <w:rPr>
          <w:rFonts w:ascii="Cambria Math" w:hAnsi="Cambria Math" w:cs="Cambria Math"/>
          <w:noProof w:val="0"/>
          <w:color w:val="000000"/>
          <w:sz w:val="18"/>
          <w:szCs w:val="18"/>
        </w:rPr>
        <w:t>⨁⨁⨁⨁</w:t>
      </w:r>
      <w:r w:rsidRPr="00397A3E">
        <w:rPr>
          <w:rFonts w:ascii="Calibri" w:hAnsi="Calibri" w:cs="Calibri"/>
          <w:noProof w:val="0"/>
          <w:color w:val="000000"/>
          <w:sz w:val="18"/>
          <w:szCs w:val="18"/>
        </w:rPr>
        <w:t xml:space="preserve"> = </w:t>
      </w:r>
      <w:r w:rsidR="003F5609" w:rsidRPr="00397A3E">
        <w:rPr>
          <w:rFonts w:ascii="Calibri" w:hAnsi="Calibri" w:cs="Calibri"/>
          <w:noProof w:val="0"/>
          <w:color w:val="000000"/>
          <w:sz w:val="18"/>
          <w:szCs w:val="18"/>
        </w:rPr>
        <w:t xml:space="preserve">High; </w:t>
      </w:r>
      <w:r w:rsidRPr="00397A3E">
        <w:rPr>
          <w:rFonts w:ascii="Calibri" w:hAnsi="Calibri" w:cs="Calibri"/>
          <w:noProof w:val="0"/>
          <w:color w:val="000000"/>
          <w:sz w:val="18"/>
          <w:szCs w:val="18"/>
        </w:rPr>
        <w:t xml:space="preserve">We are very confident in the reported associations; </w:t>
      </w:r>
      <w:r w:rsidRPr="00397A3E">
        <w:rPr>
          <w:rFonts w:ascii="Calibri" w:hAnsi="Calibri" w:cs="Calibri"/>
          <w:noProof w:val="0"/>
          <w:color w:val="000000"/>
          <w:sz w:val="18"/>
          <w:szCs w:val="18"/>
        </w:rPr>
        <w:br/>
      </w:r>
      <w:r w:rsidRPr="00397A3E">
        <w:rPr>
          <w:rFonts w:ascii="Cambria Math" w:hAnsi="Cambria Math" w:cs="Cambria Math"/>
          <w:noProof w:val="0"/>
          <w:color w:val="000000"/>
          <w:sz w:val="18"/>
          <w:szCs w:val="18"/>
        </w:rPr>
        <w:t>⨁⨁⨁◯</w:t>
      </w:r>
      <w:r w:rsidRPr="00397A3E">
        <w:rPr>
          <w:rFonts w:ascii="Calibri" w:hAnsi="Calibri" w:cs="Calibri"/>
          <w:noProof w:val="0"/>
          <w:color w:val="000000"/>
          <w:sz w:val="18"/>
          <w:szCs w:val="18"/>
        </w:rPr>
        <w:t xml:space="preserve"> = </w:t>
      </w:r>
      <w:r w:rsidR="003F5609" w:rsidRPr="00397A3E">
        <w:rPr>
          <w:rFonts w:ascii="Calibri" w:hAnsi="Calibri" w:cs="Calibri"/>
          <w:noProof w:val="0"/>
          <w:color w:val="000000"/>
          <w:sz w:val="18"/>
          <w:szCs w:val="18"/>
        </w:rPr>
        <w:t xml:space="preserve">Moderate; </w:t>
      </w:r>
      <w:r w:rsidRPr="00397A3E">
        <w:rPr>
          <w:rFonts w:ascii="Calibri" w:hAnsi="Calibri" w:cs="Calibri"/>
          <w:noProof w:val="0"/>
          <w:color w:val="000000"/>
          <w:sz w:val="18"/>
          <w:szCs w:val="18"/>
        </w:rPr>
        <w:t xml:space="preserve">We are moderately confident in the reported associations; </w:t>
      </w:r>
      <w:r w:rsidRPr="00397A3E">
        <w:rPr>
          <w:rFonts w:ascii="Calibri" w:hAnsi="Calibri" w:cs="Calibri"/>
          <w:noProof w:val="0"/>
          <w:color w:val="000000"/>
          <w:sz w:val="18"/>
          <w:szCs w:val="18"/>
        </w:rPr>
        <w:br/>
      </w:r>
      <w:r w:rsidRPr="00397A3E">
        <w:rPr>
          <w:rFonts w:ascii="Cambria Math" w:hAnsi="Cambria Math" w:cs="Cambria Math"/>
          <w:noProof w:val="0"/>
          <w:color w:val="000000"/>
          <w:sz w:val="18"/>
          <w:szCs w:val="18"/>
        </w:rPr>
        <w:t>⨁⨁◯◯</w:t>
      </w:r>
      <w:r w:rsidRPr="00397A3E">
        <w:rPr>
          <w:rFonts w:ascii="Calibri" w:hAnsi="Calibri" w:cs="Calibri"/>
          <w:noProof w:val="0"/>
          <w:color w:val="000000"/>
          <w:sz w:val="18"/>
          <w:szCs w:val="18"/>
        </w:rPr>
        <w:t xml:space="preserve"> = </w:t>
      </w:r>
      <w:r w:rsidR="003F5609" w:rsidRPr="00397A3E">
        <w:rPr>
          <w:rFonts w:ascii="Calibri" w:hAnsi="Calibri" w:cs="Calibri"/>
          <w:noProof w:val="0"/>
          <w:color w:val="000000"/>
          <w:sz w:val="18"/>
          <w:szCs w:val="18"/>
        </w:rPr>
        <w:t xml:space="preserve">Low; </w:t>
      </w:r>
      <w:r w:rsidRPr="00397A3E">
        <w:rPr>
          <w:rFonts w:ascii="Calibri" w:hAnsi="Calibri" w:cs="Calibri"/>
          <w:noProof w:val="0"/>
          <w:color w:val="000000"/>
          <w:sz w:val="18"/>
          <w:szCs w:val="18"/>
        </w:rPr>
        <w:t xml:space="preserve">Our confidence in the reported associations is limited; </w:t>
      </w:r>
      <w:r w:rsidRPr="00397A3E">
        <w:rPr>
          <w:rFonts w:ascii="Calibri" w:hAnsi="Calibri" w:cs="Calibri"/>
          <w:noProof w:val="0"/>
          <w:color w:val="000000"/>
          <w:sz w:val="18"/>
          <w:szCs w:val="18"/>
        </w:rPr>
        <w:br/>
      </w:r>
      <w:r w:rsidRPr="00397A3E">
        <w:rPr>
          <w:rFonts w:ascii="Cambria Math" w:hAnsi="Cambria Math" w:cs="Cambria Math"/>
          <w:noProof w:val="0"/>
          <w:color w:val="000000"/>
          <w:sz w:val="18"/>
          <w:szCs w:val="18"/>
        </w:rPr>
        <w:t>⨁◯◯◯</w:t>
      </w:r>
      <w:r w:rsidRPr="00397A3E">
        <w:rPr>
          <w:rFonts w:ascii="Calibri" w:hAnsi="Calibri" w:cs="Calibri"/>
          <w:noProof w:val="0"/>
          <w:color w:val="000000"/>
          <w:sz w:val="18"/>
          <w:szCs w:val="18"/>
        </w:rPr>
        <w:t xml:space="preserve"> = </w:t>
      </w:r>
      <w:r w:rsidR="003F5609" w:rsidRPr="00397A3E">
        <w:rPr>
          <w:rFonts w:ascii="Calibri" w:hAnsi="Calibri" w:cs="Calibri"/>
          <w:noProof w:val="0"/>
          <w:color w:val="000000"/>
          <w:sz w:val="18"/>
          <w:szCs w:val="18"/>
        </w:rPr>
        <w:t xml:space="preserve">Very Low; </w:t>
      </w:r>
      <w:r w:rsidRPr="00397A3E">
        <w:rPr>
          <w:rFonts w:ascii="Calibri" w:hAnsi="Calibri" w:cs="Calibri"/>
          <w:noProof w:val="0"/>
          <w:color w:val="000000"/>
          <w:sz w:val="18"/>
          <w:szCs w:val="18"/>
        </w:rPr>
        <w:t>We are not confident about the reported associations.</w:t>
      </w:r>
    </w:p>
    <w:p w14:paraId="5AFD0588" w14:textId="730CAE74" w:rsidR="00696BCE" w:rsidRPr="00397A3E" w:rsidRDefault="00696BCE" w:rsidP="00E5124B">
      <w:pPr>
        <w:rPr>
          <w:noProof w:val="0"/>
        </w:rPr>
      </w:pPr>
    </w:p>
    <w:p w14:paraId="5478DF87" w14:textId="77777777" w:rsidR="00C246CB" w:rsidRPr="00397A3E" w:rsidRDefault="00C246CB" w:rsidP="00E5124B">
      <w:pPr>
        <w:rPr>
          <w:noProof w:val="0"/>
        </w:rPr>
        <w:sectPr w:rsidR="00C246CB" w:rsidRPr="00397A3E" w:rsidSect="00C246CB">
          <w:headerReference w:type="default" r:id="rId41"/>
          <w:pgSz w:w="16838" w:h="11906" w:orient="landscape"/>
          <w:pgMar w:top="1588" w:right="1588" w:bottom="1418" w:left="1418" w:header="680" w:footer="709" w:gutter="0"/>
          <w:cols w:space="708"/>
          <w:docGrid w:linePitch="360"/>
        </w:sectPr>
      </w:pPr>
    </w:p>
    <w:p w14:paraId="0957C718" w14:textId="776912FB" w:rsidR="005944CE" w:rsidRPr="00397A3E" w:rsidRDefault="00171C91" w:rsidP="005944CE">
      <w:pPr>
        <w:pStyle w:val="Heading1"/>
        <w:rPr>
          <w:noProof w:val="0"/>
        </w:rPr>
      </w:pPr>
      <w:bookmarkStart w:id="403" w:name="_Toc106964844"/>
      <w:r w:rsidRPr="00397A3E">
        <w:rPr>
          <w:noProof w:val="0"/>
        </w:rPr>
        <w:t>Discussion</w:t>
      </w:r>
      <w:bookmarkEnd w:id="403"/>
    </w:p>
    <w:p w14:paraId="090802F9" w14:textId="11EF0673" w:rsidR="005944CE" w:rsidRPr="00397A3E" w:rsidRDefault="00171C91" w:rsidP="005944CE">
      <w:pPr>
        <w:pStyle w:val="Heading2"/>
        <w:rPr>
          <w:noProof w:val="0"/>
        </w:rPr>
      </w:pPr>
      <w:bookmarkStart w:id="404" w:name="_Toc106964845"/>
      <w:r w:rsidRPr="00397A3E">
        <w:rPr>
          <w:noProof w:val="0"/>
        </w:rPr>
        <w:t>Primary research question</w:t>
      </w:r>
      <w:bookmarkEnd w:id="404"/>
    </w:p>
    <w:p w14:paraId="65F72969" w14:textId="4186953F" w:rsidR="0087620F" w:rsidRPr="0053290B" w:rsidRDefault="00171C91" w:rsidP="006605B4">
      <w:pPr>
        <w:rPr>
          <w:i/>
          <w:iCs/>
          <w:noProof w:val="0"/>
        </w:rPr>
      </w:pPr>
      <w:r w:rsidRPr="0053290B">
        <w:rPr>
          <w:i/>
          <w:iCs/>
          <w:noProof w:val="0"/>
        </w:rPr>
        <w:t>How can we monitor, assess, and predict risks from diffuse and point source microbial contamination in recreational waters?</w:t>
      </w:r>
    </w:p>
    <w:p w14:paraId="1E05878B" w14:textId="50012D1D" w:rsidR="00E7024E" w:rsidRPr="00397A3E" w:rsidRDefault="00171C91" w:rsidP="006605B4">
      <w:pPr>
        <w:rPr>
          <w:noProof w:val="0"/>
        </w:rPr>
      </w:pPr>
      <w:r w:rsidRPr="00397A3E">
        <w:rPr>
          <w:noProof w:val="0"/>
        </w:rPr>
        <w:t xml:space="preserve">In response to the primary research question evidence was sought </w:t>
      </w:r>
      <w:r w:rsidR="00C03D5C" w:rsidRPr="00397A3E">
        <w:rPr>
          <w:noProof w:val="0"/>
        </w:rPr>
        <w:t xml:space="preserve">from quality grey literature and primary studies that addressed monitoring, </w:t>
      </w:r>
      <w:r w:rsidR="00A86D70" w:rsidRPr="00397A3E">
        <w:rPr>
          <w:noProof w:val="0"/>
        </w:rPr>
        <w:t>assessment,</w:t>
      </w:r>
      <w:r w:rsidR="00C03D5C" w:rsidRPr="00397A3E">
        <w:rPr>
          <w:noProof w:val="0"/>
        </w:rPr>
        <w:t xml:space="preserve"> and prediction of risks from microbial diffuse and point sources in recreational waters.  </w:t>
      </w:r>
      <w:r w:rsidR="006C0189" w:rsidRPr="00397A3E">
        <w:rPr>
          <w:noProof w:val="0"/>
        </w:rPr>
        <w:t xml:space="preserve">Given the broad nature of the research question, there was substantial heterogeneity in the literature which made it challenging to distil the review findings.  </w:t>
      </w:r>
      <w:r w:rsidR="004D70C5" w:rsidRPr="00397A3E">
        <w:rPr>
          <w:noProof w:val="0"/>
        </w:rPr>
        <w:t xml:space="preserve">Similarly, there was some overlap with the secondary research questions, particularly with respect to the use of indicators and/or surrogates of microbial risk. </w:t>
      </w:r>
      <w:r w:rsidR="00F7634B">
        <w:rPr>
          <w:noProof w:val="0"/>
        </w:rPr>
        <w:t>S</w:t>
      </w:r>
      <w:r w:rsidR="006C0189" w:rsidRPr="00397A3E">
        <w:rPr>
          <w:noProof w:val="0"/>
        </w:rPr>
        <w:t>ome broad themes</w:t>
      </w:r>
      <w:r w:rsidR="00424620" w:rsidRPr="00397A3E">
        <w:rPr>
          <w:noProof w:val="0"/>
        </w:rPr>
        <w:t>,</w:t>
      </w:r>
      <w:r w:rsidR="006C0189" w:rsidRPr="00397A3E">
        <w:rPr>
          <w:noProof w:val="0"/>
        </w:rPr>
        <w:t xml:space="preserve"> </w:t>
      </w:r>
      <w:r w:rsidR="00B601B8" w:rsidRPr="00397A3E">
        <w:rPr>
          <w:noProof w:val="0"/>
        </w:rPr>
        <w:t>consistent with the primary research question</w:t>
      </w:r>
      <w:r w:rsidR="00424620" w:rsidRPr="00397A3E">
        <w:rPr>
          <w:noProof w:val="0"/>
        </w:rPr>
        <w:t>,</w:t>
      </w:r>
      <w:r w:rsidR="00B601B8" w:rsidRPr="00397A3E">
        <w:rPr>
          <w:noProof w:val="0"/>
        </w:rPr>
        <w:t xml:space="preserve"> </w:t>
      </w:r>
      <w:r w:rsidR="006C0189" w:rsidRPr="00397A3E">
        <w:rPr>
          <w:noProof w:val="0"/>
        </w:rPr>
        <w:t>were present in the selected literature</w:t>
      </w:r>
      <w:r w:rsidR="00424620" w:rsidRPr="00397A3E">
        <w:rPr>
          <w:noProof w:val="0"/>
        </w:rPr>
        <w:t xml:space="preserve">.  These themes are listed in </w:t>
      </w:r>
      <w:r w:rsidR="00424620" w:rsidRPr="00397A3E">
        <w:rPr>
          <w:noProof w:val="0"/>
        </w:rPr>
        <w:fldChar w:fldCharType="begin"/>
      </w:r>
      <w:r w:rsidR="00424620" w:rsidRPr="00397A3E">
        <w:rPr>
          <w:noProof w:val="0"/>
        </w:rPr>
        <w:instrText xml:space="preserve"> REF _Ref94005000 \h </w:instrText>
      </w:r>
      <w:r w:rsidR="00424620" w:rsidRPr="00397A3E">
        <w:rPr>
          <w:noProof w:val="0"/>
        </w:rPr>
      </w:r>
      <w:r w:rsidR="00424620" w:rsidRPr="00397A3E">
        <w:rPr>
          <w:noProof w:val="0"/>
        </w:rPr>
        <w:fldChar w:fldCharType="separate"/>
      </w:r>
      <w:r w:rsidR="001A0E9F" w:rsidRPr="00397A3E">
        <w:rPr>
          <w:noProof w:val="0"/>
        </w:rPr>
        <w:t xml:space="preserve">Table </w:t>
      </w:r>
      <w:r w:rsidR="001A0E9F">
        <w:t>7</w:t>
      </w:r>
      <w:r w:rsidR="001A0E9F">
        <w:rPr>
          <w:noProof w:val="0"/>
        </w:rPr>
        <w:noBreakHyphen/>
      </w:r>
      <w:r w:rsidR="001A0E9F">
        <w:t>1</w:t>
      </w:r>
      <w:r w:rsidR="00424620" w:rsidRPr="00397A3E">
        <w:rPr>
          <w:noProof w:val="0"/>
        </w:rPr>
        <w:fldChar w:fldCharType="end"/>
      </w:r>
      <w:r w:rsidR="00424620" w:rsidRPr="00397A3E">
        <w:rPr>
          <w:noProof w:val="0"/>
        </w:rPr>
        <w:t xml:space="preserve"> and discussed further in the following text.</w:t>
      </w:r>
      <w:r w:rsidR="000A4982">
        <w:rPr>
          <w:noProof w:val="0"/>
        </w:rPr>
        <w:t xml:space="preserve"> The findings of the critical appraisal or certainty assessment of the underpinning evidence are also described.</w:t>
      </w:r>
    </w:p>
    <w:p w14:paraId="39C79F1F" w14:textId="3EC40B39" w:rsidR="00FF3251" w:rsidRPr="00397A3E" w:rsidRDefault="00171C91" w:rsidP="00FF3251">
      <w:pPr>
        <w:pStyle w:val="Caption"/>
        <w:rPr>
          <w:noProof w:val="0"/>
        </w:rPr>
      </w:pPr>
      <w:bookmarkStart w:id="405" w:name="_Ref94005000"/>
      <w:bookmarkStart w:id="406" w:name="_Toc106964874"/>
      <w:r w:rsidRPr="00397A3E">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7</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1</w:t>
      </w:r>
      <w:r w:rsidR="00F178D7">
        <w:rPr>
          <w:noProof w:val="0"/>
        </w:rPr>
        <w:fldChar w:fldCharType="end"/>
      </w:r>
      <w:bookmarkEnd w:id="405"/>
      <w:r w:rsidRPr="00397A3E">
        <w:rPr>
          <w:noProof w:val="0"/>
        </w:rPr>
        <w:t>. Major themes relevant to the primary research question in the reviewed literature.</w:t>
      </w:r>
      <w:bookmarkEnd w:id="406"/>
    </w:p>
    <w:tbl>
      <w:tblPr>
        <w:tblStyle w:val="DefaultTableStyle1"/>
        <w:tblW w:w="7650" w:type="dxa"/>
        <w:tblLook w:val="04A0" w:firstRow="1" w:lastRow="0" w:firstColumn="1" w:lastColumn="0" w:noHBand="0" w:noVBand="1"/>
      </w:tblPr>
      <w:tblGrid>
        <w:gridCol w:w="820"/>
        <w:gridCol w:w="2152"/>
        <w:gridCol w:w="4678"/>
      </w:tblGrid>
      <w:tr w:rsidR="009839B4" w14:paraId="5AEEB1A4" w14:textId="374A1384" w:rsidTr="00FA0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 w:type="dxa"/>
          </w:tcPr>
          <w:p w14:paraId="34EB7631" w14:textId="0CF419FA" w:rsidR="009839B4" w:rsidRPr="00397A3E" w:rsidRDefault="009839B4" w:rsidP="009839B4">
            <w:pPr>
              <w:pStyle w:val="TableText"/>
              <w:spacing w:before="60" w:after="60"/>
              <w:jc w:val="left"/>
              <w:rPr>
                <w:noProof w:val="0"/>
                <w:lang w:val="en-AU"/>
              </w:rPr>
            </w:pPr>
            <w:r w:rsidRPr="00397A3E">
              <w:rPr>
                <w:noProof w:val="0"/>
                <w:lang w:val="en-AU"/>
              </w:rPr>
              <w:t>Sources</w:t>
            </w:r>
          </w:p>
        </w:tc>
        <w:tc>
          <w:tcPr>
            <w:tcW w:w="2152" w:type="dxa"/>
          </w:tcPr>
          <w:p w14:paraId="267232DD" w14:textId="2BBB8EE9" w:rsidR="009839B4" w:rsidRPr="00397A3E" w:rsidRDefault="009839B4" w:rsidP="00FA0192">
            <w:pPr>
              <w:pStyle w:val="TableText"/>
              <w:spacing w:before="60" w:after="60"/>
              <w:jc w:val="left"/>
              <w:cnfStyle w:val="100000000000" w:firstRow="1" w:lastRow="0" w:firstColumn="0" w:lastColumn="0" w:oddVBand="0" w:evenVBand="0" w:oddHBand="0" w:evenHBand="0" w:firstRowFirstColumn="0" w:firstRowLastColumn="0" w:lastRowFirstColumn="0" w:lastRowLastColumn="0"/>
              <w:rPr>
                <w:noProof w:val="0"/>
                <w:lang w:val="en-AU"/>
              </w:rPr>
            </w:pPr>
            <w:r>
              <w:rPr>
                <w:noProof w:val="0"/>
                <w:lang w:val="en-AU"/>
              </w:rPr>
              <w:t>Critical appraisal or certainty assessment of included evidence</w:t>
            </w:r>
          </w:p>
        </w:tc>
        <w:tc>
          <w:tcPr>
            <w:tcW w:w="4678" w:type="dxa"/>
          </w:tcPr>
          <w:p w14:paraId="4821FCDE" w14:textId="556BB9DC" w:rsidR="009839B4" w:rsidRPr="00397A3E" w:rsidRDefault="009839B4" w:rsidP="009839B4">
            <w:pPr>
              <w:pStyle w:val="TableText"/>
              <w:spacing w:before="60" w:after="60"/>
              <w:jc w:val="left"/>
              <w:cnfStyle w:val="100000000000" w:firstRow="1" w:lastRow="0" w:firstColumn="0" w:lastColumn="0" w:oddVBand="0" w:evenVBand="0" w:oddHBand="0" w:evenHBand="0" w:firstRowFirstColumn="0" w:firstRowLastColumn="0" w:lastRowFirstColumn="0" w:lastRowLastColumn="0"/>
              <w:rPr>
                <w:noProof w:val="0"/>
                <w:lang w:val="en-AU"/>
              </w:rPr>
            </w:pPr>
            <w:r w:rsidRPr="00397A3E">
              <w:rPr>
                <w:noProof w:val="0"/>
                <w:lang w:val="en-AU"/>
              </w:rPr>
              <w:t>Themes</w:t>
            </w:r>
          </w:p>
        </w:tc>
      </w:tr>
      <w:tr w:rsidR="009839B4" w14:paraId="3BDADDF5" w14:textId="15AB3372" w:rsidTr="00FA0192">
        <w:trPr>
          <w:trHeight w:val="432"/>
        </w:trPr>
        <w:tc>
          <w:tcPr>
            <w:cnfStyle w:val="001000000000" w:firstRow="0" w:lastRow="0" w:firstColumn="1" w:lastColumn="0" w:oddVBand="0" w:evenVBand="0" w:oddHBand="0" w:evenHBand="0" w:firstRowFirstColumn="0" w:firstRowLastColumn="0" w:lastRowFirstColumn="0" w:lastRowLastColumn="0"/>
            <w:tcW w:w="820" w:type="dxa"/>
          </w:tcPr>
          <w:p w14:paraId="6E227B23" w14:textId="626BAA08" w:rsidR="009839B4" w:rsidRPr="00397A3E" w:rsidRDefault="009839B4" w:rsidP="009839B4">
            <w:pPr>
              <w:pStyle w:val="TableText"/>
              <w:spacing w:after="20"/>
              <w:rPr>
                <w:noProof w:val="0"/>
                <w:lang w:val="en-AU"/>
              </w:rPr>
            </w:pPr>
            <w:bookmarkStart w:id="407" w:name="_Hlk94197337"/>
            <w:r w:rsidRPr="00397A3E">
              <w:rPr>
                <w:noProof w:val="0"/>
                <w:lang w:val="en-AU"/>
              </w:rPr>
              <w:t xml:space="preserve">G3, G16 </w:t>
            </w:r>
          </w:p>
        </w:tc>
        <w:tc>
          <w:tcPr>
            <w:tcW w:w="2152" w:type="dxa"/>
          </w:tcPr>
          <w:p w14:paraId="16EC1C8C" w14:textId="2B7CF454" w:rsidR="009839B4" w:rsidRPr="00397A3E" w:rsidRDefault="009839B4" w:rsidP="00FA0192">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r w:rsidRPr="009839B4">
              <w:rPr>
                <w:noProof w:val="0"/>
                <w:lang w:val="en-AU"/>
              </w:rPr>
              <w:t>Su</w:t>
            </w:r>
            <w:r>
              <w:rPr>
                <w:noProof w:val="0"/>
                <w:lang w:val="en-AU"/>
              </w:rPr>
              <w:t>itable to adopt/adapt</w:t>
            </w:r>
          </w:p>
        </w:tc>
        <w:tc>
          <w:tcPr>
            <w:tcW w:w="4678" w:type="dxa"/>
            <w:vMerge w:val="restart"/>
          </w:tcPr>
          <w:p w14:paraId="6EEE62C0" w14:textId="69E9C265" w:rsidR="009839B4" w:rsidRPr="00397A3E" w:rsidRDefault="009839B4" w:rsidP="009839B4">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r w:rsidRPr="00397A3E">
              <w:rPr>
                <w:noProof w:val="0"/>
                <w:lang w:val="en-AU"/>
              </w:rPr>
              <w:t>The use of QMRA to evaluate alternative pollution events and management scenarios.</w:t>
            </w:r>
          </w:p>
        </w:tc>
      </w:tr>
      <w:tr w:rsidR="009839B4" w14:paraId="2AE739B9" w14:textId="77777777" w:rsidTr="00FA0192">
        <w:trPr>
          <w:trHeight w:val="432"/>
        </w:trPr>
        <w:tc>
          <w:tcPr>
            <w:cnfStyle w:val="001000000000" w:firstRow="0" w:lastRow="0" w:firstColumn="1" w:lastColumn="0" w:oddVBand="0" w:evenVBand="0" w:oddHBand="0" w:evenHBand="0" w:firstRowFirstColumn="0" w:firstRowLastColumn="0" w:lastRowFirstColumn="0" w:lastRowLastColumn="0"/>
            <w:tcW w:w="820" w:type="dxa"/>
          </w:tcPr>
          <w:p w14:paraId="1294B561" w14:textId="46086489" w:rsidR="009839B4" w:rsidRPr="00397A3E" w:rsidRDefault="009839B4" w:rsidP="009839B4">
            <w:pPr>
              <w:pStyle w:val="TableText"/>
              <w:spacing w:after="20"/>
              <w:rPr>
                <w:noProof w:val="0"/>
                <w:lang w:val="en-AU"/>
              </w:rPr>
            </w:pPr>
            <w:r w:rsidRPr="00397A3E">
              <w:rPr>
                <w:noProof w:val="0"/>
                <w:lang w:val="en-AU"/>
              </w:rPr>
              <w:t>J2, J35</w:t>
            </w:r>
          </w:p>
        </w:tc>
        <w:tc>
          <w:tcPr>
            <w:tcW w:w="2152" w:type="dxa"/>
          </w:tcPr>
          <w:p w14:paraId="6DFF15B0" w14:textId="433F5240" w:rsidR="009839B4" w:rsidRPr="00E00766" w:rsidRDefault="009839B4" w:rsidP="00FA0192">
            <w:pPr>
              <w:pStyle w:val="TableText"/>
              <w:spacing w:after="20"/>
              <w:jc w:val="left"/>
              <w:cnfStyle w:val="000000000000" w:firstRow="0" w:lastRow="0" w:firstColumn="0" w:lastColumn="0" w:oddVBand="0" w:evenVBand="0" w:oddHBand="0" w:evenHBand="0" w:firstRowFirstColumn="0" w:firstRowLastColumn="0" w:lastRowFirstColumn="0" w:lastRowLastColumn="0"/>
              <w:rPr>
                <w:i/>
                <w:iCs/>
                <w:noProof w:val="0"/>
                <w:lang w:val="en-AU"/>
              </w:rPr>
            </w:pPr>
            <w:r>
              <w:rPr>
                <w:noProof w:val="0"/>
              </w:rPr>
              <w:t>Low certainty: l</w:t>
            </w:r>
            <w:r w:rsidRPr="00E00766">
              <w:rPr>
                <w:noProof w:val="0"/>
              </w:rPr>
              <w:t>imited confidence in the reported associations</w:t>
            </w:r>
          </w:p>
        </w:tc>
        <w:tc>
          <w:tcPr>
            <w:tcW w:w="4678" w:type="dxa"/>
            <w:vMerge/>
          </w:tcPr>
          <w:p w14:paraId="6DEFFDC4" w14:textId="77777777" w:rsidR="009839B4" w:rsidRPr="00397A3E" w:rsidRDefault="009839B4" w:rsidP="009839B4">
            <w:pPr>
              <w:pStyle w:val="TableText"/>
              <w:spacing w:after="20"/>
              <w:cnfStyle w:val="000000000000" w:firstRow="0" w:lastRow="0" w:firstColumn="0" w:lastColumn="0" w:oddVBand="0" w:evenVBand="0" w:oddHBand="0" w:evenHBand="0" w:firstRowFirstColumn="0" w:firstRowLastColumn="0" w:lastRowFirstColumn="0" w:lastRowLastColumn="0"/>
              <w:rPr>
                <w:noProof w:val="0"/>
                <w:lang w:val="en-AU"/>
              </w:rPr>
            </w:pPr>
          </w:p>
        </w:tc>
      </w:tr>
      <w:tr w:rsidR="009839B4" w14:paraId="4F247E6A" w14:textId="56160BC0" w:rsidTr="00FA0192">
        <w:trPr>
          <w:trHeight w:val="351"/>
        </w:trPr>
        <w:tc>
          <w:tcPr>
            <w:cnfStyle w:val="001000000000" w:firstRow="0" w:lastRow="0" w:firstColumn="1" w:lastColumn="0" w:oddVBand="0" w:evenVBand="0" w:oddHBand="0" w:evenHBand="0" w:firstRowFirstColumn="0" w:firstRowLastColumn="0" w:lastRowFirstColumn="0" w:lastRowLastColumn="0"/>
            <w:tcW w:w="820" w:type="dxa"/>
          </w:tcPr>
          <w:p w14:paraId="5681DDBD" w14:textId="22D6305B" w:rsidR="009839B4" w:rsidRPr="00397A3E" w:rsidRDefault="009839B4" w:rsidP="009839B4">
            <w:pPr>
              <w:pStyle w:val="TableText"/>
              <w:spacing w:after="20"/>
              <w:rPr>
                <w:noProof w:val="0"/>
                <w:lang w:val="en-AU"/>
              </w:rPr>
            </w:pPr>
            <w:r w:rsidRPr="00397A3E">
              <w:rPr>
                <w:noProof w:val="0"/>
                <w:lang w:val="en-AU"/>
              </w:rPr>
              <w:t xml:space="preserve">G4, G8, G11, G16 </w:t>
            </w:r>
          </w:p>
        </w:tc>
        <w:tc>
          <w:tcPr>
            <w:tcW w:w="2152" w:type="dxa"/>
          </w:tcPr>
          <w:p w14:paraId="29CAABD5" w14:textId="6CA072A8" w:rsidR="009839B4" w:rsidRPr="00397A3E" w:rsidRDefault="009839B4" w:rsidP="00FA0192">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r>
              <w:rPr>
                <w:noProof w:val="0"/>
                <w:lang w:val="en-AU"/>
              </w:rPr>
              <w:t>Suitable to adopt/adapt</w:t>
            </w:r>
          </w:p>
        </w:tc>
        <w:tc>
          <w:tcPr>
            <w:tcW w:w="4678" w:type="dxa"/>
            <w:vMerge w:val="restart"/>
          </w:tcPr>
          <w:p w14:paraId="60AB3633" w14:textId="1A064816" w:rsidR="009839B4" w:rsidRPr="00397A3E" w:rsidRDefault="009839B4" w:rsidP="009839B4">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bookmarkStart w:id="408" w:name="_Hlk94008926"/>
            <w:r w:rsidRPr="00397A3E">
              <w:rPr>
                <w:noProof w:val="0"/>
                <w:lang w:val="en-AU"/>
              </w:rPr>
              <w:t>Systematic review findings broadly supportive of current paradigms of sources of microbial risks to recreational waters, types of situations or events increasing risk of GI, and classificatory approaches to management of GI risk.</w:t>
            </w:r>
            <w:bookmarkEnd w:id="408"/>
          </w:p>
        </w:tc>
      </w:tr>
      <w:tr w:rsidR="009839B4" w14:paraId="220ED622" w14:textId="77777777" w:rsidTr="00FA0192">
        <w:trPr>
          <w:trHeight w:val="350"/>
        </w:trPr>
        <w:tc>
          <w:tcPr>
            <w:cnfStyle w:val="001000000000" w:firstRow="0" w:lastRow="0" w:firstColumn="1" w:lastColumn="0" w:oddVBand="0" w:evenVBand="0" w:oddHBand="0" w:evenHBand="0" w:firstRowFirstColumn="0" w:firstRowLastColumn="0" w:lastRowFirstColumn="0" w:lastRowLastColumn="0"/>
            <w:tcW w:w="820" w:type="dxa"/>
          </w:tcPr>
          <w:p w14:paraId="2A4E1D64" w14:textId="7C90AB63" w:rsidR="009839B4" w:rsidRPr="00397A3E" w:rsidRDefault="009839B4" w:rsidP="009839B4">
            <w:pPr>
              <w:pStyle w:val="TableText"/>
              <w:spacing w:after="20"/>
              <w:rPr>
                <w:noProof w:val="0"/>
                <w:lang w:val="en-AU"/>
              </w:rPr>
            </w:pPr>
            <w:r w:rsidRPr="00397A3E">
              <w:rPr>
                <w:noProof w:val="0"/>
                <w:lang w:val="en-AU"/>
              </w:rPr>
              <w:t>J23</w:t>
            </w:r>
          </w:p>
        </w:tc>
        <w:tc>
          <w:tcPr>
            <w:tcW w:w="2152" w:type="dxa"/>
          </w:tcPr>
          <w:p w14:paraId="11CA532F" w14:textId="36E9C6EB" w:rsidR="009839B4" w:rsidRDefault="009839B4" w:rsidP="00FA0192">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r>
              <w:rPr>
                <w:noProof w:val="0"/>
                <w:lang w:val="en-AU"/>
              </w:rPr>
              <w:t>Low certainty: l</w:t>
            </w:r>
            <w:r w:rsidRPr="00E00766">
              <w:rPr>
                <w:noProof w:val="0"/>
                <w:lang w:val="en-AU"/>
              </w:rPr>
              <w:t>imited confidence in the reported associations</w:t>
            </w:r>
          </w:p>
        </w:tc>
        <w:tc>
          <w:tcPr>
            <w:tcW w:w="4678" w:type="dxa"/>
            <w:vMerge/>
          </w:tcPr>
          <w:p w14:paraId="19E5DAFD" w14:textId="77777777" w:rsidR="009839B4" w:rsidRPr="00397A3E" w:rsidRDefault="009839B4" w:rsidP="009839B4">
            <w:pPr>
              <w:pStyle w:val="TableText"/>
              <w:spacing w:after="20"/>
              <w:cnfStyle w:val="000000000000" w:firstRow="0" w:lastRow="0" w:firstColumn="0" w:lastColumn="0" w:oddVBand="0" w:evenVBand="0" w:oddHBand="0" w:evenHBand="0" w:firstRowFirstColumn="0" w:firstRowLastColumn="0" w:lastRowFirstColumn="0" w:lastRowLastColumn="0"/>
              <w:rPr>
                <w:noProof w:val="0"/>
                <w:lang w:val="en-AU"/>
              </w:rPr>
            </w:pPr>
          </w:p>
        </w:tc>
      </w:tr>
      <w:tr w:rsidR="009839B4" w14:paraId="516F875D" w14:textId="388F00EF" w:rsidTr="00FA0192">
        <w:tc>
          <w:tcPr>
            <w:cnfStyle w:val="001000000000" w:firstRow="0" w:lastRow="0" w:firstColumn="1" w:lastColumn="0" w:oddVBand="0" w:evenVBand="0" w:oddHBand="0" w:evenHBand="0" w:firstRowFirstColumn="0" w:firstRowLastColumn="0" w:lastRowFirstColumn="0" w:lastRowLastColumn="0"/>
            <w:tcW w:w="820" w:type="dxa"/>
          </w:tcPr>
          <w:p w14:paraId="461291C8" w14:textId="01A25A07" w:rsidR="009839B4" w:rsidRPr="00397A3E" w:rsidRDefault="009839B4" w:rsidP="009839B4">
            <w:pPr>
              <w:pStyle w:val="TableText"/>
              <w:spacing w:after="20"/>
              <w:rPr>
                <w:noProof w:val="0"/>
                <w:lang w:val="en-AU"/>
              </w:rPr>
            </w:pPr>
            <w:r w:rsidRPr="00397A3E">
              <w:rPr>
                <w:noProof w:val="0"/>
                <w:lang w:val="en-AU"/>
              </w:rPr>
              <w:t>G13</w:t>
            </w:r>
          </w:p>
        </w:tc>
        <w:tc>
          <w:tcPr>
            <w:tcW w:w="2152" w:type="dxa"/>
          </w:tcPr>
          <w:p w14:paraId="1F9DC794" w14:textId="1101492B" w:rsidR="009839B4" w:rsidRPr="00397A3E" w:rsidRDefault="009839B4" w:rsidP="00FA0192">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r>
              <w:rPr>
                <w:noProof w:val="0"/>
                <w:lang w:val="en-AU"/>
              </w:rPr>
              <w:t>Suitable to adopt/adapt</w:t>
            </w:r>
          </w:p>
        </w:tc>
        <w:tc>
          <w:tcPr>
            <w:tcW w:w="4678" w:type="dxa"/>
          </w:tcPr>
          <w:p w14:paraId="14526AE6" w14:textId="19801C89" w:rsidR="009839B4" w:rsidRPr="00397A3E" w:rsidRDefault="009839B4" w:rsidP="009839B4">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bookmarkStart w:id="409" w:name="_Hlk94017652"/>
            <w:r w:rsidRPr="00397A3E">
              <w:rPr>
                <w:noProof w:val="0"/>
                <w:lang w:val="en-AU"/>
              </w:rPr>
              <w:t>Limited but emerging recognition of the greater susceptibility of children to health effects from exposure to pathogens in recreational waters.</w:t>
            </w:r>
            <w:bookmarkEnd w:id="409"/>
          </w:p>
        </w:tc>
      </w:tr>
      <w:tr w:rsidR="009839B4" w14:paraId="6D22D91B" w14:textId="302BEF5F" w:rsidTr="00FA0192">
        <w:tc>
          <w:tcPr>
            <w:cnfStyle w:val="001000000000" w:firstRow="0" w:lastRow="0" w:firstColumn="1" w:lastColumn="0" w:oddVBand="0" w:evenVBand="0" w:oddHBand="0" w:evenHBand="0" w:firstRowFirstColumn="0" w:firstRowLastColumn="0" w:lastRowFirstColumn="0" w:lastRowLastColumn="0"/>
            <w:tcW w:w="820" w:type="dxa"/>
          </w:tcPr>
          <w:p w14:paraId="3EA8CF3B" w14:textId="4C646C53" w:rsidR="009839B4" w:rsidRPr="00397A3E" w:rsidRDefault="009839B4" w:rsidP="009839B4">
            <w:pPr>
              <w:pStyle w:val="TableText"/>
              <w:spacing w:after="20"/>
              <w:rPr>
                <w:noProof w:val="0"/>
                <w:lang w:val="en-AU"/>
              </w:rPr>
            </w:pPr>
            <w:r w:rsidRPr="00397A3E">
              <w:rPr>
                <w:noProof w:val="0"/>
                <w:lang w:val="en-AU"/>
              </w:rPr>
              <w:t>G16</w:t>
            </w:r>
          </w:p>
        </w:tc>
        <w:tc>
          <w:tcPr>
            <w:tcW w:w="2152" w:type="dxa"/>
          </w:tcPr>
          <w:p w14:paraId="6CA6502D" w14:textId="18B3B631" w:rsidR="009839B4" w:rsidRPr="00397A3E" w:rsidRDefault="009839B4" w:rsidP="00FA0192">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r>
              <w:rPr>
                <w:noProof w:val="0"/>
                <w:lang w:val="en-AU"/>
              </w:rPr>
              <w:t>Suitable to adopt/adapt</w:t>
            </w:r>
          </w:p>
        </w:tc>
        <w:tc>
          <w:tcPr>
            <w:tcW w:w="4678" w:type="dxa"/>
          </w:tcPr>
          <w:p w14:paraId="61D9D76D" w14:textId="66404A1F" w:rsidR="009839B4" w:rsidRPr="00397A3E" w:rsidRDefault="009839B4" w:rsidP="009839B4">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r w:rsidRPr="00397A3E">
              <w:rPr>
                <w:noProof w:val="0"/>
                <w:lang w:val="en-AU"/>
              </w:rPr>
              <w:t xml:space="preserve">Retention of existing FIB </w:t>
            </w:r>
            <w:r w:rsidRPr="00397A3E">
              <w:rPr>
                <w:i/>
                <w:iCs/>
                <w:noProof w:val="0"/>
                <w:lang w:val="en-AU"/>
              </w:rPr>
              <w:t>E. coli</w:t>
            </w:r>
            <w:r w:rsidRPr="00397A3E">
              <w:rPr>
                <w:noProof w:val="0"/>
                <w:lang w:val="en-AU"/>
              </w:rPr>
              <w:t xml:space="preserve"> and enterococci for monitoring and assessing the extent of faecal contamination of recreational waters and thus GI risk.</w:t>
            </w:r>
          </w:p>
        </w:tc>
      </w:tr>
      <w:tr w:rsidR="009839B4" w14:paraId="1214C5A1" w14:textId="09D9ADE2" w:rsidTr="00FA0192">
        <w:tc>
          <w:tcPr>
            <w:cnfStyle w:val="001000000000" w:firstRow="0" w:lastRow="0" w:firstColumn="1" w:lastColumn="0" w:oddVBand="0" w:evenVBand="0" w:oddHBand="0" w:evenHBand="0" w:firstRowFirstColumn="0" w:firstRowLastColumn="0" w:lastRowFirstColumn="0" w:lastRowLastColumn="0"/>
            <w:tcW w:w="820" w:type="dxa"/>
          </w:tcPr>
          <w:p w14:paraId="3C7C92B4" w14:textId="66B35F92" w:rsidR="009839B4" w:rsidRPr="00397A3E" w:rsidRDefault="009839B4" w:rsidP="009839B4">
            <w:pPr>
              <w:pStyle w:val="TableText"/>
              <w:spacing w:after="20"/>
              <w:rPr>
                <w:noProof w:val="0"/>
                <w:lang w:val="en-AU"/>
              </w:rPr>
            </w:pPr>
            <w:r w:rsidRPr="00397A3E">
              <w:rPr>
                <w:noProof w:val="0"/>
                <w:lang w:val="en-AU"/>
              </w:rPr>
              <w:t>J2, J35, J36</w:t>
            </w:r>
          </w:p>
        </w:tc>
        <w:tc>
          <w:tcPr>
            <w:tcW w:w="2152" w:type="dxa"/>
          </w:tcPr>
          <w:p w14:paraId="234A0C63" w14:textId="786C6D61" w:rsidR="009839B4" w:rsidRPr="00397A3E" w:rsidRDefault="009839B4" w:rsidP="00FA0192">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r>
              <w:rPr>
                <w:noProof w:val="0"/>
              </w:rPr>
              <w:t>Low certainty: l</w:t>
            </w:r>
            <w:r w:rsidRPr="009839B4">
              <w:rPr>
                <w:noProof w:val="0"/>
              </w:rPr>
              <w:t>imited confidence in the reported associations</w:t>
            </w:r>
          </w:p>
        </w:tc>
        <w:tc>
          <w:tcPr>
            <w:tcW w:w="4678" w:type="dxa"/>
          </w:tcPr>
          <w:p w14:paraId="6516FEAE" w14:textId="01924F65" w:rsidR="009839B4" w:rsidRPr="00397A3E" w:rsidRDefault="009839B4" w:rsidP="009839B4">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r w:rsidRPr="00397A3E">
              <w:rPr>
                <w:noProof w:val="0"/>
                <w:lang w:val="en-AU"/>
              </w:rPr>
              <w:t>Availability of qPC</w:t>
            </w:r>
            <w:r>
              <w:rPr>
                <w:noProof w:val="0"/>
                <w:lang w:val="en-AU"/>
              </w:rPr>
              <w:t>R</w:t>
            </w:r>
            <w:r w:rsidRPr="00397A3E">
              <w:rPr>
                <w:noProof w:val="0"/>
                <w:lang w:val="en-AU"/>
              </w:rPr>
              <w:t xml:space="preserve"> enterococci criteria values to trigger implementation of beach management actions and enterococci calibrated directly to observed health risk in epidemiological studies.</w:t>
            </w:r>
          </w:p>
        </w:tc>
      </w:tr>
      <w:tr w:rsidR="009839B4" w14:paraId="6D56A7B4" w14:textId="6843E0CA" w:rsidTr="00FA0192">
        <w:tc>
          <w:tcPr>
            <w:cnfStyle w:val="001000000000" w:firstRow="0" w:lastRow="0" w:firstColumn="1" w:lastColumn="0" w:oddVBand="0" w:evenVBand="0" w:oddHBand="0" w:evenHBand="0" w:firstRowFirstColumn="0" w:firstRowLastColumn="0" w:lastRowFirstColumn="0" w:lastRowLastColumn="0"/>
            <w:tcW w:w="820" w:type="dxa"/>
          </w:tcPr>
          <w:p w14:paraId="0A25F5E2" w14:textId="21560813" w:rsidR="009839B4" w:rsidRPr="00397A3E" w:rsidRDefault="009839B4" w:rsidP="009839B4">
            <w:pPr>
              <w:pStyle w:val="TableText"/>
              <w:spacing w:after="20"/>
              <w:rPr>
                <w:noProof w:val="0"/>
                <w:lang w:val="en-AU"/>
              </w:rPr>
            </w:pPr>
            <w:r w:rsidRPr="00397A3E">
              <w:rPr>
                <w:noProof w:val="0"/>
                <w:lang w:val="en-AU"/>
              </w:rPr>
              <w:t>G13, G16</w:t>
            </w:r>
          </w:p>
        </w:tc>
        <w:tc>
          <w:tcPr>
            <w:tcW w:w="2152" w:type="dxa"/>
          </w:tcPr>
          <w:p w14:paraId="6281A309" w14:textId="67D9B125" w:rsidR="009839B4" w:rsidRPr="00397A3E" w:rsidRDefault="009839B4" w:rsidP="00FA0192">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r>
              <w:rPr>
                <w:noProof w:val="0"/>
                <w:lang w:val="en-AU"/>
              </w:rPr>
              <w:t>n/a</w:t>
            </w:r>
          </w:p>
        </w:tc>
        <w:tc>
          <w:tcPr>
            <w:tcW w:w="4678" w:type="dxa"/>
          </w:tcPr>
          <w:p w14:paraId="7EBE1523" w14:textId="442A6AB2" w:rsidR="009839B4" w:rsidRPr="00397A3E" w:rsidRDefault="009839B4" w:rsidP="009839B4">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r w:rsidRPr="00397A3E">
              <w:rPr>
                <w:noProof w:val="0"/>
                <w:lang w:val="en-AU"/>
              </w:rPr>
              <w:t>Further research opportunities for MST, QMRA, AMRB, standardisation of methods.</w:t>
            </w:r>
          </w:p>
        </w:tc>
      </w:tr>
      <w:tr w:rsidR="009839B4" w14:paraId="53018C3E" w14:textId="7C9F615F" w:rsidTr="00FA0192">
        <w:tc>
          <w:tcPr>
            <w:cnfStyle w:val="001000000000" w:firstRow="0" w:lastRow="0" w:firstColumn="1" w:lastColumn="0" w:oddVBand="0" w:evenVBand="0" w:oddHBand="0" w:evenHBand="0" w:firstRowFirstColumn="0" w:firstRowLastColumn="0" w:lastRowFirstColumn="0" w:lastRowLastColumn="0"/>
            <w:tcW w:w="820" w:type="dxa"/>
          </w:tcPr>
          <w:p w14:paraId="306CA4F8" w14:textId="18BB41C5" w:rsidR="009839B4" w:rsidRPr="00397A3E" w:rsidRDefault="009839B4" w:rsidP="009839B4">
            <w:pPr>
              <w:pStyle w:val="TableText"/>
              <w:spacing w:after="20"/>
              <w:rPr>
                <w:noProof w:val="0"/>
                <w:lang w:val="en-AU"/>
              </w:rPr>
            </w:pPr>
            <w:r w:rsidRPr="00397A3E">
              <w:rPr>
                <w:noProof w:val="0"/>
                <w:lang w:val="en-AU"/>
              </w:rPr>
              <w:t>J15, J18</w:t>
            </w:r>
          </w:p>
        </w:tc>
        <w:tc>
          <w:tcPr>
            <w:tcW w:w="2152" w:type="dxa"/>
          </w:tcPr>
          <w:p w14:paraId="3621F7E1" w14:textId="5428184E" w:rsidR="009839B4" w:rsidRPr="00397A3E" w:rsidRDefault="009839B4" w:rsidP="00FA0192">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r>
              <w:rPr>
                <w:noProof w:val="0"/>
              </w:rPr>
              <w:t>Low certainty: l</w:t>
            </w:r>
            <w:r w:rsidRPr="009839B4">
              <w:rPr>
                <w:noProof w:val="0"/>
              </w:rPr>
              <w:t>imited confidence in the reported associations</w:t>
            </w:r>
          </w:p>
        </w:tc>
        <w:tc>
          <w:tcPr>
            <w:tcW w:w="4678" w:type="dxa"/>
          </w:tcPr>
          <w:p w14:paraId="290094EA" w14:textId="4122F7B8" w:rsidR="009839B4" w:rsidRPr="00397A3E" w:rsidRDefault="009839B4" w:rsidP="009839B4">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r w:rsidRPr="00397A3E">
              <w:rPr>
                <w:noProof w:val="0"/>
                <w:lang w:val="en-AU"/>
              </w:rPr>
              <w:t>A positive relationship in recreational waters between the relative contribution of human faecal matter among pollution sources and greater health impacts on users compared to animal sources.</w:t>
            </w:r>
          </w:p>
        </w:tc>
      </w:tr>
      <w:tr w:rsidR="009839B4" w14:paraId="5C222421" w14:textId="6216EED4" w:rsidTr="00FA0192">
        <w:tc>
          <w:tcPr>
            <w:cnfStyle w:val="001000000000" w:firstRow="0" w:lastRow="0" w:firstColumn="1" w:lastColumn="0" w:oddVBand="0" w:evenVBand="0" w:oddHBand="0" w:evenHBand="0" w:firstRowFirstColumn="0" w:firstRowLastColumn="0" w:lastRowFirstColumn="0" w:lastRowLastColumn="0"/>
            <w:tcW w:w="820" w:type="dxa"/>
          </w:tcPr>
          <w:p w14:paraId="1F640BB7" w14:textId="6953B958" w:rsidR="009839B4" w:rsidRPr="00397A3E" w:rsidRDefault="009839B4" w:rsidP="009839B4">
            <w:pPr>
              <w:pStyle w:val="TableText"/>
              <w:spacing w:after="20"/>
              <w:rPr>
                <w:noProof w:val="0"/>
                <w:lang w:val="en-AU"/>
              </w:rPr>
            </w:pPr>
            <w:r w:rsidRPr="00397A3E">
              <w:rPr>
                <w:noProof w:val="0"/>
                <w:lang w:val="en-AU"/>
              </w:rPr>
              <w:t>J6, J34</w:t>
            </w:r>
          </w:p>
        </w:tc>
        <w:tc>
          <w:tcPr>
            <w:tcW w:w="2152" w:type="dxa"/>
          </w:tcPr>
          <w:p w14:paraId="3E13040C" w14:textId="578546E0" w:rsidR="009839B4" w:rsidRPr="00145BDF" w:rsidRDefault="009839B4" w:rsidP="00FA0192">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r>
              <w:rPr>
                <w:noProof w:val="0"/>
                <w:lang w:val="en-AU"/>
              </w:rPr>
              <w:t>Moderate certainty: m</w:t>
            </w:r>
            <w:r w:rsidRPr="009839B4">
              <w:rPr>
                <w:noProof w:val="0"/>
                <w:lang w:val="en-AU"/>
              </w:rPr>
              <w:t>oderate certainty in the reported associations</w:t>
            </w:r>
          </w:p>
        </w:tc>
        <w:tc>
          <w:tcPr>
            <w:tcW w:w="4678" w:type="dxa"/>
          </w:tcPr>
          <w:p w14:paraId="4845E74B" w14:textId="3476EFB9" w:rsidR="009839B4" w:rsidRPr="00397A3E" w:rsidRDefault="009839B4" w:rsidP="009839B4">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r w:rsidRPr="00145BDF">
              <w:rPr>
                <w:noProof w:val="0"/>
                <w:lang w:val="en-AU"/>
              </w:rPr>
              <w:t>Positive association between increased exposure rates in marine waters and higher levels of FIB and in GI and RI in swimmers including surfers.</w:t>
            </w:r>
          </w:p>
        </w:tc>
      </w:tr>
      <w:tr w:rsidR="009839B4" w14:paraId="7BB1BEFD" w14:textId="2087A4F6" w:rsidTr="00FA0192">
        <w:tc>
          <w:tcPr>
            <w:cnfStyle w:val="001000000000" w:firstRow="0" w:lastRow="0" w:firstColumn="1" w:lastColumn="0" w:oddVBand="0" w:evenVBand="0" w:oddHBand="0" w:evenHBand="0" w:firstRowFirstColumn="0" w:firstRowLastColumn="0" w:lastRowFirstColumn="0" w:lastRowLastColumn="0"/>
            <w:tcW w:w="820" w:type="dxa"/>
          </w:tcPr>
          <w:p w14:paraId="24D0DCC2" w14:textId="4BFA5091" w:rsidR="009839B4" w:rsidRPr="00397A3E" w:rsidRDefault="009839B4" w:rsidP="009839B4">
            <w:pPr>
              <w:pStyle w:val="TableText"/>
              <w:spacing w:after="20"/>
              <w:rPr>
                <w:noProof w:val="0"/>
                <w:lang w:val="en-AU"/>
              </w:rPr>
            </w:pPr>
            <w:r w:rsidRPr="00397A3E">
              <w:rPr>
                <w:noProof w:val="0"/>
                <w:lang w:val="en-AU"/>
              </w:rPr>
              <w:t>J20</w:t>
            </w:r>
          </w:p>
        </w:tc>
        <w:tc>
          <w:tcPr>
            <w:tcW w:w="2152" w:type="dxa"/>
          </w:tcPr>
          <w:p w14:paraId="5D4EFAD2" w14:textId="26041EB7" w:rsidR="009839B4" w:rsidRPr="00BD43A4" w:rsidRDefault="009839B4" w:rsidP="00FA0192">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r>
              <w:rPr>
                <w:noProof w:val="0"/>
              </w:rPr>
              <w:t>Low certainty: l</w:t>
            </w:r>
            <w:r w:rsidRPr="009839B4">
              <w:rPr>
                <w:noProof w:val="0"/>
              </w:rPr>
              <w:t>imited confidence in the reported associations</w:t>
            </w:r>
          </w:p>
        </w:tc>
        <w:tc>
          <w:tcPr>
            <w:tcW w:w="4678" w:type="dxa"/>
          </w:tcPr>
          <w:p w14:paraId="3B87E211" w14:textId="5052E1F1" w:rsidR="009839B4" w:rsidRPr="00397A3E" w:rsidRDefault="009839B4" w:rsidP="009839B4">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r w:rsidRPr="00BD43A4">
              <w:rPr>
                <w:noProof w:val="0"/>
                <w:lang w:val="en-AU"/>
              </w:rPr>
              <w:t>Recognition that certain beach geomorphology attributes and certain beach management practices greatly influence the probability of compliance with regulatory standards</w:t>
            </w:r>
            <w:r w:rsidRPr="00397A3E">
              <w:rPr>
                <w:noProof w:val="0"/>
                <w:lang w:val="en-AU"/>
              </w:rPr>
              <w:t>.</w:t>
            </w:r>
          </w:p>
        </w:tc>
      </w:tr>
      <w:tr w:rsidR="009839B4" w14:paraId="21A2626E" w14:textId="6521C19C" w:rsidTr="00FA0192">
        <w:tc>
          <w:tcPr>
            <w:cnfStyle w:val="001000000000" w:firstRow="0" w:lastRow="0" w:firstColumn="1" w:lastColumn="0" w:oddVBand="0" w:evenVBand="0" w:oddHBand="0" w:evenHBand="0" w:firstRowFirstColumn="0" w:firstRowLastColumn="0" w:lastRowFirstColumn="0" w:lastRowLastColumn="0"/>
            <w:tcW w:w="820" w:type="dxa"/>
          </w:tcPr>
          <w:p w14:paraId="6CF8D8CF" w14:textId="1EC26829" w:rsidR="009839B4" w:rsidRPr="00397A3E" w:rsidRDefault="009839B4" w:rsidP="009839B4">
            <w:pPr>
              <w:pStyle w:val="TableText"/>
              <w:spacing w:after="20"/>
              <w:rPr>
                <w:noProof w:val="0"/>
                <w:lang w:val="en-AU"/>
              </w:rPr>
            </w:pPr>
            <w:r w:rsidRPr="00397A3E">
              <w:rPr>
                <w:noProof w:val="0"/>
                <w:lang w:val="en-AU"/>
              </w:rPr>
              <w:t>J3, J</w:t>
            </w:r>
            <w:r>
              <w:rPr>
                <w:noProof w:val="0"/>
                <w:lang w:val="en-AU"/>
              </w:rPr>
              <w:t>4</w:t>
            </w:r>
            <w:r w:rsidRPr="00397A3E">
              <w:rPr>
                <w:noProof w:val="0"/>
                <w:lang w:val="en-AU"/>
              </w:rPr>
              <w:t>, J</w:t>
            </w:r>
            <w:r>
              <w:rPr>
                <w:noProof w:val="0"/>
                <w:lang w:val="en-AU"/>
              </w:rPr>
              <w:t>30</w:t>
            </w:r>
          </w:p>
        </w:tc>
        <w:tc>
          <w:tcPr>
            <w:tcW w:w="2152" w:type="dxa"/>
          </w:tcPr>
          <w:p w14:paraId="28923924" w14:textId="28D63A58" w:rsidR="009839B4" w:rsidRPr="006E6DB0" w:rsidRDefault="009839B4" w:rsidP="00FA0192">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r>
              <w:rPr>
                <w:noProof w:val="0"/>
              </w:rPr>
              <w:t xml:space="preserve">Low certainty: </w:t>
            </w:r>
            <w:r w:rsidRPr="009839B4">
              <w:rPr>
                <w:noProof w:val="0"/>
              </w:rPr>
              <w:t>limited confidence in the reported associations</w:t>
            </w:r>
          </w:p>
        </w:tc>
        <w:tc>
          <w:tcPr>
            <w:tcW w:w="4678" w:type="dxa"/>
          </w:tcPr>
          <w:p w14:paraId="669BC7E4" w14:textId="644009A6" w:rsidR="009839B4" w:rsidRPr="006E6DB0" w:rsidRDefault="009839B4" w:rsidP="009839B4">
            <w:pPr>
              <w:pStyle w:val="TableText"/>
              <w:spacing w:after="20"/>
              <w:jc w:val="left"/>
              <w:cnfStyle w:val="000000000000" w:firstRow="0" w:lastRow="0" w:firstColumn="0" w:lastColumn="0" w:oddVBand="0" w:evenVBand="0" w:oddHBand="0" w:evenHBand="0" w:firstRowFirstColumn="0" w:firstRowLastColumn="0" w:lastRowFirstColumn="0" w:lastRowLastColumn="0"/>
              <w:rPr>
                <w:noProof w:val="0"/>
                <w:lang w:val="en-AU"/>
              </w:rPr>
            </w:pPr>
            <w:r w:rsidRPr="006E6DB0">
              <w:rPr>
                <w:noProof w:val="0"/>
                <w:lang w:val="en-AU"/>
              </w:rPr>
              <w:t>Positive relationship between rivers flows and increased concentrations of FIB, biomarkers and pathogens in estuarine recreational waters.</w:t>
            </w:r>
          </w:p>
        </w:tc>
      </w:tr>
    </w:tbl>
    <w:bookmarkEnd w:id="407"/>
    <w:p w14:paraId="214E8C74" w14:textId="2440C41E" w:rsidR="00B601B8" w:rsidRPr="00397A3E" w:rsidRDefault="00006E10" w:rsidP="00AD75E6">
      <w:pPr>
        <w:keepNext/>
        <w:rPr>
          <w:i/>
          <w:iCs/>
          <w:noProof w:val="0"/>
        </w:rPr>
      </w:pPr>
      <w:r w:rsidRPr="000A4982">
        <w:rPr>
          <w:b/>
          <w:bCs/>
          <w:noProof w:val="0"/>
        </w:rPr>
        <w:t>Suitable to adopt/</w:t>
      </w:r>
      <w:r w:rsidRPr="00006E10">
        <w:rPr>
          <w:b/>
          <w:bCs/>
          <w:noProof w:val="0"/>
        </w:rPr>
        <w:t xml:space="preserve">adapt (guidelines) </w:t>
      </w:r>
      <w:r>
        <w:rPr>
          <w:b/>
          <w:bCs/>
          <w:noProof w:val="0"/>
        </w:rPr>
        <w:t>or li</w:t>
      </w:r>
      <w:r w:rsidRPr="000A4982">
        <w:rPr>
          <w:b/>
          <w:bCs/>
          <w:noProof w:val="0"/>
        </w:rPr>
        <w:t>mited confidence in the associated findings</w:t>
      </w:r>
      <w:r>
        <w:rPr>
          <w:b/>
          <w:bCs/>
          <w:noProof w:val="0"/>
        </w:rPr>
        <w:t xml:space="preserve"> (primary studies)</w:t>
      </w:r>
      <w:r>
        <w:rPr>
          <w:noProof w:val="0"/>
        </w:rPr>
        <w:t xml:space="preserve">: </w:t>
      </w:r>
      <w:r w:rsidR="00171C91" w:rsidRPr="00397A3E">
        <w:rPr>
          <w:i/>
          <w:iCs/>
          <w:noProof w:val="0"/>
        </w:rPr>
        <w:t>The use of QMRA to evaluate alternative pollution events and management scenarios.</w:t>
      </w:r>
    </w:p>
    <w:p w14:paraId="12016863" w14:textId="5D17A80C" w:rsidR="00006E10" w:rsidRPr="00CA561F" w:rsidRDefault="00006E10" w:rsidP="00006E10">
      <w:pPr>
        <w:keepNext/>
        <w:rPr>
          <w:i/>
          <w:iCs/>
          <w:noProof w:val="0"/>
          <w:color w:val="008000"/>
        </w:rPr>
      </w:pPr>
      <w:r w:rsidRPr="00CA561F">
        <w:rPr>
          <w:i/>
          <w:iCs/>
          <w:noProof w:val="0"/>
          <w:color w:val="008000"/>
        </w:rPr>
        <w:t>The following guidelines were found to be relevant and suitable to adopt/adapt based on an assessment of administrative and technical processes.</w:t>
      </w:r>
    </w:p>
    <w:p w14:paraId="200139B4" w14:textId="3F469651" w:rsidR="00306577" w:rsidRPr="00397A3E" w:rsidRDefault="00171C91" w:rsidP="008D3E37">
      <w:pPr>
        <w:rPr>
          <w:noProof w:val="0"/>
        </w:rPr>
      </w:pPr>
      <w:r w:rsidRPr="00397A3E">
        <w:rPr>
          <w:noProof w:val="0"/>
        </w:rPr>
        <w:fldChar w:fldCharType="begin"/>
      </w:r>
      <w:r w:rsidR="0069143F" w:rsidRPr="00397A3E">
        <w:rPr>
          <w:noProof w:val="0"/>
        </w:rPr>
        <w:instrText xml:space="preserve"> ADDIN ZOTERO_ITEM CSL_CITATION {"citationID":"Al2mWn8j","properties":{"custom":"EPA Victoria (2021)","formattedCitation":"EPA Victoria (2021)","plainCitation":"EPA Victoria (2021)","noteIndex":0},"citationItems":[{"id":17578,"uris":["http://zotero.org/users/148142/items/HPITMMGC"],"uri":["http://zotero.org/users/148142/items/HPITMMGC"],"itemData":{"id":17578,"type":"report","publisher":"Environment Protection Authority, Victoria","title":"Quantitative Microbial Risk Assessment (QMRA) for assessing risks to recreational users in Port Phillip Bay. EPA Publication 2007, June 2021","author":[{"literal":"EPA Victoria"}],"issued":{"date-parts":[["2021"]]}}}],"schema":"https://github.com/citation-style-language/schema/raw/master/csl-citation.json"} </w:instrText>
      </w:r>
      <w:r w:rsidRPr="00397A3E">
        <w:rPr>
          <w:noProof w:val="0"/>
        </w:rPr>
        <w:fldChar w:fldCharType="separate"/>
      </w:r>
      <w:r w:rsidRPr="00397A3E">
        <w:rPr>
          <w:noProof w:val="0"/>
        </w:rPr>
        <w:t>EPA Victoria (2021)</w:t>
      </w:r>
      <w:r w:rsidRPr="00397A3E">
        <w:rPr>
          <w:noProof w:val="0"/>
        </w:rPr>
        <w:fldChar w:fldCharType="end"/>
      </w:r>
      <w:r w:rsidRPr="00397A3E">
        <w:rPr>
          <w:noProof w:val="0"/>
        </w:rPr>
        <w:t xml:space="preserve"> used QMRA methods to </w:t>
      </w:r>
      <w:r w:rsidR="006A5737" w:rsidRPr="00397A3E">
        <w:rPr>
          <w:noProof w:val="0"/>
        </w:rPr>
        <w:t xml:space="preserve">compare the probability of illness from water-based recreational activities at the three beach locations within Port Phillip Bay, Victoria Bay, and to provide an example QMRA application.  They showed that for primary and secondary contact recreational events the probabilities of contracting an illness were very low compared to the rates of illness expected at local regulatory </w:t>
      </w:r>
      <w:r w:rsidR="00971299" w:rsidRPr="00397A3E">
        <w:rPr>
          <w:noProof w:val="0"/>
        </w:rPr>
        <w:t xml:space="preserve">criteria and were comparable to those reported in epidemiological studies with similar water body-types and pollution sources. </w:t>
      </w:r>
      <w:r w:rsidR="008D3E37" w:rsidRPr="00397A3E">
        <w:rPr>
          <w:noProof w:val="0"/>
        </w:rPr>
        <w:t xml:space="preserve"> </w:t>
      </w:r>
    </w:p>
    <w:p w14:paraId="10824A96" w14:textId="4B73313B" w:rsidR="008D3E37" w:rsidRPr="00397A3E" w:rsidRDefault="00171C91" w:rsidP="008D3E37">
      <w:pPr>
        <w:rPr>
          <w:noProof w:val="0"/>
        </w:rPr>
      </w:pPr>
      <w:r w:rsidRPr="00397A3E">
        <w:rPr>
          <w:noProof w:val="0"/>
        </w:rPr>
        <w:t xml:space="preserve">In recognition of the growing role of QRMA in public health risk assessment and management and drawing on an extensive literature review in support of scientific recommendations for the EU Bathing Water Directive, </w:t>
      </w:r>
      <w:r w:rsidRPr="00397A3E">
        <w:rPr>
          <w:noProof w:val="0"/>
        </w:rPr>
        <w:fldChar w:fldCharType="begin"/>
      </w:r>
      <w:r w:rsidR="0069143F" w:rsidRPr="00397A3E">
        <w:rPr>
          <w:noProof w:val="0"/>
        </w:rPr>
        <w:instrText xml:space="preserve"> ADDIN ZOTERO_ITEM CSL_CITATION {"citationID":"nT9rgtqC","properties":{"custom":"WHO (2018b)","formattedCitation":"WHO (2018b)","plainCitation":"WHO (2018b)","noteIndex":0},"citationItems":[{"id":16342,"uris":["http://zotero.org/users/148142/items/FAQ5QAH6"],"uri":["http://zotero.org/users/148142/items/FAQ5QAH6"],"itemData":{"id":16342,"type":"report","publisher":"World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schema":"https://github.com/citation-style-language/schema/raw/master/csl-citation.json"} </w:instrText>
      </w:r>
      <w:r w:rsidRPr="00397A3E">
        <w:rPr>
          <w:noProof w:val="0"/>
        </w:rPr>
        <w:fldChar w:fldCharType="separate"/>
      </w:r>
      <w:r w:rsidRPr="00397A3E">
        <w:rPr>
          <w:noProof w:val="0"/>
        </w:rPr>
        <w:t>WHO (2018)</w:t>
      </w:r>
      <w:r w:rsidRPr="00397A3E">
        <w:rPr>
          <w:noProof w:val="0"/>
        </w:rPr>
        <w:fldChar w:fldCharType="end"/>
      </w:r>
      <w:r w:rsidRPr="00397A3E">
        <w:rPr>
          <w:noProof w:val="0"/>
        </w:rPr>
        <w:t xml:space="preserve"> recommended that a review of QMRA be undertaken to provide standardised information and advice on their practical application to Member States.</w:t>
      </w:r>
    </w:p>
    <w:p w14:paraId="0773F4DA" w14:textId="548E6DF9" w:rsidR="00006E10" w:rsidRPr="00CA561F" w:rsidRDefault="00006E10" w:rsidP="0095048A">
      <w:pPr>
        <w:rPr>
          <w:i/>
          <w:iCs/>
          <w:noProof w:val="0"/>
          <w:color w:val="008000"/>
        </w:rPr>
      </w:pPr>
      <w:r w:rsidRPr="00CA561F">
        <w:rPr>
          <w:i/>
          <w:iCs/>
          <w:noProof w:val="0"/>
          <w:color w:val="008000"/>
        </w:rPr>
        <w:t>There is low certainty in the following primary stud</w:t>
      </w:r>
      <w:r>
        <w:rPr>
          <w:i/>
          <w:iCs/>
          <w:noProof w:val="0"/>
          <w:color w:val="008000"/>
        </w:rPr>
        <w:t>ies</w:t>
      </w:r>
      <w:r w:rsidRPr="00CA561F">
        <w:rPr>
          <w:i/>
          <w:iCs/>
          <w:noProof w:val="0"/>
          <w:color w:val="008000"/>
        </w:rPr>
        <w:t xml:space="preserve"> based on their risk of bias assessment</w:t>
      </w:r>
      <w:r>
        <w:rPr>
          <w:i/>
          <w:iCs/>
          <w:noProof w:val="0"/>
          <w:color w:val="008000"/>
        </w:rPr>
        <w:t>s</w:t>
      </w:r>
      <w:r w:rsidRPr="00CA561F">
        <w:rPr>
          <w:i/>
          <w:iCs/>
          <w:noProof w:val="0"/>
          <w:color w:val="008000"/>
        </w:rPr>
        <w:t>.</w:t>
      </w:r>
    </w:p>
    <w:p w14:paraId="67786E20" w14:textId="6F96CE44" w:rsidR="008D3E37" w:rsidRPr="00397A3E" w:rsidRDefault="00171C91" w:rsidP="0095048A">
      <w:pPr>
        <w:rPr>
          <w:noProof w:val="0"/>
        </w:rPr>
      </w:pPr>
      <w:r w:rsidRPr="00397A3E">
        <w:rPr>
          <w:noProof w:val="0"/>
        </w:rPr>
        <w:t xml:space="preserve">Ahmed, Hamilton, et al., (2018) </w:t>
      </w:r>
      <w:r w:rsidR="0095048A" w:rsidRPr="00397A3E">
        <w:rPr>
          <w:noProof w:val="0"/>
        </w:rPr>
        <w:t xml:space="preserve">combined the use of exploratory QMRA analysis with the </w:t>
      </w:r>
      <w:r w:rsidRPr="00397A3E">
        <w:rPr>
          <w:noProof w:val="0"/>
        </w:rPr>
        <w:t>develop</w:t>
      </w:r>
      <w:r w:rsidR="0095048A" w:rsidRPr="00397A3E">
        <w:rPr>
          <w:noProof w:val="0"/>
        </w:rPr>
        <w:t>ment of</w:t>
      </w:r>
      <w:r w:rsidRPr="00397A3E">
        <w:rPr>
          <w:noProof w:val="0"/>
        </w:rPr>
        <w:t xml:space="preserve"> a method for the use of qPCR </w:t>
      </w:r>
      <w:r w:rsidR="0095048A" w:rsidRPr="00397A3E">
        <w:rPr>
          <w:noProof w:val="0"/>
        </w:rPr>
        <w:t xml:space="preserve">MST </w:t>
      </w:r>
      <w:r w:rsidRPr="00397A3E">
        <w:rPr>
          <w:noProof w:val="0"/>
        </w:rPr>
        <w:t xml:space="preserve">markers to assess risks from untreated and treated sewage in beach water.  </w:t>
      </w:r>
      <w:r w:rsidR="0095048A" w:rsidRPr="00397A3E">
        <w:rPr>
          <w:noProof w:val="0"/>
        </w:rPr>
        <w:t xml:space="preserve">Similarly, </w:t>
      </w:r>
      <w:r w:rsidR="0095048A" w:rsidRPr="00397A3E">
        <w:rPr>
          <w:noProof w:val="0"/>
        </w:rPr>
        <w:fldChar w:fldCharType="begin"/>
      </w:r>
      <w:r w:rsidR="0069143F" w:rsidRPr="00397A3E">
        <w:rPr>
          <w:noProof w:val="0"/>
        </w:rPr>
        <w:instrText xml:space="preserve"> ADDIN ZOTERO_ITEM CSL_CITATION {"citationID":"kXSZhjiK","properties":{"custom":"Schoen, Boehm, et al., (2020)","formattedCitation":"Schoen, Boehm, et al., (2020)","plainCitation":"Schoen, Boehm, et al., (2020)","noteIndex":0},"citationItems":[{"id":13550,"uris":["http://zotero.org/users/148142/items/YHHTP6FN"],"uri":["http://zotero.org/users/148142/items/YHHTP6FN"],"itemData":{"id":13550,"type":"article-journal","abstract":"Fecal pollution at beaches can pose a health risk to recreators. Quantitative Microbial Risk Assessment (QMRA) is a tool to evaluate the use of candidate fecal indicators to signify health risk from enteric pathogens in sewage-impacted waters. We extend the QMRA approach to model mixtures of sewage at different ages using genetic marker concentrations for human-associated crAssphage, Bacteroides spp., and polyomavirus in sewage samples from 49 wastewater facilities across the contiguous United States. Risk-based threshold (RBT) estimates varied across different mixture and sewage age scenarios. Fresh sewage RBT estimates were not always protective when aged sewage was present and aged sewage RBT estimates often fell below the marker lower limit of quantification. Conservative RBT estimates of 9.3×102 and 9.1×103 (copies/100 mL) for HF183/BacR287 and CPQ_056, respectively, were predicted when fresh sewage was greater (by volume) than aged at the time of measurement. Conversely, genetic markers may not be effective indicators when aged sewage contributes the majority of pathogens, relative to fresh contamination, but minimal marker levels. Results highlight the utility of QMRA that incorporates pollutant age and mixture scenarios, the potential advantages of a crAssphage fecal indicator, and the potential influence of site-specific factors on estimating RBT values.","container-title":"Environmental Science &amp; Technology","DOI":"10.1021/acs.est.0c02189","ISSN":"1520-5851","journalAbbreviation":"Environ. Sci. Technol.","language":"eng","source":"PubMed","title":"Contamination scenario matters when using viral and bacterial human-associated genetic markers as indicators of health risk in untreated sewage-impacted recreational waters","URL":"http://www.ncbi.nlm.nih.gov/pubmed/32969642","author":[{"family":"Schoen","given":"Mary E."},{"family":"Boehm","given":"Alexandria B."},{"family":"Soller","given":"Jeffrey"},{"family":"Shanks","given":"Orin C."}],"issued":{"date-parts":[["2020",9,24]]}}}],"schema":"https://github.com/citation-style-language/schema/raw/master/csl-citation.json"} </w:instrText>
      </w:r>
      <w:r w:rsidR="0095048A" w:rsidRPr="00397A3E">
        <w:rPr>
          <w:noProof w:val="0"/>
        </w:rPr>
        <w:fldChar w:fldCharType="separate"/>
      </w:r>
      <w:r w:rsidR="0095048A" w:rsidRPr="00397A3E">
        <w:rPr>
          <w:noProof w:val="0"/>
        </w:rPr>
        <w:t>Schoen, Boehm, et al., (2020)</w:t>
      </w:r>
      <w:r w:rsidR="0095048A" w:rsidRPr="00397A3E">
        <w:rPr>
          <w:noProof w:val="0"/>
        </w:rPr>
        <w:fldChar w:fldCharType="end"/>
      </w:r>
      <w:r w:rsidR="0095048A" w:rsidRPr="00397A3E">
        <w:rPr>
          <w:noProof w:val="0"/>
        </w:rPr>
        <w:t xml:space="preserve"> extended the QMRA approach to model the effects of sewage age on GI risk-based thresholds (RBT) using mixtures of sewage at different ages and genetic marker concentrations for human associated crAssphage, Bacteroides spp., and polyomavirus</w:t>
      </w:r>
      <w:r w:rsidR="00012C6D" w:rsidRPr="00397A3E">
        <w:rPr>
          <w:noProof w:val="0"/>
        </w:rPr>
        <w:t>.</w:t>
      </w:r>
    </w:p>
    <w:p w14:paraId="6ADF32C1" w14:textId="29AB8CF8" w:rsidR="00012C6D" w:rsidRPr="00397A3E" w:rsidRDefault="00171C91" w:rsidP="00012C6D">
      <w:pPr>
        <w:rPr>
          <w:rFonts w:cs="Arial"/>
          <w:noProof w:val="0"/>
        </w:rPr>
      </w:pPr>
      <w:r w:rsidRPr="00397A3E">
        <w:rPr>
          <w:noProof w:val="0"/>
        </w:rPr>
        <w:t>The latter study was a</w:t>
      </w:r>
      <w:r w:rsidRPr="00397A3E">
        <w:rPr>
          <w:rFonts w:cs="Arial"/>
          <w:noProof w:val="0"/>
        </w:rPr>
        <w:t xml:space="preserve"> rigorous and well-designed study with valuable and locally relevant observations on the use of human associated phage, FIB, human infectious virus genetic markers and QRMA methods for assessment of risks to recreational water quality.  The study opens the way for the use of genetic marker concentrations to assess recreational water quality by linking marker concentrations to risk of illness.</w:t>
      </w:r>
    </w:p>
    <w:p w14:paraId="45FCD8CD" w14:textId="10160BF7" w:rsidR="00012C6D" w:rsidRPr="00397A3E" w:rsidRDefault="00012C6D" w:rsidP="006605B4">
      <w:pPr>
        <w:rPr>
          <w:noProof w:val="0"/>
        </w:rPr>
      </w:pPr>
    </w:p>
    <w:p w14:paraId="1BFE0B23" w14:textId="7072CAC9" w:rsidR="003D0021" w:rsidRPr="00397A3E" w:rsidRDefault="009774D3" w:rsidP="00AD75E6">
      <w:pPr>
        <w:keepNext/>
        <w:rPr>
          <w:i/>
          <w:iCs/>
          <w:noProof w:val="0"/>
        </w:rPr>
      </w:pPr>
      <w:r w:rsidRPr="000A4982">
        <w:rPr>
          <w:b/>
          <w:noProof w:val="0"/>
        </w:rPr>
        <w:t>Suitable to adopt/adapt</w:t>
      </w:r>
      <w:r w:rsidR="00006E10">
        <w:rPr>
          <w:b/>
          <w:noProof w:val="0"/>
        </w:rPr>
        <w:t xml:space="preserve"> (guidelines) and limited confidence in the associated findings (primary studies)</w:t>
      </w:r>
      <w:r>
        <w:rPr>
          <w:bCs/>
          <w:noProof w:val="0"/>
        </w:rPr>
        <w:t xml:space="preserve">: </w:t>
      </w:r>
      <w:r w:rsidR="00171C91" w:rsidRPr="003D0021">
        <w:rPr>
          <w:i/>
          <w:iCs/>
          <w:noProof w:val="0"/>
        </w:rPr>
        <w:t>Systematic review findings</w:t>
      </w:r>
      <w:r w:rsidR="00B168A0" w:rsidRPr="00397A3E">
        <w:rPr>
          <w:i/>
          <w:iCs/>
          <w:noProof w:val="0"/>
        </w:rPr>
        <w:t xml:space="preserve"> were</w:t>
      </w:r>
      <w:r w:rsidR="00171C91" w:rsidRPr="003D0021">
        <w:rPr>
          <w:i/>
          <w:iCs/>
          <w:noProof w:val="0"/>
        </w:rPr>
        <w:t xml:space="preserve"> broadly supportive of current paradigms of sources of microbial risks to recreational waters, types of situations or events increasing risk of GI, and classificatory approaches to management of GI risk.</w:t>
      </w:r>
    </w:p>
    <w:p w14:paraId="18550965" w14:textId="2EA8083D" w:rsidR="00006E10" w:rsidRPr="00CA561F" w:rsidRDefault="00006E10" w:rsidP="00006E10">
      <w:pPr>
        <w:keepNext/>
        <w:rPr>
          <w:i/>
          <w:iCs/>
          <w:noProof w:val="0"/>
          <w:color w:val="008000"/>
        </w:rPr>
      </w:pPr>
      <w:r w:rsidRPr="00CA561F">
        <w:rPr>
          <w:i/>
          <w:iCs/>
          <w:noProof w:val="0"/>
          <w:color w:val="008000"/>
        </w:rPr>
        <w:t>The following guidelines/reviews were found to be relevant and suitable to adopt/adapt based on an assessment of administrative and technical processes.</w:t>
      </w:r>
    </w:p>
    <w:p w14:paraId="55E44F57" w14:textId="6004198C" w:rsidR="00D84DAB" w:rsidRPr="00397A3E" w:rsidRDefault="00171C91" w:rsidP="006605B4">
      <w:pPr>
        <w:rPr>
          <w:bCs/>
          <w:noProof w:val="0"/>
        </w:rPr>
      </w:pPr>
      <w:r w:rsidRPr="00397A3E">
        <w:rPr>
          <w:bCs/>
          <w:noProof w:val="0"/>
        </w:rPr>
        <w:t xml:space="preserve">The review by </w:t>
      </w:r>
      <w:r w:rsidRPr="00397A3E">
        <w:rPr>
          <w:bCs/>
          <w:noProof w:val="0"/>
        </w:rPr>
        <w:fldChar w:fldCharType="begin"/>
      </w:r>
      <w:r w:rsidR="0069143F" w:rsidRPr="00397A3E">
        <w:rPr>
          <w:bCs/>
          <w:noProof w:val="0"/>
        </w:rPr>
        <w:instrText xml:space="preserve"> ADDIN ZOTERO_ITEM CSL_CITATION {"citationID":"yU4EmKS9","properties":{"custom":"King et al. (2014)","formattedCitation":"King et al. (2014)","plainCitation":"King et al. (2014)","noteIndex":0},"citationItems":[{"id":15773,"uris":["http://zotero.org/users/148142/items/LATIBYWS"],"uri":["http://zotero.org/users/148142/items/LATIBYWS"],"itemData":{"id":15773,"type":"report","event-place":"United Kingdom","publisher":"Department of Environment, Food and Rural Affairs (DEFRA)","publisher-place":"United Kingdom","title":"The health risks of bathing in recreational waters. A rapid evidence assessment of water quality and gastrointestinal illness. Final report WT1530. A report of research carried out by RAND Europe, on behalf of the UK Department for Environment, Farming and Rural Affairs (DEFRA)","URL":"https://www.rand.org/content/dam/rand/pubs/research_reports/RR600/RR698/RAND_RR698.pdf","author":[{"family":"King","given":"Sarah"},{"family":"Exley","given":"Josephine"},{"family":"Winpenny","given":"Eleanor"},{"family":"Alves","given":"Lottie"},{"family":"Henham","given":"Marie-Louise"},{"family":"Larkin","given":"Jody"}],"issued":{"date-parts":[["2014"]]}}}],"schema":"https://github.com/citation-style-language/schema/raw/master/csl-citation.json"} </w:instrText>
      </w:r>
      <w:r w:rsidRPr="00397A3E">
        <w:rPr>
          <w:bCs/>
          <w:noProof w:val="0"/>
        </w:rPr>
        <w:fldChar w:fldCharType="separate"/>
      </w:r>
      <w:r w:rsidRPr="00397A3E">
        <w:rPr>
          <w:bCs/>
          <w:noProof w:val="0"/>
        </w:rPr>
        <w:t>King et al. (2014)</w:t>
      </w:r>
      <w:r w:rsidRPr="00397A3E">
        <w:rPr>
          <w:bCs/>
          <w:noProof w:val="0"/>
        </w:rPr>
        <w:fldChar w:fldCharType="end"/>
      </w:r>
      <w:r w:rsidRPr="00397A3E">
        <w:rPr>
          <w:bCs/>
          <w:noProof w:val="0"/>
        </w:rPr>
        <w:t xml:space="preserve"> of </w:t>
      </w:r>
      <w:r w:rsidRPr="00397A3E">
        <w:rPr>
          <w:noProof w:val="0"/>
        </w:rPr>
        <w:t xml:space="preserve">epidemiological literature published between 2003 and 2014 </w:t>
      </w:r>
      <w:r w:rsidRPr="00397A3E">
        <w:rPr>
          <w:bCs/>
          <w:noProof w:val="0"/>
        </w:rPr>
        <w:t xml:space="preserve">sought to examined the relationship between recreational water use GI.  Their findings broadly supported the current paradigms that GI risk increases with the level of exposure and time spent in the water although curiously they reported a significantly greater risk of GI in bathers compared to non-bathers at freshwater sites </w:t>
      </w:r>
      <w:r w:rsidR="00F82A1C" w:rsidRPr="00397A3E">
        <w:rPr>
          <w:bCs/>
          <w:noProof w:val="0"/>
        </w:rPr>
        <w:t xml:space="preserve">but </w:t>
      </w:r>
      <w:r w:rsidRPr="00397A3E">
        <w:rPr>
          <w:bCs/>
          <w:noProof w:val="0"/>
        </w:rPr>
        <w:t xml:space="preserve">a lack of </w:t>
      </w:r>
      <w:r w:rsidR="00F82A1C" w:rsidRPr="00397A3E">
        <w:rPr>
          <w:bCs/>
          <w:noProof w:val="0"/>
        </w:rPr>
        <w:t xml:space="preserve">any </w:t>
      </w:r>
      <w:r w:rsidRPr="00397A3E">
        <w:rPr>
          <w:bCs/>
          <w:noProof w:val="0"/>
        </w:rPr>
        <w:t>relationship between GI in bathers compared to non-bathers at marine beaches</w:t>
      </w:r>
      <w:r w:rsidR="00F82A1C" w:rsidRPr="00397A3E">
        <w:rPr>
          <w:bCs/>
          <w:noProof w:val="0"/>
        </w:rPr>
        <w:t>.  This difference between marine and freshwater sites could be due to the problems with the literature King et al. reviewed as they were highly critical of the quality of the literature.</w:t>
      </w:r>
    </w:p>
    <w:p w14:paraId="4936D99E" w14:textId="335F4515" w:rsidR="00F153DE" w:rsidRPr="00397A3E" w:rsidRDefault="00171C91" w:rsidP="00F153DE">
      <w:pPr>
        <w:rPr>
          <w:noProof w:val="0"/>
        </w:rPr>
      </w:pPr>
      <w:r w:rsidRPr="00397A3E">
        <w:rPr>
          <w:noProof w:val="0"/>
        </w:rPr>
        <w:t xml:space="preserve">The current </w:t>
      </w:r>
      <w:r w:rsidR="00BA0797">
        <w:rPr>
          <w:noProof w:val="0"/>
        </w:rPr>
        <w:t xml:space="preserve">2008 NHMRC </w:t>
      </w:r>
      <w:r w:rsidR="004D3543">
        <w:rPr>
          <w:noProof w:val="0"/>
        </w:rPr>
        <w:t>G</w:t>
      </w:r>
      <w:r w:rsidRPr="00397A3E">
        <w:rPr>
          <w:noProof w:val="0"/>
        </w:rPr>
        <w:t xml:space="preserve">uidelines advocates a </w:t>
      </w:r>
      <w:r w:rsidR="00F82A1C" w:rsidRPr="00F82A1C">
        <w:rPr>
          <w:noProof w:val="0"/>
        </w:rPr>
        <w:t>microbial-based categorisation of the water using a combination of sanitary inspection and microbial water-quality assessment.</w:t>
      </w:r>
      <w:r w:rsidRPr="00397A3E">
        <w:rPr>
          <w:noProof w:val="0"/>
        </w:rPr>
        <w:t xml:space="preserve">  The </w:t>
      </w:r>
      <w:r w:rsidRPr="00397A3E">
        <w:rPr>
          <w:noProof w:val="0"/>
        </w:rPr>
        <w:fldChar w:fldCharType="begin"/>
      </w:r>
      <w:r w:rsidR="0069143F" w:rsidRPr="00397A3E">
        <w:rPr>
          <w:noProof w:val="0"/>
        </w:rPr>
        <w:instrText xml:space="preserve"> ADDIN ZOTERO_ITEM CSL_CITATION {"citationID":"Ty8KkCym","properties":{"custom":"NSW DPIE (2020)","formattedCitation":"NSW DPIE (2020)","plainCitation":"NSW DPIE (2020)","noteIndex":0},"citationItems":[{"id":16395,"uris":["http://zotero.org/users/148142/items/22QWBZGS"],"uri":["http://zotero.org/users/148142/items/22QWBZGS"],"itemData":{"id":16395,"type":"report","page":"88","title":"Protocol for Assessment and Management of Microbial Risks in Recreational Waters. NSW Department of Planning, Industry &amp; Environment","URL":"https://www.environment.nsw.gov.au/research-and-publications/publications-search/protocol-for-assessment-and-management-of-microbial-risks-in-recreational-waters.","author":[{"literal":"NSW DPIE"}],"issued":{"date-parts":[["2020"]]}}}],"schema":"https://github.com/citation-style-language/schema/raw/master/csl-citation.json"} </w:instrText>
      </w:r>
      <w:r w:rsidRPr="00397A3E">
        <w:rPr>
          <w:noProof w:val="0"/>
        </w:rPr>
        <w:fldChar w:fldCharType="separate"/>
      </w:r>
      <w:r w:rsidRPr="00397A3E">
        <w:rPr>
          <w:noProof w:val="0"/>
        </w:rPr>
        <w:t>NSW DPIE (2020)</w:t>
      </w:r>
      <w:r w:rsidRPr="00397A3E">
        <w:rPr>
          <w:noProof w:val="0"/>
        </w:rPr>
        <w:fldChar w:fldCharType="end"/>
      </w:r>
      <w:r w:rsidRPr="00397A3E">
        <w:rPr>
          <w:noProof w:val="0"/>
        </w:rPr>
        <w:t xml:space="preserve"> protocol for assessment and management of microbial risks in recreational waters build</w:t>
      </w:r>
      <w:r w:rsidR="002E4803" w:rsidRPr="00397A3E">
        <w:rPr>
          <w:noProof w:val="0"/>
        </w:rPr>
        <w:t>s</w:t>
      </w:r>
      <w:r w:rsidRPr="00397A3E">
        <w:rPr>
          <w:noProof w:val="0"/>
        </w:rPr>
        <w:t xml:space="preserve"> on the </w:t>
      </w:r>
      <w:r w:rsidR="004D3543">
        <w:rPr>
          <w:noProof w:val="0"/>
        </w:rPr>
        <w:t xml:space="preserve">2008 </w:t>
      </w:r>
      <w:r w:rsidRPr="00397A3E">
        <w:rPr>
          <w:noProof w:val="0"/>
        </w:rPr>
        <w:t xml:space="preserve">NHMRC </w:t>
      </w:r>
      <w:r w:rsidR="004D3543">
        <w:rPr>
          <w:noProof w:val="0"/>
        </w:rPr>
        <w:t>G</w:t>
      </w:r>
      <w:r w:rsidRPr="00397A3E">
        <w:rPr>
          <w:noProof w:val="0"/>
        </w:rPr>
        <w:t>uidelines</w:t>
      </w:r>
      <w:r w:rsidR="002E4803" w:rsidRPr="00397A3E">
        <w:rPr>
          <w:noProof w:val="0"/>
        </w:rPr>
        <w:t xml:space="preserve"> and contains</w:t>
      </w:r>
      <w:r w:rsidR="004C6DB4" w:rsidRPr="00397A3E">
        <w:rPr>
          <w:noProof w:val="0"/>
        </w:rPr>
        <w:t xml:space="preserve"> </w:t>
      </w:r>
      <w:r w:rsidR="002E4803" w:rsidRPr="00397A3E">
        <w:rPr>
          <w:noProof w:val="0"/>
        </w:rPr>
        <w:t xml:space="preserve">further additional </w:t>
      </w:r>
      <w:r w:rsidR="00901F68" w:rsidRPr="00397A3E">
        <w:rPr>
          <w:noProof w:val="0"/>
        </w:rPr>
        <w:t xml:space="preserve">high-quality </w:t>
      </w:r>
      <w:r w:rsidR="002E4803" w:rsidRPr="00397A3E">
        <w:rPr>
          <w:noProof w:val="0"/>
        </w:rPr>
        <w:t>guidance and templates</w:t>
      </w:r>
      <w:r w:rsidRPr="00397A3E">
        <w:rPr>
          <w:noProof w:val="0"/>
        </w:rPr>
        <w:t xml:space="preserve"> for assessing and scoring likelihoods of contamination from a wide variety of pollution sources</w:t>
      </w:r>
      <w:r w:rsidR="004C6DB4" w:rsidRPr="00397A3E">
        <w:rPr>
          <w:noProof w:val="0"/>
        </w:rPr>
        <w:t>.</w:t>
      </w:r>
    </w:p>
    <w:p w14:paraId="14C2361C" w14:textId="1D347489" w:rsidR="000A4982" w:rsidRPr="00397A3E" w:rsidRDefault="000A4982" w:rsidP="000A4982">
      <w:pPr>
        <w:rPr>
          <w:noProof w:val="0"/>
        </w:rPr>
      </w:pPr>
      <w:r w:rsidRPr="00397A3E">
        <w:rPr>
          <w:noProof w:val="0"/>
        </w:rPr>
        <w:fldChar w:fldCharType="begin"/>
      </w:r>
      <w:r w:rsidRPr="00397A3E">
        <w:rPr>
          <w:noProof w:val="0"/>
        </w:rPr>
        <w:instrText xml:space="preserve"> ADDIN ZOTERO_ITEM CSL_CITATION {"citationID":"DJO7klAw","properties":{"custom":"WHO (2018b)","formattedCitation":"WHO (2018b)","plainCitation":"WHO (2018b)","noteIndex":0},"citationItems":[{"id":16342,"uris":["http://zotero.org/users/148142/items/FAQ5QAH6"],"uri":["http://zotero.org/users/148142/items/FAQ5QAH6"],"itemData":{"id":16342,"type":"report","publisher":"World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schema":"https://github.com/citation-style-language/schema/raw/master/csl-citation.json"} </w:instrText>
      </w:r>
      <w:r w:rsidRPr="00397A3E">
        <w:rPr>
          <w:noProof w:val="0"/>
        </w:rPr>
        <w:fldChar w:fldCharType="separate"/>
      </w:r>
      <w:r w:rsidRPr="00397A3E">
        <w:rPr>
          <w:noProof w:val="0"/>
        </w:rPr>
        <w:t>WHO (2018)</w:t>
      </w:r>
      <w:r w:rsidRPr="00397A3E">
        <w:rPr>
          <w:noProof w:val="0"/>
        </w:rPr>
        <w:fldChar w:fldCharType="end"/>
      </w:r>
      <w:r w:rsidRPr="00397A3E">
        <w:rPr>
          <w:noProof w:val="0"/>
        </w:rPr>
        <w:t xml:space="preserve"> supported the continued use of the EU’s current four level classification system (excellent, good, sufficient, and poor) of bathing water quality which shares some similarities with the Australian system advocated by </w:t>
      </w:r>
      <w:r w:rsidRPr="00397A3E">
        <w:rPr>
          <w:noProof w:val="0"/>
        </w:rPr>
        <w:fldChar w:fldCharType="begin"/>
      </w:r>
      <w:r w:rsidRPr="00397A3E">
        <w:rPr>
          <w:noProof w:val="0"/>
        </w:rPr>
        <w:instrText xml:space="preserve"> ADDIN ZOTERO_ITEM CSL_CITATION {"citationID":"ldvTaiHm","properties":{"custom":"NHMRC (2008)","formattedCitation":"NHMRC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397A3E">
        <w:rPr>
          <w:noProof w:val="0"/>
        </w:rPr>
        <w:fldChar w:fldCharType="separate"/>
      </w:r>
      <w:r w:rsidRPr="00397A3E">
        <w:rPr>
          <w:noProof w:val="0"/>
        </w:rPr>
        <w:t>NHMRC (2008)</w:t>
      </w:r>
      <w:r w:rsidRPr="00397A3E">
        <w:rPr>
          <w:noProof w:val="0"/>
        </w:rPr>
        <w:fldChar w:fldCharType="end"/>
      </w:r>
      <w:r w:rsidRPr="00397A3E">
        <w:rPr>
          <w:noProof w:val="0"/>
        </w:rPr>
        <w:t>.  WHO’s recommendation that EU bathing water quality classification system be based on 95</w:t>
      </w:r>
      <w:r w:rsidRPr="00397A3E">
        <w:rPr>
          <w:noProof w:val="0"/>
          <w:vertAlign w:val="superscript"/>
        </w:rPr>
        <w:t>th</w:t>
      </w:r>
      <w:r w:rsidRPr="00397A3E">
        <w:rPr>
          <w:noProof w:val="0"/>
        </w:rPr>
        <w:t xml:space="preserve"> percentile water quality standards would bring the EU into alignment with the existing Australian approach and is an endorsement of such an approach.</w:t>
      </w:r>
    </w:p>
    <w:p w14:paraId="4F12C03D" w14:textId="76806459" w:rsidR="00006E10" w:rsidRPr="00CA561F" w:rsidRDefault="00006E10" w:rsidP="006605B4">
      <w:pPr>
        <w:rPr>
          <w:i/>
          <w:iCs/>
          <w:noProof w:val="0"/>
          <w:color w:val="008000"/>
        </w:rPr>
      </w:pPr>
      <w:r w:rsidRPr="00CA561F">
        <w:rPr>
          <w:i/>
          <w:iCs/>
          <w:noProof w:val="0"/>
          <w:color w:val="008000"/>
        </w:rPr>
        <w:t>There is low certainty in the following primary study based on their risk of bias assessment.</w:t>
      </w:r>
    </w:p>
    <w:p w14:paraId="674AA2EE" w14:textId="37CD03AC" w:rsidR="00D84DAB" w:rsidRPr="00397A3E" w:rsidRDefault="00171C91" w:rsidP="006605B4">
      <w:pPr>
        <w:rPr>
          <w:noProof w:val="0"/>
        </w:rPr>
      </w:pPr>
      <w:r w:rsidRPr="00397A3E">
        <w:rPr>
          <w:noProof w:val="0"/>
        </w:rPr>
        <w:t xml:space="preserve">The paper by </w:t>
      </w:r>
      <w:r w:rsidRPr="00397A3E">
        <w:rPr>
          <w:noProof w:val="0"/>
        </w:rPr>
        <w:fldChar w:fldCharType="begin"/>
      </w:r>
      <w:r w:rsidR="0069143F" w:rsidRPr="00397A3E">
        <w:rPr>
          <w:noProof w:val="0"/>
        </w:rPr>
        <w:instrText xml:space="preserve"> ADDIN ZOTERO_ITEM CSL_CITATION {"citationID":"89eELeZL","properties":{"custom":"Lugg, Cook, et al., (2012)","formattedCitation":"Lugg, Cook, et al., (2012)","plainCitation":"Lugg, Cook, et al., (2012)","noteIndex":0},"citationItems":[{"id":5545,"uris":["http://zotero.org/users/148142/items/V73KP9MB"],"uri":["http://zotero.org/users/148142/items/V73KP9MB"],"itemData":{"id":5545,"type":"chapter","container-title":"The Significance of Faecal Indicators in Water: A Global Perspective.","event-place":"Cambridge","ISBN":"978-1-84973-169-0","page":"62-71","publisher":"RSC Publishing","publisher-place":"Cambridge","source":"CrossRef","title":"Estimating 95th Percentiles from Microbial Sampling: A Novel Approach to Standardising their Application to Recreational Waters","title-short":"Estimating 95th Percentiles from Microbial Sampling","URL":"http://ebook.rsc.org/?DOI=10.1039/9781849735421-00062","editor":[{"family":"Kay","given":"David"},{"family":"Fricker","given":"C"}],"author":[{"family":"Lugg","given":"R.S.W."},{"family":"Cook","given":"A."},{"family":"Devine","given":"B."}],"accessed":{"date-parts":[["2014",12,17]]},"issued":{"date-parts":[["2012"]]}}}],"schema":"https://github.com/citation-style-language/schema/raw/master/csl-citation.json"} </w:instrText>
      </w:r>
      <w:r w:rsidRPr="00397A3E">
        <w:rPr>
          <w:noProof w:val="0"/>
        </w:rPr>
        <w:fldChar w:fldCharType="separate"/>
      </w:r>
      <w:r w:rsidRPr="00397A3E">
        <w:rPr>
          <w:noProof w:val="0"/>
        </w:rPr>
        <w:t>Lugg, Cook, et al., (2012)</w:t>
      </w:r>
      <w:r w:rsidRPr="00397A3E">
        <w:rPr>
          <w:noProof w:val="0"/>
        </w:rPr>
        <w:fldChar w:fldCharType="end"/>
      </w:r>
      <w:r w:rsidRPr="00397A3E">
        <w:rPr>
          <w:noProof w:val="0"/>
        </w:rPr>
        <w:t xml:space="preserve"> describes an Excel tool (EnteroTester) which facilitates the appropriate computation for 95</w:t>
      </w:r>
      <w:r w:rsidRPr="00397A3E">
        <w:rPr>
          <w:noProof w:val="0"/>
          <w:vertAlign w:val="superscript"/>
        </w:rPr>
        <w:t>th</w:t>
      </w:r>
      <w:r w:rsidRPr="00397A3E">
        <w:rPr>
          <w:noProof w:val="0"/>
        </w:rPr>
        <w:t xml:space="preserve"> percentiles and corresponding classifications for beach recreational water quality classifications (MACs) A, B and C, each with a defined range of infection risk.  </w:t>
      </w:r>
      <w:r w:rsidR="006F24AB" w:rsidRPr="00397A3E">
        <w:rPr>
          <w:noProof w:val="0"/>
        </w:rPr>
        <w:t xml:space="preserve">The tool has been demonstrated to be useful in an Australian context and provides an example of the types of tools that could be made available to support effective beach management classifications consistent with the </w:t>
      </w:r>
      <w:r w:rsidR="004D3543">
        <w:rPr>
          <w:noProof w:val="0"/>
        </w:rPr>
        <w:t xml:space="preserve">2008 </w:t>
      </w:r>
      <w:r w:rsidR="006F24AB" w:rsidRPr="00397A3E">
        <w:rPr>
          <w:noProof w:val="0"/>
        </w:rPr>
        <w:t xml:space="preserve">NHMRC </w:t>
      </w:r>
      <w:r w:rsidR="004D3543">
        <w:rPr>
          <w:noProof w:val="0"/>
        </w:rPr>
        <w:t>G</w:t>
      </w:r>
      <w:r w:rsidR="006F24AB" w:rsidRPr="00397A3E">
        <w:rPr>
          <w:noProof w:val="0"/>
        </w:rPr>
        <w:t xml:space="preserve">uidelines. </w:t>
      </w:r>
    </w:p>
    <w:p w14:paraId="2408AD7E" w14:textId="2B5467D2" w:rsidR="00B601B8" w:rsidRPr="00397A3E" w:rsidRDefault="00B601B8" w:rsidP="006605B4">
      <w:pPr>
        <w:rPr>
          <w:noProof w:val="0"/>
        </w:rPr>
      </w:pPr>
    </w:p>
    <w:p w14:paraId="7D59DB01" w14:textId="755588DC" w:rsidR="00901F68" w:rsidRDefault="009774D3" w:rsidP="009774D3">
      <w:pPr>
        <w:rPr>
          <w:i/>
          <w:iCs/>
          <w:noProof w:val="0"/>
        </w:rPr>
      </w:pPr>
      <w:r w:rsidRPr="000A4982">
        <w:rPr>
          <w:b/>
          <w:bCs/>
          <w:noProof w:val="0"/>
        </w:rPr>
        <w:t>Suitable to adopt/adapt</w:t>
      </w:r>
      <w:r>
        <w:rPr>
          <w:noProof w:val="0"/>
        </w:rPr>
        <w:t xml:space="preserve">: </w:t>
      </w:r>
      <w:r w:rsidR="00171C91" w:rsidRPr="00397A3E">
        <w:rPr>
          <w:i/>
          <w:iCs/>
          <w:noProof w:val="0"/>
        </w:rPr>
        <w:t>Limited but emerging recognition of the greater susceptibility of children to health effects from exposure to pathogens in recreational waters.</w:t>
      </w:r>
    </w:p>
    <w:p w14:paraId="6D70473F" w14:textId="0B9CA0C0" w:rsidR="009774D3" w:rsidRPr="00CA561F" w:rsidRDefault="009774D3" w:rsidP="009774D3">
      <w:pPr>
        <w:keepNext/>
        <w:rPr>
          <w:i/>
          <w:iCs/>
          <w:noProof w:val="0"/>
          <w:color w:val="008000"/>
        </w:rPr>
      </w:pPr>
      <w:r w:rsidRPr="00CA561F">
        <w:rPr>
          <w:i/>
          <w:iCs/>
          <w:noProof w:val="0"/>
          <w:color w:val="008000"/>
        </w:rPr>
        <w:t>The following guideline was found to be relevant and suitable to adopt/adapt based on an assessment of administrative and technical processes.</w:t>
      </w:r>
    </w:p>
    <w:p w14:paraId="0637368D" w14:textId="575822F2" w:rsidR="00901F68" w:rsidRPr="00397A3E" w:rsidRDefault="00171C91" w:rsidP="006605B4">
      <w:pPr>
        <w:rPr>
          <w:noProof w:val="0"/>
        </w:rPr>
      </w:pPr>
      <w:r w:rsidRPr="00397A3E">
        <w:rPr>
          <w:noProof w:val="0"/>
        </w:rPr>
        <w:t xml:space="preserve">In its five-year review of the 2012 recreational water quality criteria </w:t>
      </w:r>
      <w:r w:rsidRPr="00397A3E">
        <w:rPr>
          <w:bCs/>
          <w:noProof w:val="0"/>
        </w:rPr>
        <w:fldChar w:fldCharType="begin"/>
      </w:r>
      <w:r w:rsidR="0069143F" w:rsidRPr="00397A3E">
        <w:rPr>
          <w:bCs/>
          <w:noProof w:val="0"/>
        </w:rPr>
        <w:instrText xml:space="preserve"> ADDIN ZOTERO_ITEM CSL_CITATION {"citationID":"8xmMOTWt","properties":{"custom":"US EPA (2017)","formattedCitation":"US EPA (2017)","plainCitation":"US EPA (2017)","noteIndex":0},"citationItems":[{"id":15763,"uris":["http://zotero.org/users/148142/items/BR87QUJ3"],"uri":["http://zotero.org/users/148142/items/BR87QUJ3"],"itemData":{"id":15763,"type":"report","event-place":"Washington, DC, United States","number":"Office of Water 823-R-18-001","publisher":"US Environmental Protection Agency, Office of Water, Office of Science and Technology","publisher-place":"Washington, DC, United States","title":"2017 Five-Year Review of the 2012 Recreational Water Quality Criteria","URL":"https://www.epa.gov/sites/production/files/2018-05/documents/2017-5year-review-rwqc.pdf","author":[{"literal":"US EPA"}],"issued":{"date-parts":[["2017"]]}}}],"schema":"https://github.com/citation-style-language/schema/raw/master/csl-citation.json"} </w:instrText>
      </w:r>
      <w:r w:rsidRPr="00397A3E">
        <w:rPr>
          <w:bCs/>
          <w:noProof w:val="0"/>
        </w:rPr>
        <w:fldChar w:fldCharType="separate"/>
      </w:r>
      <w:r w:rsidRPr="00397A3E">
        <w:rPr>
          <w:noProof w:val="0"/>
        </w:rPr>
        <w:t>US EPA (2017)</w:t>
      </w:r>
      <w:r w:rsidRPr="00397A3E">
        <w:rPr>
          <w:noProof w:val="0"/>
        </w:rPr>
        <w:fldChar w:fldCharType="end"/>
      </w:r>
      <w:r w:rsidRPr="00397A3E">
        <w:rPr>
          <w:noProof w:val="0"/>
        </w:rPr>
        <w:t xml:space="preserve"> concluded that there was a</w:t>
      </w:r>
      <w:r w:rsidR="007B385C" w:rsidRPr="00397A3E">
        <w:rPr>
          <w:noProof w:val="0"/>
        </w:rPr>
        <w:t xml:space="preserve"> growing body of evidence suggest</w:t>
      </w:r>
      <w:r w:rsidRPr="00397A3E">
        <w:rPr>
          <w:noProof w:val="0"/>
        </w:rPr>
        <w:t>ing</w:t>
      </w:r>
      <w:r w:rsidR="007B385C" w:rsidRPr="00397A3E">
        <w:rPr>
          <w:noProof w:val="0"/>
        </w:rPr>
        <w:t xml:space="preserve"> children </w:t>
      </w:r>
      <w:r w:rsidRPr="00397A3E">
        <w:rPr>
          <w:noProof w:val="0"/>
        </w:rPr>
        <w:t xml:space="preserve">are </w:t>
      </w:r>
      <w:r w:rsidR="007B385C" w:rsidRPr="00397A3E">
        <w:rPr>
          <w:noProof w:val="0"/>
        </w:rPr>
        <w:t>disproportionately susceptible to health effects resulting from exposure to pathogens in recreational waters</w:t>
      </w:r>
      <w:r w:rsidR="00E70C60" w:rsidRPr="00397A3E">
        <w:rPr>
          <w:noProof w:val="0"/>
        </w:rPr>
        <w:t xml:space="preserve">.  The susceptibility may be due to physiological </w:t>
      </w:r>
      <w:r w:rsidRPr="00397A3E">
        <w:rPr>
          <w:noProof w:val="0"/>
        </w:rPr>
        <w:t xml:space="preserve">(e.g. </w:t>
      </w:r>
      <w:r w:rsidR="00E70C60" w:rsidRPr="00397A3E">
        <w:rPr>
          <w:noProof w:val="0"/>
        </w:rPr>
        <w:t>immunological, digestive tract) or behavioural (</w:t>
      </w:r>
      <w:r w:rsidRPr="00397A3E">
        <w:rPr>
          <w:noProof w:val="0"/>
        </w:rPr>
        <w:t xml:space="preserve">e.g. </w:t>
      </w:r>
      <w:r w:rsidR="00E70C60" w:rsidRPr="00397A3E">
        <w:rPr>
          <w:noProof w:val="0"/>
        </w:rPr>
        <w:t xml:space="preserve">longer duration exposures, greater rates of ingestion, </w:t>
      </w:r>
      <w:r w:rsidR="001B3DDF" w:rsidRPr="00397A3E">
        <w:rPr>
          <w:noProof w:val="0"/>
        </w:rPr>
        <w:t>etc.</w:t>
      </w:r>
      <w:r w:rsidR="00E70C60" w:rsidRPr="00397A3E">
        <w:rPr>
          <w:noProof w:val="0"/>
        </w:rPr>
        <w:t xml:space="preserve">) differences compared to adults.  The US EPA commented that there were </w:t>
      </w:r>
      <w:r w:rsidR="007B385C" w:rsidRPr="00397A3E">
        <w:rPr>
          <w:noProof w:val="0"/>
        </w:rPr>
        <w:t xml:space="preserve">opportunities for further resolution of epidemiological relationships, especially around children’s health protection and wider application of </w:t>
      </w:r>
      <w:r w:rsidR="007B385C" w:rsidRPr="00397A3E">
        <w:rPr>
          <w:i/>
          <w:iCs/>
          <w:noProof w:val="0"/>
        </w:rPr>
        <w:t>Enterococcus</w:t>
      </w:r>
      <w:r w:rsidR="007B385C" w:rsidRPr="00397A3E">
        <w:rPr>
          <w:noProof w:val="0"/>
        </w:rPr>
        <w:t xml:space="preserve"> spp. qPCR techniques for monitoring.</w:t>
      </w:r>
    </w:p>
    <w:p w14:paraId="532250D6" w14:textId="47764573" w:rsidR="007B385C" w:rsidRPr="00397A3E" w:rsidRDefault="007B385C" w:rsidP="006605B4">
      <w:pPr>
        <w:rPr>
          <w:noProof w:val="0"/>
        </w:rPr>
      </w:pPr>
    </w:p>
    <w:p w14:paraId="71236B9E" w14:textId="672F2A73" w:rsidR="007B385C" w:rsidRDefault="009774D3" w:rsidP="004D5D83">
      <w:pPr>
        <w:keepNext/>
        <w:rPr>
          <w:i/>
          <w:iCs/>
          <w:noProof w:val="0"/>
        </w:rPr>
      </w:pPr>
      <w:r w:rsidRPr="000A4982">
        <w:rPr>
          <w:b/>
          <w:bCs/>
          <w:noProof w:val="0"/>
        </w:rPr>
        <w:t>Suitable to adopt/adapt</w:t>
      </w:r>
      <w:r>
        <w:rPr>
          <w:noProof w:val="0"/>
        </w:rPr>
        <w:t xml:space="preserve">: </w:t>
      </w:r>
      <w:r w:rsidR="00171C91" w:rsidRPr="00397A3E">
        <w:rPr>
          <w:i/>
          <w:iCs/>
          <w:noProof w:val="0"/>
        </w:rPr>
        <w:t xml:space="preserve">Retention of existing FIB </w:t>
      </w:r>
      <w:r w:rsidR="00171C91" w:rsidRPr="00397A3E">
        <w:rPr>
          <w:noProof w:val="0"/>
        </w:rPr>
        <w:t>E. coli</w:t>
      </w:r>
      <w:r w:rsidR="00171C91" w:rsidRPr="00397A3E">
        <w:rPr>
          <w:i/>
          <w:iCs/>
          <w:noProof w:val="0"/>
        </w:rPr>
        <w:t xml:space="preserve"> and enterococci for monitoring and assessing the extent of faecal contamination of recreational waters and thus GI risk.</w:t>
      </w:r>
    </w:p>
    <w:p w14:paraId="177C6E19" w14:textId="589512C5" w:rsidR="009774D3" w:rsidRPr="00CA561F" w:rsidRDefault="009774D3" w:rsidP="004D5D83">
      <w:pPr>
        <w:keepNext/>
        <w:rPr>
          <w:i/>
          <w:iCs/>
          <w:noProof w:val="0"/>
          <w:color w:val="008000"/>
        </w:rPr>
      </w:pPr>
      <w:r w:rsidRPr="00CA561F">
        <w:rPr>
          <w:i/>
          <w:iCs/>
          <w:noProof w:val="0"/>
          <w:color w:val="008000"/>
        </w:rPr>
        <w:t>The following guideline was found to be relevant and suitable to adopt/adapt based on an assessment of administrative and technical processes.</w:t>
      </w:r>
    </w:p>
    <w:p w14:paraId="3A0593A4" w14:textId="006765EB" w:rsidR="00901F68" w:rsidRPr="00397A3E" w:rsidRDefault="00171C91" w:rsidP="006605B4">
      <w:pPr>
        <w:rPr>
          <w:noProof w:val="0"/>
        </w:rPr>
      </w:pPr>
      <w:r w:rsidRPr="00397A3E">
        <w:rPr>
          <w:noProof w:val="0"/>
        </w:rPr>
        <w:t xml:space="preserve">In its recent EU bathing water review, </w:t>
      </w:r>
      <w:r w:rsidRPr="00397A3E">
        <w:rPr>
          <w:noProof w:val="0"/>
        </w:rPr>
        <w:fldChar w:fldCharType="begin"/>
      </w:r>
      <w:r w:rsidR="00592483">
        <w:rPr>
          <w:noProof w:val="0"/>
        </w:rPr>
        <w:instrText xml:space="preserve"> ADDIN ZOTERO_ITEM CSL_CITATION {"citationID":"ZTUdKN3V","properties":{"custom":"WHO (2018b)","formattedCitation":"WHO (2018b)","plainCitation":"WHO (2018b)","noteIndex":0},"citationItems":[{"id":16342,"uris":["http://zotero.org/users/148142/items/FAQ5QAH6"],"uri":["http://zotero.org/users/148142/items/FAQ5QAH6"],"itemData":{"id":16342,"type":"report","publisher":"World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schema":"https://github.com/citation-style-language/schema/raw/master/csl-citation.json"} </w:instrText>
      </w:r>
      <w:r w:rsidRPr="00397A3E">
        <w:rPr>
          <w:noProof w:val="0"/>
        </w:rPr>
        <w:fldChar w:fldCharType="separate"/>
      </w:r>
      <w:r w:rsidRPr="00397A3E">
        <w:rPr>
          <w:noProof w:val="0"/>
        </w:rPr>
        <w:t>WHO (2018)</w:t>
      </w:r>
      <w:r w:rsidRPr="00397A3E">
        <w:rPr>
          <w:noProof w:val="0"/>
        </w:rPr>
        <w:fldChar w:fldCharType="end"/>
      </w:r>
      <w:r w:rsidRPr="00397A3E">
        <w:rPr>
          <w:noProof w:val="0"/>
        </w:rPr>
        <w:t xml:space="preserve"> recommended the retention of i</w:t>
      </w:r>
      <w:r w:rsidR="004D5D83" w:rsidRPr="00397A3E">
        <w:rPr>
          <w:noProof w:val="0"/>
        </w:rPr>
        <w:t xml:space="preserve">ntestinal enterococci and </w:t>
      </w:r>
      <w:r w:rsidR="004D5D83" w:rsidRPr="00397A3E">
        <w:rPr>
          <w:i/>
          <w:iCs/>
          <w:noProof w:val="0"/>
        </w:rPr>
        <w:t xml:space="preserve">E. coli </w:t>
      </w:r>
      <w:r w:rsidRPr="00397A3E">
        <w:rPr>
          <w:noProof w:val="0"/>
        </w:rPr>
        <w:t xml:space="preserve">as indicators of bathing water </w:t>
      </w:r>
      <w:r w:rsidR="00A05C3F" w:rsidRPr="00397A3E">
        <w:rPr>
          <w:noProof w:val="0"/>
        </w:rPr>
        <w:t>microbial risks.  With respect to enterococci, WHO cited the</w:t>
      </w:r>
      <w:r w:rsidRPr="00397A3E">
        <w:rPr>
          <w:noProof w:val="0"/>
        </w:rPr>
        <w:t xml:space="preserve"> presence of sound epidemiological data supporting </w:t>
      </w:r>
      <w:r w:rsidR="00A05C3F" w:rsidRPr="00397A3E">
        <w:rPr>
          <w:noProof w:val="0"/>
        </w:rPr>
        <w:t>its continued use</w:t>
      </w:r>
      <w:r w:rsidRPr="00397A3E">
        <w:rPr>
          <w:noProof w:val="0"/>
        </w:rPr>
        <w:t>.</w:t>
      </w:r>
    </w:p>
    <w:p w14:paraId="67E629E7" w14:textId="77777777" w:rsidR="004D5D83" w:rsidRPr="00397A3E" w:rsidRDefault="004D5D83" w:rsidP="006605B4">
      <w:pPr>
        <w:rPr>
          <w:noProof w:val="0"/>
        </w:rPr>
      </w:pPr>
    </w:p>
    <w:p w14:paraId="179AB701" w14:textId="7F718000" w:rsidR="004D5D83" w:rsidRPr="00397A3E" w:rsidRDefault="009774D3" w:rsidP="00C25A25">
      <w:pPr>
        <w:keepNext/>
        <w:rPr>
          <w:i/>
          <w:iCs/>
          <w:noProof w:val="0"/>
        </w:rPr>
      </w:pPr>
      <w:r w:rsidRPr="000A4982">
        <w:rPr>
          <w:b/>
          <w:bCs/>
          <w:noProof w:val="0"/>
        </w:rPr>
        <w:t>Limited confidence in the reported associations</w:t>
      </w:r>
      <w:r>
        <w:rPr>
          <w:noProof w:val="0"/>
        </w:rPr>
        <w:t xml:space="preserve">: </w:t>
      </w:r>
      <w:r w:rsidR="00171C91" w:rsidRPr="00397A3E">
        <w:rPr>
          <w:i/>
          <w:iCs/>
          <w:noProof w:val="0"/>
        </w:rPr>
        <w:t>Availability of qPC</w:t>
      </w:r>
      <w:r w:rsidR="00DC1A9D">
        <w:rPr>
          <w:i/>
          <w:iCs/>
          <w:noProof w:val="0"/>
        </w:rPr>
        <w:t>R</w:t>
      </w:r>
      <w:r w:rsidR="00171C91" w:rsidRPr="00397A3E">
        <w:rPr>
          <w:i/>
          <w:iCs/>
          <w:noProof w:val="0"/>
        </w:rPr>
        <w:t xml:space="preserve"> enterococci criteria values to trigger implementation of beach management actions and enterococci calibrated directly to observed health risk in epidemiological studies.</w:t>
      </w:r>
    </w:p>
    <w:p w14:paraId="35ECF959" w14:textId="102CA070" w:rsidR="009774D3" w:rsidRPr="00CA561F" w:rsidRDefault="009774D3" w:rsidP="002D5B2E">
      <w:pPr>
        <w:rPr>
          <w:i/>
          <w:iCs/>
          <w:noProof w:val="0"/>
          <w:color w:val="008000"/>
        </w:rPr>
      </w:pPr>
      <w:r w:rsidRPr="00CA561F">
        <w:rPr>
          <w:i/>
          <w:iCs/>
          <w:noProof w:val="0"/>
          <w:color w:val="008000"/>
        </w:rPr>
        <w:t>There is low certainty in the following primary studies based on their risk of bias assessments.</w:t>
      </w:r>
    </w:p>
    <w:p w14:paraId="4B43A7C0" w14:textId="40486F92" w:rsidR="002D5B2E" w:rsidRPr="00397A3E" w:rsidRDefault="00171C91" w:rsidP="002D5B2E">
      <w:pPr>
        <w:rPr>
          <w:noProof w:val="0"/>
        </w:rPr>
      </w:pPr>
      <w:r w:rsidRPr="00397A3E">
        <w:rPr>
          <w:noProof w:val="0"/>
        </w:rPr>
        <w:fldChar w:fldCharType="begin"/>
      </w:r>
      <w:r w:rsidR="0069143F" w:rsidRPr="00397A3E">
        <w:rPr>
          <w:noProof w:val="0"/>
        </w:rPr>
        <w:instrText xml:space="preserve"> ADDIN ZOTERO_ITEM CSL_CITATION {"citationID":"vzce3ZlL","properties":{"custom":"Ahmed, Hamilton, et al., (2018)","formattedCitation":"Ahmed, Hamilton, et al., (2018)","plainCitation":"Ahmed, Hamilton, et al., (2018)","noteIndex":0},"citationItems":[{"id":12533,"uris":["http://zotero.org/users/148142/items/CL5GP773"],"uri":["http://zotero.org/users/148142/items/CL5GP773"],"itemData":{"id":12533,"type":"article-journal","archive":"Scopus","container-title":"Environment International","DOI":"10.1016/j.envint.2018.05.012","page":"243-249","title":"Quantitative microbial risk assessment of microbial source tracking markers in recreational water contaminated with fresh untreated and secondary treated sewage","URL":"https://www.scopus.com/inward/record.uri?eid=2-s2.0-85047077932&amp;doi=10.1016%2fj.envint.2018.05.012&amp;partnerID=40&amp;md5=c97413bc0249240d20d0a19774172eeb","volume":"117","author":[{"family":"Ahmed","given":"W."},{"family":"Hamilton","given":"K. A."},{"family":"Lobos","given":"A."},{"family":"Hughes","given":"B."},{"family":"Staley","given":"C."},{"family":"Sadowsky","given":"M. J."},{"family":"Harwood","given":"V. J."}],"issued":{"date-parts":[["2018"]]}}}],"schema":"https://github.com/citation-style-language/schema/raw/master/csl-citation.json"} </w:instrText>
      </w:r>
      <w:r w:rsidRPr="00397A3E">
        <w:rPr>
          <w:noProof w:val="0"/>
        </w:rPr>
        <w:fldChar w:fldCharType="separate"/>
      </w:r>
      <w:r w:rsidRPr="00397A3E">
        <w:rPr>
          <w:noProof w:val="0"/>
        </w:rPr>
        <w:t>Ahmed, Hamilton, et al., (2018)</w:t>
      </w:r>
      <w:r w:rsidRPr="00397A3E">
        <w:rPr>
          <w:noProof w:val="0"/>
        </w:rPr>
        <w:fldChar w:fldCharType="end"/>
      </w:r>
      <w:r w:rsidRPr="00397A3E">
        <w:rPr>
          <w:noProof w:val="0"/>
        </w:rPr>
        <w:t xml:space="preserve"> measured the concentr</w:t>
      </w:r>
      <w:r w:rsidR="007C010E" w:rsidRPr="00397A3E">
        <w:rPr>
          <w:noProof w:val="0"/>
        </w:rPr>
        <w:t xml:space="preserve">ation of several sewage-associated nucleic acid markers in </w:t>
      </w:r>
      <w:r w:rsidR="003F36CA" w:rsidRPr="00397A3E">
        <w:rPr>
          <w:noProof w:val="0"/>
        </w:rPr>
        <w:t xml:space="preserve">samples dosed with either untreated or treated sewage and diluted to have concentrations of norovirus and adenovirus (NoV and HAdV 40/41) in </w:t>
      </w:r>
      <w:r w:rsidR="00F830F7" w:rsidRPr="00397A3E">
        <w:rPr>
          <w:noProof w:val="0"/>
        </w:rPr>
        <w:t xml:space="preserve">genomic copies (GC) per </w:t>
      </w:r>
      <w:r w:rsidR="003F36CA" w:rsidRPr="00397A3E">
        <w:rPr>
          <w:noProof w:val="0"/>
        </w:rPr>
        <w:t xml:space="preserve">100 mL consistent with the US EPA benchmark 0.036 for GI.  The authors </w:t>
      </w:r>
      <w:r w:rsidR="0016151A" w:rsidRPr="00397A3E">
        <w:rPr>
          <w:noProof w:val="0"/>
        </w:rPr>
        <w:t xml:space="preserve">reported </w:t>
      </w:r>
      <w:r w:rsidR="003F36CA" w:rsidRPr="00397A3E">
        <w:rPr>
          <w:noProof w:val="0"/>
        </w:rPr>
        <w:t xml:space="preserve">the </w:t>
      </w:r>
      <w:r w:rsidR="0016151A" w:rsidRPr="00397A3E">
        <w:rPr>
          <w:noProof w:val="0"/>
        </w:rPr>
        <w:t xml:space="preserve">concentrations of </w:t>
      </w:r>
      <w:r w:rsidRPr="00397A3E">
        <w:rPr>
          <w:noProof w:val="0"/>
        </w:rPr>
        <w:t>human-specific HF183 Bacteriodes 16S rRNA genetic marker</w:t>
      </w:r>
      <w:r w:rsidR="0016151A" w:rsidRPr="00397A3E">
        <w:rPr>
          <w:noProof w:val="0"/>
        </w:rPr>
        <w:t xml:space="preserve"> at the GI benchmark were 3.22 x 10</w:t>
      </w:r>
      <w:r w:rsidR="0016151A" w:rsidRPr="00397A3E">
        <w:rPr>
          <w:noProof w:val="0"/>
          <w:vertAlign w:val="superscript"/>
        </w:rPr>
        <w:t>3</w:t>
      </w:r>
      <w:r w:rsidR="0016151A" w:rsidRPr="00397A3E">
        <w:rPr>
          <w:noProof w:val="0"/>
        </w:rPr>
        <w:t xml:space="preserve"> and </w:t>
      </w:r>
      <w:r w:rsidR="00F830F7" w:rsidRPr="00397A3E">
        <w:rPr>
          <w:noProof w:val="0"/>
        </w:rPr>
        <w:t>3.66 x10</w:t>
      </w:r>
      <w:r w:rsidR="00F830F7" w:rsidRPr="00397A3E">
        <w:rPr>
          <w:noProof w:val="0"/>
          <w:vertAlign w:val="superscript"/>
        </w:rPr>
        <w:t>3</w:t>
      </w:r>
      <w:r w:rsidR="00F830F7" w:rsidRPr="00397A3E">
        <w:rPr>
          <w:noProof w:val="0"/>
        </w:rPr>
        <w:t xml:space="preserve"> GC/100 mL in waters contaminated with raw and treated sewage respectively.  </w:t>
      </w:r>
    </w:p>
    <w:p w14:paraId="6116B1F7" w14:textId="78ED2765" w:rsidR="002D5B2E" w:rsidRPr="00397A3E" w:rsidRDefault="00171C91" w:rsidP="002D5B2E">
      <w:pPr>
        <w:rPr>
          <w:noProof w:val="0"/>
        </w:rPr>
      </w:pPr>
      <w:r w:rsidRPr="00397A3E">
        <w:rPr>
          <w:noProof w:val="0"/>
        </w:rPr>
        <w:t>Schoen, Boehm, et al., (2020) considered the age of sewage in sewage impacted recreational waters and estimated values of 9.3 × 10</w:t>
      </w:r>
      <w:r w:rsidRPr="00397A3E">
        <w:rPr>
          <w:noProof w:val="0"/>
          <w:vertAlign w:val="superscript"/>
        </w:rPr>
        <w:t>2</w:t>
      </w:r>
      <w:r w:rsidRPr="00397A3E">
        <w:rPr>
          <w:noProof w:val="0"/>
        </w:rPr>
        <w:t xml:space="preserve"> and 9.1 × 10</w:t>
      </w:r>
      <w:r w:rsidRPr="00397A3E">
        <w:rPr>
          <w:noProof w:val="0"/>
          <w:vertAlign w:val="superscript"/>
        </w:rPr>
        <w:t>3</w:t>
      </w:r>
      <w:r w:rsidRPr="00397A3E">
        <w:rPr>
          <w:noProof w:val="0"/>
        </w:rPr>
        <w:t xml:space="preserve"> </w:t>
      </w:r>
      <w:r w:rsidR="00663985" w:rsidRPr="00397A3E">
        <w:rPr>
          <w:noProof w:val="0"/>
        </w:rPr>
        <w:t>(GC/</w:t>
      </w:r>
      <w:r w:rsidRPr="00397A3E">
        <w:rPr>
          <w:noProof w:val="0"/>
        </w:rPr>
        <w:t>100 mL) for HF183</w:t>
      </w:r>
      <w:r w:rsidR="00663985" w:rsidRPr="00397A3E">
        <w:rPr>
          <w:noProof w:val="0"/>
        </w:rPr>
        <w:t>/</w:t>
      </w:r>
      <w:r w:rsidRPr="00397A3E">
        <w:rPr>
          <w:noProof w:val="0"/>
        </w:rPr>
        <w:t>BacR287 and CPQ_056, respectively, when fresh sewage was greater (by volume) than aged at the time of measurement.</w:t>
      </w:r>
      <w:r w:rsidR="00663985" w:rsidRPr="00397A3E">
        <w:rPr>
          <w:noProof w:val="0"/>
        </w:rPr>
        <w:t xml:space="preserve">  Given the differences in biomarker concentrations at the predicted GI thresholds between the two studies, </w:t>
      </w:r>
      <w:r w:rsidR="001A2AC9" w:rsidRPr="00397A3E">
        <w:rPr>
          <w:noProof w:val="0"/>
        </w:rPr>
        <w:t xml:space="preserve">such methods require closer evaluation to understand the causes of such differences.  For example </w:t>
      </w:r>
      <w:r w:rsidRPr="00397A3E">
        <w:rPr>
          <w:noProof w:val="0"/>
        </w:rPr>
        <w:t>A</w:t>
      </w:r>
      <w:r w:rsidR="001A2AC9" w:rsidRPr="00397A3E">
        <w:rPr>
          <w:noProof w:val="0"/>
        </w:rPr>
        <w:t xml:space="preserve">hmed, Hamilton, et al., </w:t>
      </w:r>
      <w:r w:rsidR="0016151A" w:rsidRPr="00397A3E">
        <w:rPr>
          <w:noProof w:val="0"/>
        </w:rPr>
        <w:t xml:space="preserve">assumed that all NoV and HAdV 40/41 quantified using qPCR </w:t>
      </w:r>
      <w:r w:rsidR="001A2AC9" w:rsidRPr="00397A3E">
        <w:rPr>
          <w:noProof w:val="0"/>
        </w:rPr>
        <w:t>were</w:t>
      </w:r>
      <w:r w:rsidR="0016151A" w:rsidRPr="00397A3E">
        <w:rPr>
          <w:noProof w:val="0"/>
        </w:rPr>
        <w:t xml:space="preserve"> viable and infective</w:t>
      </w:r>
      <w:r w:rsidR="001A2AC9" w:rsidRPr="00397A3E">
        <w:rPr>
          <w:noProof w:val="0"/>
        </w:rPr>
        <w:t xml:space="preserve">, whilst </w:t>
      </w:r>
      <w:r w:rsidRPr="00397A3E">
        <w:rPr>
          <w:noProof w:val="0"/>
        </w:rPr>
        <w:t xml:space="preserve">Schoen, Boehm, et al., pointed out that </w:t>
      </w:r>
      <w:r w:rsidRPr="002D5B2E">
        <w:rPr>
          <w:noProof w:val="0"/>
        </w:rPr>
        <w:t>no recreational water epidemiology study</w:t>
      </w:r>
      <w:r w:rsidRPr="00397A3E">
        <w:rPr>
          <w:noProof w:val="0"/>
        </w:rPr>
        <w:t xml:space="preserve"> had measured </w:t>
      </w:r>
      <w:r w:rsidRPr="002D5B2E">
        <w:rPr>
          <w:noProof w:val="0"/>
        </w:rPr>
        <w:t xml:space="preserve">the recently updated HF183/BacR287 DNA targets </w:t>
      </w:r>
      <w:r w:rsidRPr="00397A3E">
        <w:rPr>
          <w:noProof w:val="0"/>
        </w:rPr>
        <w:t xml:space="preserve">(nor the biomarker, </w:t>
      </w:r>
      <w:r w:rsidRPr="002D5B2E">
        <w:rPr>
          <w:noProof w:val="0"/>
        </w:rPr>
        <w:t>crAssphage</w:t>
      </w:r>
      <w:r w:rsidRPr="00397A3E">
        <w:rPr>
          <w:noProof w:val="0"/>
        </w:rPr>
        <w:t xml:space="preserve"> which was also </w:t>
      </w:r>
      <w:r w:rsidR="00527D85" w:rsidRPr="00397A3E">
        <w:rPr>
          <w:noProof w:val="0"/>
        </w:rPr>
        <w:t>considered</w:t>
      </w:r>
      <w:r w:rsidRPr="00397A3E">
        <w:rPr>
          <w:noProof w:val="0"/>
        </w:rPr>
        <w:t xml:space="preserve">) </w:t>
      </w:r>
      <w:r w:rsidRPr="002D5B2E">
        <w:rPr>
          <w:noProof w:val="0"/>
        </w:rPr>
        <w:t>and attempted to relate these genetic</w:t>
      </w:r>
      <w:r w:rsidRPr="00397A3E">
        <w:rPr>
          <w:noProof w:val="0"/>
        </w:rPr>
        <w:t xml:space="preserve"> markers to swimmer GI illness. </w:t>
      </w:r>
    </w:p>
    <w:p w14:paraId="72B0797A" w14:textId="6B728F4E" w:rsidR="002D5B2E" w:rsidRPr="00397A3E" w:rsidRDefault="00171C91" w:rsidP="0016151A">
      <w:pPr>
        <w:rPr>
          <w:noProof w:val="0"/>
        </w:rPr>
      </w:pPr>
      <w:r w:rsidRPr="00397A3E">
        <w:rPr>
          <w:noProof w:val="0"/>
        </w:rPr>
        <w:fldChar w:fldCharType="begin"/>
      </w:r>
      <w:r w:rsidR="0069143F" w:rsidRPr="00397A3E">
        <w:rPr>
          <w:noProof w:val="0"/>
        </w:rPr>
        <w:instrText xml:space="preserve"> ADDIN ZOTERO_ITEM CSL_CITATION {"citationID":"F3mAIL7d","properties":{"custom":"Shrestha and Dorevitch, (2019)","formattedCitation":"Shrestha and Dorevitch, (2019)","plainCitation":"Shrestha and Dorevitch, (2019)","noteIndex":0},"citationItems":[{"id":12632,"uris":["http://zotero.org/users/148142/items/WDBYUYC6"],"uri":["http://zotero.org/users/148142/items/WDBYUYC6"],"itemData":{"id":12632,"type":"article-journal","archive":"Scopus","container-title":"Water Research","DOI":"10.1016/j.watres.2019.03.034","page":"395-403","title":"Evaluation of rapid qPCR method for quantification of E. coli at non-point source impacted Lake Michigan beaches","URL":"https://www.scopus.com/inward/record.uri?eid=2-s2.0-85063941252&amp;doi=10.1016%2fj.watres.2019.03.034&amp;partnerID=40&amp;md5=8d0a3a8e1bd9c65175f11c60ca03b025","volume":"156","author":[{"family":"Shrestha","given":"A."},{"family":"Dorevitch","given":"S."}],"issued":{"date-parts":[["2019"]]}}}],"schema":"https://github.com/citation-style-language/schema/raw/master/csl-citation.json"} </w:instrText>
      </w:r>
      <w:r w:rsidRPr="00397A3E">
        <w:rPr>
          <w:noProof w:val="0"/>
        </w:rPr>
        <w:fldChar w:fldCharType="separate"/>
      </w:r>
      <w:r w:rsidRPr="00397A3E">
        <w:rPr>
          <w:noProof w:val="0"/>
        </w:rPr>
        <w:t>Shrestha and Dorevitch, (2019)</w:t>
      </w:r>
      <w:r w:rsidRPr="00397A3E">
        <w:rPr>
          <w:noProof w:val="0"/>
        </w:rPr>
        <w:fldChar w:fldCharType="end"/>
      </w:r>
      <w:r w:rsidRPr="00397A3E">
        <w:rPr>
          <w:noProof w:val="0"/>
        </w:rPr>
        <w:t xml:space="preserve"> evaluated a rapid qPCR method for quantification of </w:t>
      </w:r>
      <w:r w:rsidRPr="00397A3E">
        <w:rPr>
          <w:i/>
          <w:iCs/>
          <w:noProof w:val="0"/>
        </w:rPr>
        <w:t>E. coli</w:t>
      </w:r>
      <w:r w:rsidRPr="00397A3E">
        <w:rPr>
          <w:noProof w:val="0"/>
        </w:rPr>
        <w:t xml:space="preserve"> for use at Lake Michigan beaches</w:t>
      </w:r>
      <w:r w:rsidR="000354D2" w:rsidRPr="00397A3E">
        <w:rPr>
          <w:noProof w:val="0"/>
        </w:rPr>
        <w:t xml:space="preserve">.  Whilst the methodology showed merit, the authors concluded that the finding that each method and reference FIB measurement yielded different </w:t>
      </w:r>
      <w:r w:rsidR="000354D2" w:rsidRPr="00397A3E">
        <w:rPr>
          <w:i/>
          <w:iCs/>
          <w:noProof w:val="0"/>
        </w:rPr>
        <w:t>E. coli</w:t>
      </w:r>
      <w:r w:rsidR="000354D2" w:rsidRPr="00397A3E">
        <w:rPr>
          <w:noProof w:val="0"/>
        </w:rPr>
        <w:t xml:space="preserve"> qPCR Beach Action Values (BAV) highlighted the need for further US EPA guidance for deriving new types of BAVs such as ones based on </w:t>
      </w:r>
      <w:r w:rsidR="000354D2" w:rsidRPr="00666D1F">
        <w:rPr>
          <w:i/>
          <w:noProof w:val="0"/>
        </w:rPr>
        <w:t>E. coli</w:t>
      </w:r>
      <w:r w:rsidR="000354D2" w:rsidRPr="00397A3E">
        <w:rPr>
          <w:noProof w:val="0"/>
        </w:rPr>
        <w:t xml:space="preserve"> qPCR.</w:t>
      </w:r>
    </w:p>
    <w:p w14:paraId="35DB9D65" w14:textId="7C809352" w:rsidR="002D5B2E" w:rsidRPr="00397A3E" w:rsidRDefault="002D5B2E" w:rsidP="0016151A">
      <w:pPr>
        <w:rPr>
          <w:noProof w:val="0"/>
        </w:rPr>
      </w:pPr>
    </w:p>
    <w:p w14:paraId="10EFAAEA" w14:textId="40F64275" w:rsidR="0016151A" w:rsidRPr="00397A3E" w:rsidRDefault="00171C91" w:rsidP="00AD75E6">
      <w:pPr>
        <w:keepNext/>
        <w:rPr>
          <w:i/>
          <w:iCs/>
          <w:noProof w:val="0"/>
        </w:rPr>
      </w:pPr>
      <w:r w:rsidRPr="00AD75E6">
        <w:rPr>
          <w:i/>
          <w:iCs/>
          <w:noProof w:val="0"/>
        </w:rPr>
        <w:t>Further research opportunities for MST, QMRA, AMRB, standardisation of methods</w:t>
      </w:r>
    </w:p>
    <w:p w14:paraId="4F5C58FA" w14:textId="19BD9A0D" w:rsidR="00247F3E" w:rsidRPr="00397A3E" w:rsidRDefault="00171C91" w:rsidP="006605B4">
      <w:pPr>
        <w:rPr>
          <w:noProof w:val="0"/>
        </w:rPr>
      </w:pPr>
      <w:r w:rsidRPr="00397A3E">
        <w:rPr>
          <w:bCs/>
          <w:noProof w:val="0"/>
        </w:rPr>
        <w:fldChar w:fldCharType="begin"/>
      </w:r>
      <w:r w:rsidR="0069143F" w:rsidRPr="00397A3E">
        <w:rPr>
          <w:bCs/>
          <w:noProof w:val="0"/>
        </w:rPr>
        <w:instrText xml:space="preserve"> ADDIN ZOTERO_ITEM CSL_CITATION {"citationID":"ufOtywL4","properties":{"custom":"US EPA (2017)","formattedCitation":"US EPA (2017)","plainCitation":"US EPA (2017)","noteIndex":0},"citationItems":[{"id":15763,"uris":["http://zotero.org/users/148142/items/BR87QUJ3"],"uri":["http://zotero.org/users/148142/items/BR87QUJ3"],"itemData":{"id":15763,"type":"report","event-place":"Washington, DC, United States","number":"Office of Water 823-R-18-001","publisher":"US Environmental Protection Agency, Office of Water, Office of Science and Technology","publisher-place":"Washington, DC, United States","title":"2017 Five-Year Review of the 2012 Recreational Water Quality Criteria","URL":"https://www.epa.gov/sites/production/files/2018-05/documents/2017-5year-review-rwqc.pdf","author":[{"literal":"US EPA"}],"issued":{"date-parts":[["2017"]]}}}],"schema":"https://github.com/citation-style-language/schema/raw/master/csl-citation.json"} </w:instrText>
      </w:r>
      <w:r w:rsidRPr="00397A3E">
        <w:rPr>
          <w:bCs/>
          <w:noProof w:val="0"/>
        </w:rPr>
        <w:fldChar w:fldCharType="separate"/>
      </w:r>
      <w:r w:rsidRPr="00397A3E">
        <w:rPr>
          <w:noProof w:val="0"/>
        </w:rPr>
        <w:t>US EPA (2017)</w:t>
      </w:r>
      <w:r w:rsidRPr="00397A3E">
        <w:rPr>
          <w:noProof w:val="0"/>
        </w:rPr>
        <w:fldChar w:fldCharType="end"/>
      </w:r>
      <w:r w:rsidRPr="00397A3E">
        <w:rPr>
          <w:noProof w:val="0"/>
        </w:rPr>
        <w:t xml:space="preserve"> </w:t>
      </w:r>
      <w:r w:rsidR="00264159" w:rsidRPr="00397A3E">
        <w:rPr>
          <w:noProof w:val="0"/>
        </w:rPr>
        <w:t xml:space="preserve">identified the need for </w:t>
      </w:r>
      <w:r w:rsidRPr="00397A3E">
        <w:rPr>
          <w:noProof w:val="0"/>
        </w:rPr>
        <w:t>more research to better understand the role the environment plays in transferring antimicrobial resistant bacteria (AMRB) to primary contact recreators</w:t>
      </w:r>
      <w:r w:rsidR="00264159" w:rsidRPr="00397A3E">
        <w:rPr>
          <w:noProof w:val="0"/>
        </w:rPr>
        <w:t xml:space="preserve">, whilst </w:t>
      </w:r>
      <w:r w:rsidR="00264159" w:rsidRPr="00397A3E">
        <w:rPr>
          <w:bCs/>
          <w:noProof w:val="0"/>
        </w:rPr>
        <w:fldChar w:fldCharType="begin"/>
      </w:r>
      <w:r w:rsidR="0069143F" w:rsidRPr="00397A3E">
        <w:rPr>
          <w:bCs/>
          <w:noProof w:val="0"/>
        </w:rPr>
        <w:instrText xml:space="preserve"> ADDIN ZOTERO_ITEM CSL_CITATION {"citationID":"gOG6F1ML","properties":{"custom":"WHO (2018b)","formattedCitation":"WHO (2018b)","plainCitation":"WHO (2018b)","noteIndex":0},"citationItems":[{"id":16342,"uris":["http://zotero.org/users/148142/items/FAQ5QAH6"],"uri":["http://zotero.org/users/148142/items/FAQ5QAH6"],"itemData":{"id":16342,"type":"report","publisher":"World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schema":"https://github.com/citation-style-language/schema/raw/master/csl-citation.json"} </w:instrText>
      </w:r>
      <w:r w:rsidR="00264159" w:rsidRPr="00397A3E">
        <w:rPr>
          <w:bCs/>
          <w:noProof w:val="0"/>
        </w:rPr>
        <w:fldChar w:fldCharType="separate"/>
      </w:r>
      <w:r w:rsidR="00264159" w:rsidRPr="00397A3E">
        <w:rPr>
          <w:noProof w:val="0"/>
        </w:rPr>
        <w:t>WHO (2018)</w:t>
      </w:r>
      <w:r w:rsidR="00264159" w:rsidRPr="00397A3E">
        <w:rPr>
          <w:noProof w:val="0"/>
        </w:rPr>
        <w:fldChar w:fldCharType="end"/>
      </w:r>
      <w:r w:rsidR="00264159" w:rsidRPr="00397A3E">
        <w:rPr>
          <w:noProof w:val="0"/>
        </w:rPr>
        <w:t xml:space="preserve"> considered that a detailed state of the art review of MST techniques and QMRA, to provide standardised information and advice on their practical application would be of value to EU Member States.</w:t>
      </w:r>
      <w:r w:rsidR="003E0746" w:rsidRPr="00397A3E">
        <w:rPr>
          <w:noProof w:val="0"/>
        </w:rPr>
        <w:t xml:space="preserve">  </w:t>
      </w:r>
    </w:p>
    <w:p w14:paraId="4C804612" w14:textId="11EF05E1" w:rsidR="00264159" w:rsidRDefault="00171C91" w:rsidP="006605B4">
      <w:pPr>
        <w:rPr>
          <w:noProof w:val="0"/>
        </w:rPr>
      </w:pPr>
      <w:r w:rsidRPr="00397A3E">
        <w:rPr>
          <w:noProof w:val="0"/>
        </w:rPr>
        <w:t>Although</w:t>
      </w:r>
      <w:r w:rsidR="003E0746" w:rsidRPr="00397A3E">
        <w:rPr>
          <w:noProof w:val="0"/>
        </w:rPr>
        <w:t xml:space="preserve"> WHO released </w:t>
      </w:r>
      <w:r w:rsidRPr="00397A3E">
        <w:rPr>
          <w:noProof w:val="0"/>
        </w:rPr>
        <w:t xml:space="preserve">general </w:t>
      </w:r>
      <w:r w:rsidR="003E0746" w:rsidRPr="00397A3E">
        <w:rPr>
          <w:noProof w:val="0"/>
        </w:rPr>
        <w:t>guidance for QMRA in 2016</w:t>
      </w:r>
      <w:r w:rsidRPr="00397A3E">
        <w:rPr>
          <w:noProof w:val="0"/>
        </w:rPr>
        <w:t xml:space="preserve"> </w:t>
      </w:r>
      <w:r w:rsidRPr="00397A3E">
        <w:rPr>
          <w:noProof w:val="0"/>
        </w:rPr>
        <w:fldChar w:fldCharType="begin"/>
      </w:r>
      <w:r w:rsidRPr="00397A3E">
        <w:rPr>
          <w:noProof w:val="0"/>
        </w:rPr>
        <w:instrText xml:space="preserve"> ADDIN ZOTERO_ITEM CSL_CITATION {"citationID":"ajT3gtDW","properties":{"formattedCitation":"(WHO, 2016)","plainCitation":"(WHO, 2016)","noteIndex":0},"citationItems":[{"id":9329,"uris":["http://zotero.org/users/148142/items/VSNDP6P4"],"uri":["http://zotero.org/users/148142/items/VSNDP6P4"],"itemData":{"id":9329,"type":"book","event-place":"Geneva","ISBN":"978 92 4 156537 0","language":"English","number-of-pages":"204","publisher":"World Health Organization","publisher-place":"Geneva","source":"Open WorldCat","title":"Quantitative Microbial Risk Assessment: Application for Water Safety Management","author":[{"literal":"WHO"}],"issued":{"date-parts":[["2016"]]}}}],"schema":"https://github.com/citation-style-language/schema/raw/master/csl-citation.json"} </w:instrText>
      </w:r>
      <w:r w:rsidRPr="00397A3E">
        <w:rPr>
          <w:noProof w:val="0"/>
        </w:rPr>
        <w:fldChar w:fldCharType="separate"/>
      </w:r>
      <w:r w:rsidRPr="00397A3E">
        <w:rPr>
          <w:rFonts w:cs="Arial"/>
          <w:noProof w:val="0"/>
        </w:rPr>
        <w:t>(WHO, 2016)</w:t>
      </w:r>
      <w:r w:rsidRPr="00397A3E">
        <w:rPr>
          <w:noProof w:val="0"/>
        </w:rPr>
        <w:fldChar w:fldCharType="end"/>
      </w:r>
      <w:r w:rsidRPr="00397A3E">
        <w:rPr>
          <w:noProof w:val="0"/>
        </w:rPr>
        <w:t>, the recommendation in relation to bathing water appears to be more focussed on the recreational water contexts and the potential for use of QMRA within a regulatory framework and the development of site-specific faecal indicator levels.</w:t>
      </w:r>
    </w:p>
    <w:p w14:paraId="19C13493" w14:textId="3F61B9C1" w:rsidR="00F61EA6" w:rsidRPr="00397A3E" w:rsidRDefault="00171C91" w:rsidP="006605B4">
      <w:pPr>
        <w:rPr>
          <w:noProof w:val="0"/>
        </w:rPr>
      </w:pPr>
      <w:r w:rsidRPr="00397A3E">
        <w:rPr>
          <w:bCs/>
          <w:noProof w:val="0"/>
        </w:rPr>
        <w:fldChar w:fldCharType="begin"/>
      </w:r>
      <w:r w:rsidR="00FE49E4">
        <w:rPr>
          <w:bCs/>
          <w:noProof w:val="0"/>
        </w:rPr>
        <w:instrText xml:space="preserve"> ADDIN ZOTERO_ITEM CSL_CITATION {"citationID":"bGyCQ8xn","properties":{"custom":"WHO (2018b)","formattedCitation":"WHO (2018b)","plainCitation":"WHO (2018b)","noteIndex":0},"citationItems":[{"id":16342,"uris":["http://zotero.org/users/148142/items/FAQ5QAH6"],"uri":["http://zotero.org/users/148142/items/FAQ5QAH6"],"itemData":{"id":16342,"type":"report","publisher":"World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schema":"https://github.com/citation-style-language/schema/raw/master/csl-citation.json"} </w:instrText>
      </w:r>
      <w:r w:rsidRPr="00397A3E">
        <w:rPr>
          <w:bCs/>
          <w:noProof w:val="0"/>
        </w:rPr>
        <w:fldChar w:fldCharType="separate"/>
      </w:r>
      <w:r w:rsidRPr="00397A3E">
        <w:rPr>
          <w:noProof w:val="0"/>
        </w:rPr>
        <w:t>WHO (2018)</w:t>
      </w:r>
      <w:r w:rsidRPr="00397A3E">
        <w:rPr>
          <w:noProof w:val="0"/>
        </w:rPr>
        <w:fldChar w:fldCharType="end"/>
      </w:r>
      <w:r>
        <w:rPr>
          <w:noProof w:val="0"/>
        </w:rPr>
        <w:t xml:space="preserve"> expresses </w:t>
      </w:r>
      <w:r w:rsidR="001E26E7">
        <w:rPr>
          <w:noProof w:val="0"/>
        </w:rPr>
        <w:t xml:space="preserve">some important </w:t>
      </w:r>
      <w:r>
        <w:rPr>
          <w:noProof w:val="0"/>
        </w:rPr>
        <w:t>views on the use</w:t>
      </w:r>
      <w:r w:rsidR="001E26E7">
        <w:rPr>
          <w:noProof w:val="0"/>
        </w:rPr>
        <w:t xml:space="preserve"> of MST and further research.  However, since this particular topic aligns closely with secondary research question 1, it is addressed under that question in Section </w:t>
      </w:r>
      <w:r w:rsidR="001E26E7">
        <w:rPr>
          <w:noProof w:val="0"/>
        </w:rPr>
        <w:fldChar w:fldCharType="begin"/>
      </w:r>
      <w:r w:rsidR="001E26E7">
        <w:rPr>
          <w:noProof w:val="0"/>
        </w:rPr>
        <w:instrText xml:space="preserve"> REF _Ref94103815 \r \h </w:instrText>
      </w:r>
      <w:r w:rsidR="001E26E7">
        <w:rPr>
          <w:noProof w:val="0"/>
        </w:rPr>
      </w:r>
      <w:r w:rsidR="001E26E7">
        <w:rPr>
          <w:noProof w:val="0"/>
        </w:rPr>
        <w:fldChar w:fldCharType="separate"/>
      </w:r>
      <w:r w:rsidR="001A0E9F">
        <w:rPr>
          <w:noProof w:val="0"/>
        </w:rPr>
        <w:t>7.3.1</w:t>
      </w:r>
      <w:r w:rsidR="001E26E7">
        <w:rPr>
          <w:noProof w:val="0"/>
        </w:rPr>
        <w:fldChar w:fldCharType="end"/>
      </w:r>
      <w:r w:rsidR="001E26E7">
        <w:rPr>
          <w:noProof w:val="0"/>
        </w:rPr>
        <w:t>.</w:t>
      </w:r>
    </w:p>
    <w:p w14:paraId="456553D4" w14:textId="77777777" w:rsidR="00247F3E" w:rsidRPr="00397A3E" w:rsidRDefault="00247F3E" w:rsidP="006605B4">
      <w:pPr>
        <w:rPr>
          <w:noProof w:val="0"/>
        </w:rPr>
      </w:pPr>
    </w:p>
    <w:p w14:paraId="63EF3A2D" w14:textId="4A0D568D" w:rsidR="00264159" w:rsidRPr="00397A3E" w:rsidRDefault="009774D3" w:rsidP="00177ECC">
      <w:pPr>
        <w:keepNext/>
        <w:rPr>
          <w:i/>
          <w:iCs/>
          <w:noProof w:val="0"/>
        </w:rPr>
      </w:pPr>
      <w:r w:rsidRPr="000A4982">
        <w:rPr>
          <w:b/>
          <w:bCs/>
          <w:noProof w:val="0"/>
        </w:rPr>
        <w:t>Limited confidence in the reported association</w:t>
      </w:r>
      <w:r>
        <w:rPr>
          <w:noProof w:val="0"/>
        </w:rPr>
        <w:t xml:space="preserve">: </w:t>
      </w:r>
      <w:r w:rsidR="00171C91" w:rsidRPr="00177ECC">
        <w:rPr>
          <w:i/>
          <w:iCs/>
          <w:noProof w:val="0"/>
        </w:rPr>
        <w:t>A positive relationship in recreational waters between the relative contribution of human faecal matter among pollution sources and greater health impacts on users compared to animal sources.</w:t>
      </w:r>
    </w:p>
    <w:p w14:paraId="27697A74" w14:textId="3B6D6496" w:rsidR="009774D3" w:rsidRPr="00CA561F" w:rsidRDefault="009774D3" w:rsidP="00012B48">
      <w:pPr>
        <w:rPr>
          <w:i/>
          <w:iCs/>
          <w:noProof w:val="0"/>
          <w:color w:val="008000"/>
        </w:rPr>
      </w:pPr>
      <w:r w:rsidRPr="00CA561F">
        <w:rPr>
          <w:i/>
          <w:iCs/>
          <w:noProof w:val="0"/>
          <w:color w:val="008000"/>
        </w:rPr>
        <w:t>There is low certainty in the following primary studies based on their risk of bias assessments.</w:t>
      </w:r>
    </w:p>
    <w:p w14:paraId="493D0537" w14:textId="7CBE30F7" w:rsidR="00012B48" w:rsidRDefault="00171C91" w:rsidP="00012B48">
      <w:pPr>
        <w:rPr>
          <w:noProof w:val="0"/>
        </w:rPr>
      </w:pPr>
      <w:r>
        <w:rPr>
          <w:noProof w:val="0"/>
        </w:rPr>
        <w:t>To demonstrate the potential of QMRA combined with MST data</w:t>
      </w:r>
      <w:r w:rsidR="00933A92">
        <w:rPr>
          <w:noProof w:val="0"/>
        </w:rPr>
        <w:t xml:space="preserve"> </w:t>
      </w:r>
      <w:r w:rsidR="00933A92" w:rsidRPr="00933A92">
        <w:rPr>
          <w:noProof w:val="0"/>
        </w:rPr>
        <w:t xml:space="preserve">to determine the primary sources </w:t>
      </w:r>
      <w:r w:rsidR="00933A92">
        <w:rPr>
          <w:noProof w:val="0"/>
        </w:rPr>
        <w:t>of contamination</w:t>
      </w:r>
      <w:r>
        <w:rPr>
          <w:noProof w:val="0"/>
        </w:rPr>
        <w:t xml:space="preserve">, </w:t>
      </w:r>
      <w:r w:rsidRPr="00012B48">
        <w:rPr>
          <w:noProof w:val="0"/>
        </w:rPr>
        <w:fldChar w:fldCharType="begin"/>
      </w:r>
      <w:r w:rsidR="00FE49E4">
        <w:rPr>
          <w:noProof w:val="0"/>
        </w:rPr>
        <w:instrText xml:space="preserve"> ADDIN ZOTERO_ITEM CSL_CITATION {"citationID":"Bw4nPRQz","properties":{"custom":"Gitter, Mena, et al., (2020)","formattedCitation":"Gitter, Mena, et al., (2020)","plainCitation":"Gitter, Mena, et al., (2020)","noteIndex":0},"citationItems":[{"id":12650,"uris":["http://zotero.org/users/148142/items/4QS8UY2D"],"uri":["http://zotero.org/users/148142/items/4QS8UY2D"],"itemData":{"id":12650,"type":"article-journal","archive":"Scopus","container-title":"Water (Switzerland)","DOI":"10.3390/w12020327","issue":"2","title":"Human health risks associated with recreational waters: Preliminary approach of integrating quantitative microbial risk assessment with microbial source tracking","URL":"https://www.scopus.com/inward/record.uri?eid=2-s2.0-85081546265&amp;doi=10.3390%2fw12020327&amp;partnerID=40&amp;md5=f48942230d1dbe0b5426d168ad1f982d","volume":"12","author":[{"family":"Gitter","given":"A."},{"family":"Mena","given":"K. D."},{"family":"Wagner","given":"K. L."},{"family":"Boellstorff","given":"D. E."},{"family":"Borel","given":"K. E."},{"family":"Gregory","given":"L. F."},{"family":"Gentry","given":"T. J."},{"family":"Karthikeyan","given":"R."}],"issued":{"date-parts":[["2020"]]}}}],"schema":"https://github.com/citation-style-language/schema/raw/master/csl-citation.json"} </w:instrText>
      </w:r>
      <w:r w:rsidRPr="00012B48">
        <w:rPr>
          <w:noProof w:val="0"/>
        </w:rPr>
        <w:fldChar w:fldCharType="separate"/>
      </w:r>
      <w:r w:rsidRPr="00012B48">
        <w:rPr>
          <w:noProof w:val="0"/>
        </w:rPr>
        <w:t>Gitter, Mena, et al., (2020)</w:t>
      </w:r>
      <w:r w:rsidRPr="00012B48">
        <w:rPr>
          <w:noProof w:val="0"/>
        </w:rPr>
        <w:fldChar w:fldCharType="end"/>
      </w:r>
      <w:r>
        <w:rPr>
          <w:noProof w:val="0"/>
        </w:rPr>
        <w:t xml:space="preserve"> </w:t>
      </w:r>
      <w:r w:rsidRPr="00012B48">
        <w:rPr>
          <w:noProof w:val="0"/>
        </w:rPr>
        <w:t>estimat</w:t>
      </w:r>
      <w:r>
        <w:rPr>
          <w:noProof w:val="0"/>
        </w:rPr>
        <w:t>ed</w:t>
      </w:r>
      <w:r w:rsidRPr="00012B48">
        <w:rPr>
          <w:noProof w:val="0"/>
        </w:rPr>
        <w:t xml:space="preserve"> risk of GI illness</w:t>
      </w:r>
      <w:r>
        <w:rPr>
          <w:noProof w:val="0"/>
        </w:rPr>
        <w:t xml:space="preserve"> rates in swimmers</w:t>
      </w:r>
      <w:r w:rsidR="00933A92">
        <w:rPr>
          <w:noProof w:val="0"/>
        </w:rPr>
        <w:t xml:space="preserve"> </w:t>
      </w:r>
      <w:r>
        <w:rPr>
          <w:noProof w:val="0"/>
        </w:rPr>
        <w:t xml:space="preserve">in an example waterbody (Walnut Creek, </w:t>
      </w:r>
      <w:r w:rsidRPr="00012B48">
        <w:rPr>
          <w:noProof w:val="0"/>
        </w:rPr>
        <w:t>Brazos River Basin, Texas</w:t>
      </w:r>
      <w:r>
        <w:rPr>
          <w:noProof w:val="0"/>
        </w:rPr>
        <w:t>)</w:t>
      </w:r>
      <w:r w:rsidR="00933A92">
        <w:rPr>
          <w:noProof w:val="0"/>
        </w:rPr>
        <w:t>.  The authors used</w:t>
      </w:r>
      <w:r w:rsidRPr="00012B48">
        <w:rPr>
          <w:noProof w:val="0"/>
        </w:rPr>
        <w:t xml:space="preserve"> </w:t>
      </w:r>
      <w:r w:rsidRPr="00012B48">
        <w:rPr>
          <w:i/>
          <w:noProof w:val="0"/>
        </w:rPr>
        <w:t>E. coli</w:t>
      </w:r>
      <w:r w:rsidRPr="00012B48">
        <w:rPr>
          <w:noProof w:val="0"/>
        </w:rPr>
        <w:t xml:space="preserve"> concentrations to predict reference pathogen concentrations from cattle (</w:t>
      </w:r>
      <w:r w:rsidRPr="00012B48">
        <w:rPr>
          <w:i/>
          <w:iCs/>
          <w:noProof w:val="0"/>
        </w:rPr>
        <w:t>Campylobacter</w:t>
      </w:r>
      <w:r w:rsidRPr="00012B48">
        <w:rPr>
          <w:noProof w:val="0"/>
        </w:rPr>
        <w:t>), human (Norovirus), and wildlife/domestic animals (</w:t>
      </w:r>
      <w:r w:rsidRPr="00012B48">
        <w:rPr>
          <w:i/>
          <w:iCs/>
          <w:noProof w:val="0"/>
        </w:rPr>
        <w:t>Cryptosporidium</w:t>
      </w:r>
      <w:r w:rsidRPr="00012B48">
        <w:rPr>
          <w:noProof w:val="0"/>
        </w:rPr>
        <w:t>), and thus the relative risk of GI illness from each source.</w:t>
      </w:r>
    </w:p>
    <w:p w14:paraId="38A43F45" w14:textId="3A673E97" w:rsidR="00012B48" w:rsidRDefault="00171C91" w:rsidP="006605B4">
      <w:pPr>
        <w:rPr>
          <w:noProof w:val="0"/>
        </w:rPr>
      </w:pPr>
      <w:r w:rsidRPr="00012B48">
        <w:rPr>
          <w:noProof w:val="0"/>
        </w:rPr>
        <w:t>MST analyses combined ERIC-PCR and Riboprinting in which isolates from water samples were compared against the Texas MST Library and a local library to identify sources and enhance accuracy of results</w:t>
      </w:r>
      <w:r w:rsidR="00933A92">
        <w:rPr>
          <w:noProof w:val="0"/>
        </w:rPr>
        <w:t xml:space="preserve">.  </w:t>
      </w:r>
      <w:r w:rsidR="00933A92" w:rsidRPr="00933A92">
        <w:rPr>
          <w:noProof w:val="0"/>
        </w:rPr>
        <w:t>The findings indicated that the proportion of cattle/domestic animals and wildlife faecal loading had a much less substantial impact on the overall risk for a GI illness than human faecal sources</w:t>
      </w:r>
      <w:r w:rsidR="00933A92">
        <w:rPr>
          <w:noProof w:val="0"/>
        </w:rPr>
        <w:t>.</w:t>
      </w:r>
    </w:p>
    <w:p w14:paraId="4F160B79" w14:textId="5A2A653C" w:rsidR="00DB2E31" w:rsidRPr="00397A3E" w:rsidRDefault="00171C91" w:rsidP="00DB2E31">
      <w:pPr>
        <w:rPr>
          <w:rFonts w:cs="Arial"/>
          <w:noProof w:val="0"/>
        </w:rPr>
      </w:pPr>
      <w:r w:rsidRPr="00DB2E31">
        <w:rPr>
          <w:rFonts w:cs="Arial"/>
          <w:noProof w:val="0"/>
        </w:rPr>
        <w:fldChar w:fldCharType="begin"/>
      </w:r>
      <w:r w:rsidR="00FE49E4">
        <w:rPr>
          <w:rFonts w:cs="Arial"/>
          <w:noProof w:val="0"/>
        </w:rPr>
        <w:instrText xml:space="preserve"> ADDIN ZOTERO_ITEM CSL_CITATION {"citationID":"yRDHdk4g","properties":{"custom":"Gitter, Mena, et al., (2020)","formattedCitation":"Gitter, Mena, et al., (2020)","plainCitation":"Gitter, Mena, et al., (2020)","dontUpdate":true,"noteIndex":0},"citationItems":[{"id":12650,"uris":["http://zotero.org/users/148142/items/4QS8UY2D"],"uri":["http://zotero.org/users/148142/items/4QS8UY2D"],"itemData":{"id":12650,"type":"article-journal","archive":"Scopus","container-title":"Water (Switzerland)","DOI":"10.3390/w12020327","issue":"2","title":"Human health risks associated with recreational waters: Preliminary approach of integrating quantitative microbial risk assessment with microbial source tracking","URL":"https://www.scopus.com/inward/record.uri?eid=2-s2.0-85081546265&amp;doi=10.3390%2fw12020327&amp;partnerID=40&amp;md5=f48942230d1dbe0b5426d168ad1f982d","volume":"12","author":[{"family":"Gitter","given":"A."},{"family":"Mena","given":"K. D."},{"family":"Wagner","given":"K. L."},{"family":"Boellstorff","given":"D. E."},{"family":"Borel","given":"K. E."},{"family":"Gregory","given":"L. F."},{"family":"Gentry","given":"T. J."},{"family":"Karthikeyan","given":"R."}],"issued":{"date-parts":[["2020"]]}}}],"schema":"https://github.com/citation-style-language/schema/raw/master/csl-citation.json"} </w:instrText>
      </w:r>
      <w:r w:rsidRPr="00DB2E31">
        <w:rPr>
          <w:rFonts w:cs="Arial"/>
          <w:noProof w:val="0"/>
        </w:rPr>
        <w:fldChar w:fldCharType="separate"/>
      </w:r>
      <w:r w:rsidRPr="00DB2E31">
        <w:rPr>
          <w:rFonts w:cs="Arial"/>
          <w:noProof w:val="0"/>
        </w:rPr>
        <w:t>Gitter, Mena, et al.</w:t>
      </w:r>
      <w:r>
        <w:rPr>
          <w:rFonts w:cs="Arial"/>
          <w:noProof w:val="0"/>
        </w:rPr>
        <w:t xml:space="preserve">'s </w:t>
      </w:r>
      <w:r w:rsidRPr="00DB2E31">
        <w:rPr>
          <w:rFonts w:cs="Arial"/>
          <w:noProof w:val="0"/>
        </w:rPr>
        <w:fldChar w:fldCharType="end"/>
      </w:r>
      <w:r w:rsidRPr="00397A3E">
        <w:rPr>
          <w:rFonts w:cs="Arial"/>
          <w:noProof w:val="0"/>
        </w:rPr>
        <w:t xml:space="preserve">study is innovative and easy to read, despite the complexity of analyses involved.  The innovation of using the ratios of </w:t>
      </w:r>
      <w:r w:rsidRPr="00397A3E">
        <w:rPr>
          <w:rFonts w:cs="Arial"/>
          <w:i/>
          <w:noProof w:val="0"/>
        </w:rPr>
        <w:t>E. coli</w:t>
      </w:r>
      <w:r w:rsidRPr="00397A3E">
        <w:rPr>
          <w:rFonts w:cs="Arial"/>
          <w:noProof w:val="0"/>
        </w:rPr>
        <w:t xml:space="preserve"> to reference pathogen concentrations in faecal sources to predict the reference pathogen concentration in the recreational water given the measured </w:t>
      </w:r>
      <w:r w:rsidRPr="00397A3E">
        <w:rPr>
          <w:rFonts w:cs="Arial"/>
          <w:i/>
          <w:noProof w:val="0"/>
        </w:rPr>
        <w:t>E. coli</w:t>
      </w:r>
      <w:r w:rsidRPr="00397A3E">
        <w:rPr>
          <w:rFonts w:cs="Arial"/>
          <w:noProof w:val="0"/>
        </w:rPr>
        <w:t xml:space="preserve"> concentration is a clever approach.  This approach does ignore the potential for </w:t>
      </w:r>
      <w:r w:rsidRPr="00397A3E">
        <w:rPr>
          <w:rFonts w:cs="Arial"/>
          <w:i/>
          <w:noProof w:val="0"/>
        </w:rPr>
        <w:t>E. coli</w:t>
      </w:r>
      <w:r w:rsidRPr="00397A3E">
        <w:rPr>
          <w:rFonts w:cs="Arial"/>
          <w:noProof w:val="0"/>
        </w:rPr>
        <w:t xml:space="preserve"> arising from other sources (probably a low likelihood), and also ignores the likelihood of differential environmental decay rates between the </w:t>
      </w:r>
      <w:r w:rsidRPr="00397A3E">
        <w:rPr>
          <w:rFonts w:cs="Arial"/>
          <w:i/>
          <w:noProof w:val="0"/>
        </w:rPr>
        <w:t>E. coli</w:t>
      </w:r>
      <w:r w:rsidRPr="00397A3E">
        <w:rPr>
          <w:rFonts w:cs="Arial"/>
          <w:noProof w:val="0"/>
        </w:rPr>
        <w:t xml:space="preserve"> and reference pathogens.  With respect to differential decay, the ingested dose equation (equation 1 in the paper) follows the assumption that faecal pollution is fresh and directly deposited into the water, and not aged. The authors note that while these conditions may not be as realistic of actual environmental conditions, they serve as a worst-case scenario.</w:t>
      </w:r>
    </w:p>
    <w:p w14:paraId="5DB73116" w14:textId="43B476C5" w:rsidR="00E908C9" w:rsidRDefault="00171C91" w:rsidP="006605B4">
      <w:pPr>
        <w:rPr>
          <w:noProof w:val="0"/>
        </w:rPr>
      </w:pPr>
      <w:r>
        <w:rPr>
          <w:noProof w:val="0"/>
        </w:rPr>
        <w:t xml:space="preserve">An Australian study, </w:t>
      </w:r>
      <w:r w:rsidRPr="00DC62D2">
        <w:rPr>
          <w:noProof w:val="0"/>
        </w:rPr>
        <w:fldChar w:fldCharType="begin"/>
      </w:r>
      <w:r w:rsidR="00FE49E4">
        <w:rPr>
          <w:noProof w:val="0"/>
        </w:rPr>
        <w:instrText xml:space="preserve"> ADDIN ZOTERO_ITEM CSL_CITATION {"citationID":"RwYbHdPW","properties":{"custom":"Henry, Schang, et al., (2016)","formattedCitation":"Henry, Schang, et al., (2016)","plainCitation":"Henry, Schang, et al., (2016)","noteIndex":0},"citationItems":[{"id":12475,"uris":["http://zotero.org/users/148142/items/WYMGXRTP"],"uri":["http://zotero.org/users/148142/items/WYMGXRTP"],"itemData":{"id":12475,"type":"article-journal","archive":"Scopus","container-title":"Water Research","DOI":"10.1016/j.watres.2016.02.029","page":"242-253","title":"Into the deep: Evaluation of SourceTracker for assessment of faecal contamination of coastal waters","URL":"https://www.scopus.com/inward/record.uri?eid=2-s2.0-84958973030&amp;doi=10.1016%2fj.watres.2016.02.029&amp;partnerID=40&amp;md5=857b1be61a85ed86ed706842b9f6584f","volume":"93","author":[{"family":"Henry","given":"R."},{"family":"Schang","given":"C."},{"family":"Coutts","given":"S."},{"family":"Kolotelo","given":"P."},{"family":"Prosser","given":"T."},{"family":"Crosbie","given":"N."},{"family":"Grant","given":"T."},{"family":"Cottam","given":"D."},{"family":"O'Brien","given":"P."},{"family":"Deletic","given":"A."},{"family":"McCarthy","given":"D."}],"issued":{"date-parts":[["2016"]]}}}],"schema":"https://github.com/citation-style-language/schema/raw/master/csl-citation.json"} </w:instrText>
      </w:r>
      <w:r w:rsidRPr="00DC62D2">
        <w:rPr>
          <w:noProof w:val="0"/>
        </w:rPr>
        <w:fldChar w:fldCharType="separate"/>
      </w:r>
      <w:r w:rsidRPr="00DC62D2">
        <w:rPr>
          <w:noProof w:val="0"/>
        </w:rPr>
        <w:t>Henry, Schang, et al., (2016)</w:t>
      </w:r>
      <w:r w:rsidRPr="00DC62D2">
        <w:rPr>
          <w:noProof w:val="0"/>
        </w:rPr>
        <w:fldChar w:fldCharType="end"/>
      </w:r>
      <w:r w:rsidR="00CC0C23">
        <w:rPr>
          <w:noProof w:val="0"/>
        </w:rPr>
        <w:t>,</w:t>
      </w:r>
      <w:r w:rsidRPr="00DC62D2">
        <w:rPr>
          <w:noProof w:val="0"/>
        </w:rPr>
        <w:t xml:space="preserve"> </w:t>
      </w:r>
      <w:r w:rsidR="00CC0C23">
        <w:rPr>
          <w:noProof w:val="0"/>
        </w:rPr>
        <w:t>described sampling</w:t>
      </w:r>
      <w:r>
        <w:rPr>
          <w:noProof w:val="0"/>
        </w:rPr>
        <w:t xml:space="preserve"> </w:t>
      </w:r>
      <w:r w:rsidR="00CC0C23">
        <w:rPr>
          <w:noProof w:val="0"/>
        </w:rPr>
        <w:t xml:space="preserve">of </w:t>
      </w:r>
      <w:r>
        <w:rPr>
          <w:noProof w:val="0"/>
        </w:rPr>
        <w:t>l</w:t>
      </w:r>
      <w:r w:rsidRPr="00DC62D2">
        <w:rPr>
          <w:noProof w:val="0"/>
        </w:rPr>
        <w:t xml:space="preserve">ocations in Port Phillip Bay (marine) and </w:t>
      </w:r>
      <w:r>
        <w:rPr>
          <w:noProof w:val="0"/>
        </w:rPr>
        <w:t xml:space="preserve">in </w:t>
      </w:r>
      <w:r w:rsidRPr="00DC62D2">
        <w:rPr>
          <w:noProof w:val="0"/>
        </w:rPr>
        <w:t>regional riverine, estuarine, greywater, stormwater source water</w:t>
      </w:r>
      <w:r>
        <w:rPr>
          <w:noProof w:val="0"/>
        </w:rPr>
        <w:t xml:space="preserve"> tributaries to the bay</w:t>
      </w:r>
      <w:r w:rsidR="001B5165">
        <w:rPr>
          <w:noProof w:val="0"/>
        </w:rPr>
        <w:t xml:space="preserve"> for genetic evaluation of microbial communities</w:t>
      </w:r>
      <w:r>
        <w:rPr>
          <w:noProof w:val="0"/>
        </w:rPr>
        <w:t>.  Sewage and potable waters that could contribute to sources were also sampled.</w:t>
      </w:r>
      <w:r w:rsidR="00AA0CD9">
        <w:rPr>
          <w:noProof w:val="0"/>
        </w:rPr>
        <w:t xml:space="preserve">  The s</w:t>
      </w:r>
      <w:r w:rsidR="00AA0CD9" w:rsidRPr="00AA0CD9">
        <w:rPr>
          <w:noProof w:val="0"/>
        </w:rPr>
        <w:t xml:space="preserve">tudy aim was to use recreational water quality site </w:t>
      </w:r>
      <w:r w:rsidR="001B5165">
        <w:rPr>
          <w:noProof w:val="0"/>
        </w:rPr>
        <w:t xml:space="preserve">microbial community data (as measured by </w:t>
      </w:r>
      <w:r w:rsidR="00CC0C23" w:rsidRPr="00CC0C23">
        <w:rPr>
          <w:noProof w:val="0"/>
        </w:rPr>
        <w:t>16S rRNA amplicon data</w:t>
      </w:r>
      <w:r w:rsidR="00CC0C23">
        <w:rPr>
          <w:noProof w:val="0"/>
        </w:rPr>
        <w:t>)</w:t>
      </w:r>
      <w:r w:rsidR="00AA0CD9" w:rsidRPr="00AA0CD9">
        <w:rPr>
          <w:noProof w:val="0"/>
        </w:rPr>
        <w:t xml:space="preserve"> in high-throughput sequencing (HTS) and SourceTracker (a statistical tool for assessment of faecal contamination of coastal waters) to identify the main sources of contamination</w:t>
      </w:r>
      <w:r w:rsidR="00AA0CD9">
        <w:rPr>
          <w:noProof w:val="0"/>
        </w:rPr>
        <w:t xml:space="preserve">.  </w:t>
      </w:r>
      <w:r w:rsidR="00AA0CD9" w:rsidRPr="00AA0CD9">
        <w:rPr>
          <w:noProof w:val="0"/>
        </w:rPr>
        <w:t>SourceTracker to recreational beach samples identified treated effluent as major source of human derived faecal contamination, present in 69% of samples. Site-specific sources, such as raw sewage, stormwater and bacterial populations associated with the Yarra River estuary were also identified</w:t>
      </w:r>
      <w:r w:rsidR="00AA0CD9">
        <w:rPr>
          <w:noProof w:val="0"/>
        </w:rPr>
        <w:t>.</w:t>
      </w:r>
      <w:r>
        <w:rPr>
          <w:noProof w:val="0"/>
        </w:rPr>
        <w:t xml:space="preserve">  </w:t>
      </w:r>
    </w:p>
    <w:p w14:paraId="153D776F" w14:textId="57541DCB" w:rsidR="00012B48" w:rsidRDefault="00012B48" w:rsidP="006605B4">
      <w:pPr>
        <w:rPr>
          <w:noProof w:val="0"/>
        </w:rPr>
      </w:pPr>
    </w:p>
    <w:p w14:paraId="3B4B466D" w14:textId="50858C4D" w:rsidR="00EE550A" w:rsidRPr="00C158CA" w:rsidRDefault="009774D3" w:rsidP="00C158CA">
      <w:pPr>
        <w:keepNext/>
        <w:rPr>
          <w:i/>
          <w:iCs/>
          <w:noProof w:val="0"/>
        </w:rPr>
      </w:pPr>
      <w:r w:rsidRPr="000A4982">
        <w:rPr>
          <w:b/>
          <w:bCs/>
          <w:noProof w:val="0"/>
        </w:rPr>
        <w:t>Moderate confidence in the reported association</w:t>
      </w:r>
      <w:r>
        <w:rPr>
          <w:noProof w:val="0"/>
        </w:rPr>
        <w:t xml:space="preserve">: </w:t>
      </w:r>
      <w:r w:rsidR="00171C91" w:rsidRPr="00C158CA">
        <w:rPr>
          <w:i/>
          <w:iCs/>
          <w:noProof w:val="0"/>
        </w:rPr>
        <w:t xml:space="preserve">Positive association between increased exposure rates in marine waters and higher levels of FIB and </w:t>
      </w:r>
      <w:r w:rsidR="00145BDF">
        <w:rPr>
          <w:i/>
          <w:iCs/>
          <w:noProof w:val="0"/>
        </w:rPr>
        <w:t xml:space="preserve">in </w:t>
      </w:r>
      <w:r w:rsidR="00171C91" w:rsidRPr="00C158CA">
        <w:rPr>
          <w:i/>
          <w:iCs/>
          <w:noProof w:val="0"/>
        </w:rPr>
        <w:t xml:space="preserve">GI </w:t>
      </w:r>
      <w:r w:rsidR="00145BDF">
        <w:rPr>
          <w:i/>
          <w:iCs/>
          <w:noProof w:val="0"/>
        </w:rPr>
        <w:t>and RI in</w:t>
      </w:r>
      <w:r w:rsidR="00171C91" w:rsidRPr="00C158CA">
        <w:rPr>
          <w:i/>
          <w:iCs/>
          <w:noProof w:val="0"/>
        </w:rPr>
        <w:t xml:space="preserve"> swimmers including surfers.</w:t>
      </w:r>
    </w:p>
    <w:p w14:paraId="3E20B365" w14:textId="3D71F2CD" w:rsidR="000A4982" w:rsidRPr="00CA561F" w:rsidRDefault="000A4982" w:rsidP="001E1318">
      <w:pPr>
        <w:rPr>
          <w:i/>
          <w:iCs/>
          <w:noProof w:val="0"/>
          <w:color w:val="008000"/>
        </w:rPr>
      </w:pPr>
      <w:r w:rsidRPr="00CA561F">
        <w:rPr>
          <w:i/>
          <w:iCs/>
          <w:noProof w:val="0"/>
          <w:color w:val="008000"/>
        </w:rPr>
        <w:t>There is moderate certainty in the following cohort study and systematic review based on the</w:t>
      </w:r>
      <w:r w:rsidR="009774D3" w:rsidRPr="00CA561F">
        <w:rPr>
          <w:i/>
          <w:iCs/>
          <w:noProof w:val="0"/>
          <w:color w:val="008000"/>
        </w:rPr>
        <w:t>ir</w:t>
      </w:r>
      <w:r w:rsidRPr="00CA561F">
        <w:rPr>
          <w:i/>
          <w:iCs/>
          <w:noProof w:val="0"/>
          <w:color w:val="008000"/>
        </w:rPr>
        <w:t xml:space="preserve"> risk of bias assessments.</w:t>
      </w:r>
    </w:p>
    <w:p w14:paraId="31217F2B" w14:textId="7FE98F05" w:rsidR="00C158CA" w:rsidRDefault="00171C91" w:rsidP="001E1318">
      <w:pPr>
        <w:rPr>
          <w:noProof w:val="0"/>
        </w:rPr>
      </w:pPr>
      <w:r>
        <w:rPr>
          <w:noProof w:val="0"/>
        </w:rPr>
        <w:t>In a l</w:t>
      </w:r>
      <w:r w:rsidRPr="001E1318">
        <w:rPr>
          <w:noProof w:val="0"/>
        </w:rPr>
        <w:t xml:space="preserve">ongitudinal cohort </w:t>
      </w:r>
      <w:r>
        <w:rPr>
          <w:noProof w:val="0"/>
        </w:rPr>
        <w:t xml:space="preserve">study illness rates in </w:t>
      </w:r>
      <w:r w:rsidRPr="001E1318">
        <w:rPr>
          <w:noProof w:val="0"/>
        </w:rPr>
        <w:t>surfers in San Diego, California</w:t>
      </w:r>
      <w:r>
        <w:rPr>
          <w:noProof w:val="0"/>
        </w:rPr>
        <w:t xml:space="preserve">, </w:t>
      </w:r>
      <w:r w:rsidRPr="001E1318">
        <w:rPr>
          <w:noProof w:val="0"/>
        </w:rPr>
        <w:fldChar w:fldCharType="begin"/>
      </w:r>
      <w:r w:rsidR="00FE49E4">
        <w:rPr>
          <w:noProof w:val="0"/>
        </w:rPr>
        <w:instrText xml:space="preserve"> ADDIN ZOTERO_ITEM CSL_CITATION {"citationID":"Lnqk2Coq","properties":{"custom":"Arnold, Schiff, et al., (2017)","formattedCitation":"Arnold, Schiff, et al., (2017)","plainCitation":"Arnold, Schiff, et al., (2017)","noteIndex":0},"citationItems":[{"id":17433,"uris":["http://zotero.org/users/148142/items/CUJ53VZF"],"uri":["http://zotero.org/users/148142/items/CUJ53VZF"],"itemData":{"id":17433,"type":"article-journal","abstract":"Rainstorms increase levels of fecal indicator bacteria in urban coastal waters, but it is unknown whether exposure to seawater after rainstorms increases rates of acute illness. Our objective was to provide the first estimates of rates of acute illness after seawater exposure during both dry- and wet-weather periods and to determine the relationship between levels of indicator bacteria and illness among surfers, a population with a high potential for exposure after rain. We enrolled 654 surfers in San Diego, California, and followed them longitudinally during the 2013–2014 and 2014–2015 winters (33,377 days of observation, 10,081 surf sessions). We measured daily surf activities and illness symptoms (gastrointestinal illness, sinus infections, ear infections, infected wounds). Compared with no exposure, exposure to seawater during dry weather increased incidence rates of all outcomes (e.g., for earache or infection, adjusted incidence rate ratio (IRR) = 1.86, 95% confidence interval (CI): 1.27, 2.71; for infected wounds, IRR = 3.04, 95% CI: 1.54, 5.98); exposure during wet weather further increased rates (e.g., for earache or infection, IRR = 3.28, 95% CI: 1.95, 5.51; for infected wounds, IRR = 4.96, 95% CI: 2.18, 11.29). Fecal indicator bacteria measured in seawater (Enterococcus species, fecal coliforms, total coliforms) were strongly associated with incident illness only during wet weather. Urban coastal seawater exposure increases the incidence rates of many acute illnesses among surfers, with higher incidence rates after rainstorms.","container-title":"American Journal of Epidemiology","DOI":"10.1093/aje/kwx019","ISSN":"0002-9262","issue":"7","journalAbbreviation":"American Journal of Epidemiology","page":"866-875","source":"Silverchair","title":"Acute Illness Among Surfers After Exposure to Seawater in Dry- and Wet-Weather Conditions","URL":"https://doi.org/10.1093/aje/kwx019","volume":"186","author":[{"family":"Arnold","given":"Benjamin F."},{"family":"Schiff","given":"Kenneth C."},{"family":"Ercumen","given":"Ayse"},{"family":"Benjamin-Chung","given":"Jade"},{"family":"Steele","given":"Joshua A."},{"family":"Griffith","given":"John F."},{"family":"Steinberg","given":"Steven J."},{"family":"Smith","given":"Paul"},{"family":"McGee","given":"Charles D."},{"family":"Wilson","given":"Richard"},{"family":"Nelsen","given":"Chad"},{"family":"Weisberg","given":"Stephen B."},{"family":"Colford","given":"John M.","suffix":"Jr."}],"accessed":{"date-parts":[["2021",3,10]]},"issued":{"date-parts":[["2017",10,1]]}}}],"schema":"https://github.com/citation-style-language/schema/raw/master/csl-citation.json"} </w:instrText>
      </w:r>
      <w:r w:rsidRPr="001E1318">
        <w:rPr>
          <w:noProof w:val="0"/>
        </w:rPr>
        <w:fldChar w:fldCharType="separate"/>
      </w:r>
      <w:r w:rsidRPr="001E1318">
        <w:rPr>
          <w:noProof w:val="0"/>
        </w:rPr>
        <w:t>Arnold, Schiff, et al., (2017)</w:t>
      </w:r>
      <w:r w:rsidRPr="001E1318">
        <w:rPr>
          <w:noProof w:val="0"/>
        </w:rPr>
        <w:fldChar w:fldCharType="end"/>
      </w:r>
      <w:r>
        <w:rPr>
          <w:noProof w:val="0"/>
        </w:rPr>
        <w:t xml:space="preserve"> found that s</w:t>
      </w:r>
      <w:r w:rsidRPr="001E1318">
        <w:rPr>
          <w:noProof w:val="0"/>
        </w:rPr>
        <w:t xml:space="preserve">urfing was associated with increased incidence of several categories of symptoms, and associations were stronger if surfing took place shortly after rainstorms. Higher levels of FIB were strongly associated with fever, sinus pain/infection, wound infection, and </w:t>
      </w:r>
      <w:r>
        <w:rPr>
          <w:noProof w:val="0"/>
        </w:rPr>
        <w:t>GI</w:t>
      </w:r>
      <w:r w:rsidRPr="001E1318">
        <w:rPr>
          <w:noProof w:val="0"/>
        </w:rPr>
        <w:t xml:space="preserve"> within 3 days of rainstorms.</w:t>
      </w:r>
      <w:r>
        <w:rPr>
          <w:noProof w:val="0"/>
        </w:rPr>
        <w:t xml:space="preserve">  </w:t>
      </w:r>
      <w:r w:rsidR="001E654D">
        <w:rPr>
          <w:noProof w:val="0"/>
        </w:rPr>
        <w:t xml:space="preserve">Levels of </w:t>
      </w:r>
      <w:r w:rsidRPr="001E1318">
        <w:rPr>
          <w:noProof w:val="0"/>
        </w:rPr>
        <w:t xml:space="preserve">FIB </w:t>
      </w:r>
      <w:r w:rsidR="001E654D" w:rsidRPr="001E654D">
        <w:rPr>
          <w:noProof w:val="0"/>
        </w:rPr>
        <w:t xml:space="preserve">(including </w:t>
      </w:r>
      <w:r w:rsidR="001E654D" w:rsidRPr="001E654D">
        <w:rPr>
          <w:i/>
          <w:iCs/>
          <w:noProof w:val="0"/>
        </w:rPr>
        <w:t>Enterococcus</w:t>
      </w:r>
      <w:r w:rsidR="001E654D" w:rsidRPr="001E654D">
        <w:rPr>
          <w:noProof w:val="0"/>
        </w:rPr>
        <w:t>, total coliform, and faecal coliforms)</w:t>
      </w:r>
      <w:r w:rsidR="001E654D">
        <w:rPr>
          <w:noProof w:val="0"/>
        </w:rPr>
        <w:t xml:space="preserve"> </w:t>
      </w:r>
      <w:r w:rsidRPr="001E1318">
        <w:rPr>
          <w:noProof w:val="0"/>
        </w:rPr>
        <w:t xml:space="preserve">were positively associated with increased incidence of almost all </w:t>
      </w:r>
      <w:r w:rsidR="001E654D">
        <w:rPr>
          <w:noProof w:val="0"/>
        </w:rPr>
        <w:t xml:space="preserve">negative health </w:t>
      </w:r>
      <w:r w:rsidRPr="001E1318">
        <w:rPr>
          <w:noProof w:val="0"/>
        </w:rPr>
        <w:t>outcomes during the study.</w:t>
      </w:r>
    </w:p>
    <w:p w14:paraId="108A6271" w14:textId="70AE684F" w:rsidR="001E654D" w:rsidRPr="00397A3E" w:rsidRDefault="00171C91" w:rsidP="001E654D">
      <w:pPr>
        <w:rPr>
          <w:rFonts w:cs="Arial"/>
          <w:noProof w:val="0"/>
        </w:rPr>
      </w:pPr>
      <w:r w:rsidRPr="00397A3E">
        <w:rPr>
          <w:rFonts w:cs="Arial"/>
          <w:noProof w:val="0"/>
        </w:rPr>
        <w:t xml:space="preserve">The magnitude of the statistical effects observed in </w:t>
      </w:r>
      <w:r w:rsidRPr="001E1318">
        <w:rPr>
          <w:noProof w:val="0"/>
        </w:rPr>
        <w:t>Arnold, Schiff, et al.</w:t>
      </w:r>
      <w:r>
        <w:rPr>
          <w:noProof w:val="0"/>
        </w:rPr>
        <w:t>’s</w:t>
      </w:r>
      <w:r w:rsidRPr="001E1318">
        <w:rPr>
          <w:noProof w:val="0"/>
        </w:rPr>
        <w:t xml:space="preserve"> </w:t>
      </w:r>
      <w:r w:rsidRPr="00397A3E">
        <w:rPr>
          <w:rFonts w:cs="Arial"/>
          <w:noProof w:val="0"/>
        </w:rPr>
        <w:t>study are greatly dictated by the local recreational water quality environment of the study area</w:t>
      </w:r>
      <w:r w:rsidR="00F7634B">
        <w:rPr>
          <w:rFonts w:cs="Arial"/>
          <w:noProof w:val="0"/>
        </w:rPr>
        <w:t>.</w:t>
      </w:r>
      <w:r w:rsidRPr="00397A3E">
        <w:rPr>
          <w:rFonts w:cs="Arial"/>
          <w:noProof w:val="0"/>
        </w:rPr>
        <w:t xml:space="preserve"> </w:t>
      </w:r>
      <w:r w:rsidR="00F7634B">
        <w:rPr>
          <w:rFonts w:cs="Arial"/>
          <w:noProof w:val="0"/>
        </w:rPr>
        <w:t>However, t</w:t>
      </w:r>
      <w:r w:rsidRPr="00397A3E">
        <w:rPr>
          <w:rFonts w:cs="Arial"/>
          <w:noProof w:val="0"/>
        </w:rPr>
        <w:t>hey should be relevant to any metropolitan surf beaches in temperate and subtropical regions of Australia, particularly in the vicinity of stormwater discharges. The overall findings of the study - urban coastal seawater exposure increases the incidence rates of many acute illnesses among surfers, with higher incidence rates after rainstorms - is consistent with the general epidemiological literature on water recreation at coastal beaches. The study findings support the continued use of FIB as a tool for assessing health risks to recreational water users at metropolitan surf beaches.</w:t>
      </w:r>
    </w:p>
    <w:p w14:paraId="2E66C772" w14:textId="3128ABB5" w:rsidR="00526275" w:rsidRPr="00526275" w:rsidRDefault="00171C91" w:rsidP="000C29A7">
      <w:pPr>
        <w:rPr>
          <w:iCs/>
          <w:noProof w:val="0"/>
        </w:rPr>
      </w:pPr>
      <w:r w:rsidRPr="00616728">
        <w:rPr>
          <w:noProof w:val="0"/>
        </w:rPr>
        <w:fldChar w:fldCharType="begin"/>
      </w:r>
      <w:r w:rsidR="00FE49E4">
        <w:rPr>
          <w:noProof w:val="0"/>
        </w:rPr>
        <w:instrText xml:space="preserve"> ADDIN ZOTERO_ITEM CSL_CITATION {"citationID":"H6iKsXSu","properties":{"custom":"Russo, Eftim, et al., (2020)","formattedCitation":"Russo, Eftim, et al., (2020)","plainCitation":"Russo, Eftim, et al., (2020)","noteIndex":0},"citationItems":[{"id":12671,"uris":["http://zotero.org/users/148142/items/W56RG33S"],"uri":["http://zotero.org/users/148142/items/W56RG33S"],"itemData":{"id":12671,"type":"article-journal","archive":"Scopus","container-title":"Water Research","DOI":"10.1016/j.watres.2020.115729","title":"Evaluating health risks associated with exposure to ambient surface waters during recreational activities: A systematic review and meta-analysis","URL":"https://www.scopus.com/inward/record.uri?eid=2-s2.0-85082875333&amp;doi=10.1016%2fj.watres.2020.115729&amp;partnerID=40&amp;md5=b8d28f8b8576aa1d50ad124e4649f95f","volume":"176","author":[{"family":"Russo","given":"G. S."},{"family":"Eftim","given":"S. E."},{"family":"Goldstone","given":"A. E."},{"family":"Dufour","given":"A. P."},{"family":"Nappier","given":"S. P."},{"family":"Wade","given":"T. J."}],"issued":{"date-parts":[["2020"]]}}}],"schema":"https://github.com/citation-style-language/schema/raw/master/csl-citation.json"} </w:instrText>
      </w:r>
      <w:r w:rsidRPr="00616728">
        <w:rPr>
          <w:noProof w:val="0"/>
        </w:rPr>
        <w:fldChar w:fldCharType="separate"/>
      </w:r>
      <w:r w:rsidRPr="00616728">
        <w:rPr>
          <w:noProof w:val="0"/>
        </w:rPr>
        <w:t>Russo, Eftim, et al., (2020)</w:t>
      </w:r>
      <w:r w:rsidRPr="00616728">
        <w:rPr>
          <w:noProof w:val="0"/>
        </w:rPr>
        <w:fldChar w:fldCharType="end"/>
      </w:r>
      <w:r>
        <w:rPr>
          <w:noProof w:val="0"/>
        </w:rPr>
        <w:t xml:space="preserve"> </w:t>
      </w:r>
      <w:r w:rsidRPr="000C29A7">
        <w:rPr>
          <w:noProof w:val="0"/>
        </w:rPr>
        <w:t>undertook a systematic review and meta-analysis to evaluate the current scientific evidence for differences in risk of illness between recreational activities typically associated with different levels of contact with water.</w:t>
      </w:r>
      <w:r>
        <w:rPr>
          <w:noProof w:val="0"/>
        </w:rPr>
        <w:t xml:space="preserve">  </w:t>
      </w:r>
      <w:r w:rsidRPr="00397A3E">
        <w:rPr>
          <w:rFonts w:cs="Arial"/>
          <w:noProof w:val="0"/>
        </w:rPr>
        <w:t>The meta-analysis confirmed a strong association between swimming and both gastrointestinal illness (GI) and respiratory illness (RI). Swimming approximately doubles the risk of GI and increases the risk of RI by approximately 75% compared to no-contact controls.</w:t>
      </w:r>
    </w:p>
    <w:p w14:paraId="405BCF2D" w14:textId="54406088" w:rsidR="00616728" w:rsidRPr="00616728" w:rsidRDefault="00616728" w:rsidP="006605B4">
      <w:pPr>
        <w:rPr>
          <w:noProof w:val="0"/>
        </w:rPr>
      </w:pPr>
    </w:p>
    <w:p w14:paraId="1BBBD5D3" w14:textId="1932EEAD" w:rsidR="00616728" w:rsidRPr="000C29A7" w:rsidRDefault="009774D3" w:rsidP="000C29A7">
      <w:pPr>
        <w:keepNext/>
        <w:rPr>
          <w:i/>
          <w:iCs/>
          <w:noProof w:val="0"/>
        </w:rPr>
      </w:pPr>
      <w:r w:rsidRPr="000A4982">
        <w:rPr>
          <w:b/>
          <w:bCs/>
          <w:noProof w:val="0"/>
        </w:rPr>
        <w:t>Limited confidence in the reported associations</w:t>
      </w:r>
      <w:r>
        <w:rPr>
          <w:noProof w:val="0"/>
        </w:rPr>
        <w:t xml:space="preserve">: </w:t>
      </w:r>
      <w:r w:rsidR="00171C91" w:rsidRPr="000C29A7">
        <w:rPr>
          <w:i/>
          <w:iCs/>
          <w:noProof w:val="0"/>
        </w:rPr>
        <w:t xml:space="preserve">Recognition that certain beach geomorphology attributes and certain beach management practices </w:t>
      </w:r>
      <w:r w:rsidR="00BD43A4">
        <w:rPr>
          <w:i/>
          <w:iCs/>
          <w:noProof w:val="0"/>
        </w:rPr>
        <w:t>greatly influence the probability of compliance with</w:t>
      </w:r>
      <w:r w:rsidR="00171C91" w:rsidRPr="000C29A7">
        <w:rPr>
          <w:i/>
          <w:iCs/>
          <w:noProof w:val="0"/>
        </w:rPr>
        <w:t xml:space="preserve"> regulatory standards.</w:t>
      </w:r>
    </w:p>
    <w:p w14:paraId="3D497502" w14:textId="69523B81" w:rsidR="000A4982" w:rsidRPr="00CA561F" w:rsidRDefault="000A4982" w:rsidP="00E51A4C">
      <w:pPr>
        <w:rPr>
          <w:i/>
          <w:iCs/>
          <w:noProof w:val="0"/>
          <w:color w:val="008000"/>
        </w:rPr>
      </w:pPr>
      <w:r w:rsidRPr="00CA561F">
        <w:rPr>
          <w:i/>
          <w:iCs/>
          <w:noProof w:val="0"/>
          <w:color w:val="008000"/>
        </w:rPr>
        <w:t xml:space="preserve">There is low certainty in the following </w:t>
      </w:r>
      <w:r w:rsidR="009774D3" w:rsidRPr="00CA561F">
        <w:rPr>
          <w:i/>
          <w:iCs/>
          <w:noProof w:val="0"/>
          <w:color w:val="008000"/>
        </w:rPr>
        <w:t xml:space="preserve">primary </w:t>
      </w:r>
      <w:r w:rsidRPr="00CA561F">
        <w:rPr>
          <w:i/>
          <w:iCs/>
          <w:noProof w:val="0"/>
          <w:color w:val="008000"/>
        </w:rPr>
        <w:t xml:space="preserve">study based on </w:t>
      </w:r>
      <w:r w:rsidR="009774D3" w:rsidRPr="00CA561F">
        <w:rPr>
          <w:i/>
          <w:iCs/>
          <w:noProof w:val="0"/>
          <w:color w:val="008000"/>
        </w:rPr>
        <w:t xml:space="preserve">the </w:t>
      </w:r>
      <w:r w:rsidRPr="00CA561F">
        <w:rPr>
          <w:i/>
          <w:iCs/>
          <w:noProof w:val="0"/>
          <w:color w:val="008000"/>
        </w:rPr>
        <w:t>risk of bias</w:t>
      </w:r>
      <w:r w:rsidR="009774D3" w:rsidRPr="00CA561F">
        <w:rPr>
          <w:i/>
          <w:iCs/>
          <w:noProof w:val="0"/>
          <w:color w:val="008000"/>
        </w:rPr>
        <w:t xml:space="preserve"> assessment</w:t>
      </w:r>
      <w:r w:rsidRPr="00CA561F">
        <w:rPr>
          <w:i/>
          <w:iCs/>
          <w:noProof w:val="0"/>
          <w:color w:val="008000"/>
        </w:rPr>
        <w:t>.</w:t>
      </w:r>
    </w:p>
    <w:p w14:paraId="61C9A8D5" w14:textId="461AA76A" w:rsidR="000C29A7" w:rsidRDefault="00171C91" w:rsidP="00E51A4C">
      <w:pPr>
        <w:rPr>
          <w:noProof w:val="0"/>
        </w:rPr>
      </w:pPr>
      <w:r w:rsidRPr="00E51A4C">
        <w:rPr>
          <w:noProof w:val="0"/>
        </w:rPr>
        <w:fldChar w:fldCharType="begin"/>
      </w:r>
      <w:r w:rsidR="00FE49E4">
        <w:rPr>
          <w:noProof w:val="0"/>
        </w:rPr>
        <w:instrText xml:space="preserve"> ADDIN ZOTERO_ITEM CSL_CITATION {"citationID":"SluVUwBo","properties":{"custom":"Kelly, Feng, et al., (2018)","formattedCitation":"Kelly, Feng, et al., (2018)","plainCitation":"Kelly, Feng, et al., (2018)","noteIndex":0},"citationItems":[{"id":13166,"uris":["http://zotero.org/users/148142/items/NGHIVZBT"],"uri":["http://zotero.org/users/148142/items/NGHIVZBT"],"itemData":{"id":13166,"type":"article-journal","abstract":"When beach water monitoring programs identify poor water quality, the causes are frequently unknown. We hypothesize that management policies play an important role in the frequency of fecal indicator bacteria (FIB) exceedances (enterococci and fecal coliform) at recreational beaches. To test this hypothesis we implemented an innovative approach utilizing large amounts of monitoring data (n&gt;150,000 measurements per FIB) to determine associations between the frequency of contaminant exceedances and beach management practices. The large FIB database was augmented with results from a survey designed to assess management policies for 316 beaches throughout the state of Florida. The FIB and survey data were analyzed using t-tests, ANOVA, factor analysis, and linear regression. Results show that beach geomorphology (beach type) was highly associated with exceedance of regulatory standards. Low enterococci exceedances were associated with open coast beaches (n=211) that have sparse human densities, no homeless populations, low densities of dogs and birds, bird management policies, low densities of seaweed, beach renourishment, charge access fees, employ lifeguards, without nearby marinas, and those that manage storm water. Factor analysis and a linear regression confirmed beach type as the predominant factor with secondary influences from grooming activities (including seaweed densities and beach renourishment) and beach access (including charging fees, employing lifeguards, and without nearby marinas). Our results were observable primarily because of the very large public FIB database available for analyses; similar approaches can be adopted at other beaches. The findings of this research have important policy implications because the selected beach management practices that were associated with low levels of FIB can be implemented in other parts of the US and around the world to improve recreational beach water quality. (C) 2018 Elsevier Ltd. All rights reserved.","container-title":"Journal of Environmental Management","DOI":"10.1016/j.jenvman.2018.02.012","ISSN":"0301-4797","journalAbbreviation":"J. Environ. Manage.","language":"English","page":"266-277","source":"Web of Science","title":"Effect of beach management policies on recreational water quality","URL":"https://repository.tudelft.nl/islandora/object/uuid%3A4cae77ec-45fd-4029-b8e5-5c3e68015b34/datastream/OBJ/download","volume":"212","author":[{"family":"Kelly","given":"Elizabeth A."},{"family":"Feng","given":"Zhixuan"},{"family":"Gidley","given":"Maribeth L."},{"family":"Sinigalliano","given":"Christopher D."},{"family":"Kumar","given":"Naresh"},{"family":"Donahue","given":"Allison G."},{"family":"Reniers","given":"Adrianus J. H. M."},{"family":"Solo-Gabriele","given":"Helena M."}],"issued":{"date-parts":[["2018",4,15]]}}}],"schema":"https://github.com/citation-style-language/schema/raw/master/csl-citation.json"} </w:instrText>
      </w:r>
      <w:r w:rsidRPr="00E51A4C">
        <w:rPr>
          <w:noProof w:val="0"/>
        </w:rPr>
        <w:fldChar w:fldCharType="separate"/>
      </w:r>
      <w:r w:rsidRPr="00E51A4C">
        <w:rPr>
          <w:noProof w:val="0"/>
        </w:rPr>
        <w:t>Kelly, Feng, et al., (2018)</w:t>
      </w:r>
      <w:r w:rsidRPr="00E51A4C">
        <w:rPr>
          <w:noProof w:val="0"/>
        </w:rPr>
        <w:fldChar w:fldCharType="end"/>
      </w:r>
      <w:r>
        <w:rPr>
          <w:noProof w:val="0"/>
        </w:rPr>
        <w:t xml:space="preserve"> evaluated whether</w:t>
      </w:r>
      <w:r w:rsidRPr="00E51A4C">
        <w:rPr>
          <w:noProof w:val="0"/>
        </w:rPr>
        <w:t xml:space="preserve"> beaches characterized by a set of management policies are associated with lower FIB levels.  The study utilised a large data set of FIB monitoring from Florida, USA beaches (Florida Healthy Beaches Program FHBP) plus a large survey of beach management agency regional offices.  FIB data considered were enterococci and faecal coliforms.</w:t>
      </w:r>
    </w:p>
    <w:p w14:paraId="04C95ABD" w14:textId="339F4367" w:rsidR="00E51A4C" w:rsidRPr="00E51A4C" w:rsidRDefault="00171C91" w:rsidP="00E51A4C">
      <w:pPr>
        <w:rPr>
          <w:noProof w:val="0"/>
        </w:rPr>
      </w:pPr>
      <w:r w:rsidRPr="00E51A4C">
        <w:rPr>
          <w:noProof w:val="0"/>
        </w:rPr>
        <w:t xml:space="preserve">Analyses showed that beach geomorphology (beach type) was highly associated with exceedance of regulatory standards. Low enterococci exceedances were associated with open coast beaches (n = 211) that have sparse human densities, no homeless populations, low densities of dogs and birds, bird management policies, low densities of seaweed, beach renourishment, charge access fees, employ lifeguards, without nearby marinas, and those that manage stormwater.  </w:t>
      </w:r>
    </w:p>
    <w:p w14:paraId="04A25773" w14:textId="77777777" w:rsidR="000C29A7" w:rsidRDefault="000C29A7" w:rsidP="006605B4">
      <w:pPr>
        <w:rPr>
          <w:noProof w:val="0"/>
        </w:rPr>
      </w:pPr>
    </w:p>
    <w:p w14:paraId="3CFD24B4" w14:textId="0CEEB15A" w:rsidR="00616728" w:rsidRPr="000C29A7" w:rsidRDefault="000A4982" w:rsidP="000A4982">
      <w:pPr>
        <w:rPr>
          <w:i/>
          <w:iCs/>
          <w:noProof w:val="0"/>
        </w:rPr>
      </w:pPr>
      <w:r w:rsidRPr="000A4982">
        <w:rPr>
          <w:b/>
          <w:bCs/>
          <w:noProof w:val="0"/>
        </w:rPr>
        <w:t>Limited confidence in the reported association</w:t>
      </w:r>
      <w:r>
        <w:rPr>
          <w:noProof w:val="0"/>
        </w:rPr>
        <w:t xml:space="preserve">: </w:t>
      </w:r>
      <w:r w:rsidR="00171C91" w:rsidRPr="000C29A7">
        <w:rPr>
          <w:i/>
          <w:iCs/>
          <w:noProof w:val="0"/>
        </w:rPr>
        <w:t xml:space="preserve">Positive relationship between rivers flows and increased concentrations of </w:t>
      </w:r>
      <w:r w:rsidR="006E6DB0">
        <w:rPr>
          <w:i/>
          <w:iCs/>
          <w:noProof w:val="0"/>
        </w:rPr>
        <w:t>FIB, biomarkers and pathogens</w:t>
      </w:r>
      <w:r w:rsidR="00171C91" w:rsidRPr="000C29A7">
        <w:rPr>
          <w:i/>
          <w:iCs/>
          <w:noProof w:val="0"/>
        </w:rPr>
        <w:t xml:space="preserve"> in estuarine recreational waters.</w:t>
      </w:r>
    </w:p>
    <w:p w14:paraId="1B7334E7" w14:textId="5235FA1D" w:rsidR="000A4982" w:rsidRPr="00CA561F" w:rsidRDefault="000A4982" w:rsidP="006605B4">
      <w:pPr>
        <w:rPr>
          <w:i/>
          <w:iCs/>
          <w:noProof w:val="0"/>
          <w:color w:val="008000"/>
        </w:rPr>
      </w:pPr>
      <w:r w:rsidRPr="00CA561F">
        <w:rPr>
          <w:i/>
          <w:iCs/>
          <w:noProof w:val="0"/>
          <w:color w:val="008000"/>
        </w:rPr>
        <w:t xml:space="preserve">There is low </w:t>
      </w:r>
      <w:r w:rsidR="00006E10">
        <w:rPr>
          <w:i/>
          <w:iCs/>
          <w:noProof w:val="0"/>
          <w:color w:val="008000"/>
        </w:rPr>
        <w:t>certainty</w:t>
      </w:r>
      <w:r w:rsidRPr="00CA561F">
        <w:rPr>
          <w:i/>
          <w:iCs/>
          <w:noProof w:val="0"/>
          <w:color w:val="008000"/>
        </w:rPr>
        <w:t xml:space="preserve"> in the following </w:t>
      </w:r>
      <w:r w:rsidR="009774D3" w:rsidRPr="00CA561F">
        <w:rPr>
          <w:i/>
          <w:iCs/>
          <w:noProof w:val="0"/>
          <w:color w:val="008000"/>
        </w:rPr>
        <w:t xml:space="preserve">primary </w:t>
      </w:r>
      <w:r w:rsidRPr="00CA561F">
        <w:rPr>
          <w:i/>
          <w:iCs/>
          <w:noProof w:val="0"/>
          <w:color w:val="008000"/>
        </w:rPr>
        <w:t>studies based on the</w:t>
      </w:r>
      <w:r w:rsidR="009774D3" w:rsidRPr="00CA561F">
        <w:rPr>
          <w:i/>
          <w:iCs/>
          <w:noProof w:val="0"/>
          <w:color w:val="008000"/>
        </w:rPr>
        <w:t>ir</w:t>
      </w:r>
      <w:r w:rsidRPr="00CA561F">
        <w:rPr>
          <w:i/>
          <w:iCs/>
          <w:noProof w:val="0"/>
          <w:color w:val="008000"/>
        </w:rPr>
        <w:t xml:space="preserve"> risk of bias assessments.</w:t>
      </w:r>
    </w:p>
    <w:p w14:paraId="0B256E33" w14:textId="6DE49289" w:rsidR="0051433E" w:rsidRPr="00CD7146" w:rsidRDefault="00171C91" w:rsidP="006605B4">
      <w:pPr>
        <w:rPr>
          <w:noProof w:val="0"/>
        </w:rPr>
      </w:pPr>
      <w:r w:rsidRPr="00CD7146">
        <w:rPr>
          <w:noProof w:val="0"/>
        </w:rPr>
        <w:fldChar w:fldCharType="begin"/>
      </w:r>
      <w:r w:rsidR="00FE49E4">
        <w:rPr>
          <w:noProof w:val="0"/>
        </w:rPr>
        <w:instrText xml:space="preserve"> ADDIN ZOTERO_ITEM CSL_CITATION {"citationID":"RqYBr2ij","properties":{"custom":"Ahmed, Payyappat, et al., (2019)","formattedCitation":"Ahmed, Payyappat, et al., (2019)","plainCitation":"Ahmed, Payyappat, et al., (2019)","noteIndex":0},"citationItems":[{"id":12758,"uris":["http://zotero.org/users/148142/items/RBDGJBR8"],"uri":["http://zotero.org/users/148142/items/RBDGJBR8"],"itemData":{"id":12758,"type":"article-journal","abstract":"This study investigated the magnitude of wet weather overflow (WWO)-driven sewage pollution in an urban lake (Lake Parramatta) located in Sydney, New South Wales, Australia. Water samples were collected during a dry weather period and after two storm events, and tested for a range of novel and established sewage- [Bacteroides HF183, crAssphage CPQ_056 and pepper mild mottle virus (PMMoV)] and animal feces-associated (Bacteroides BacCan-UCD, cowM2 and Helicobacter spp. associated GFD) microbial source tracking marker genes along with the enumeration of culturable fecal indicator bacteria (FIB), namely Escherichia coli (E. coli) and Enterococcus spp. The magnitude of general and source-specific fecal pollution was low in water samples collected during dry weather compared to storm events. The levels of HF183, crAssphage and PMMoV in water samples collected during storm events were as high as 6.39, 6.33 and 5.27 log10 GC/L of water, respectively. Moderate to strong positive correlations were observed among the quantitative occurrence of sewage-associated marker genes. The concentrations of HF183 and PMMoV in most storm water samples exceeded the risk benchmark threshold values established in the literature for primary contact recreators. None of the samples tested was positive for the cowM2 (cow) marker gene, while BacCan-UCD (dog) and GFD (avian) animal-associated markers were sporadically detected in water samples collected from both dry weather and storm events. Based on the results, the ongoing advice that swimming should be avoided for several days after storm events appears appropriate. Further research to determine the decay rates of sewage-associated marker genes in relation to each other and enteric viruses would help refine current advice. Microbial source tracking approaches employed in this study provided insights into sources of contamination over currently used FIB.","container-title":"Scientific Reports","DOI":"10.1038/s41598-019-48682-4","ISSN":"2045-2322","issue":"1","journalAbbreviation":"Sci Rep","language":"eng","page":"12503","source":"PubMed","title":"Enhanced insights from human and animal host-associated molecular marker genes in a freshwater lake receiving wet weather overflows","URL":"http://www.ncbi.nlm.nih.gov/pubmed/31467317","volume":"9","author":[{"family":"Ahmed","given":"Warish"},{"family":"Payyappat","given":"Sudhi"},{"family":"Cassidy","given":"Michele"},{"family":"Besley","given":"Colin"}],"issued":{"date-parts":[["2019"]]}}}],"schema":"https://github.com/citation-style-language/schema/raw/master/csl-citation.json"} </w:instrText>
      </w:r>
      <w:r w:rsidRPr="00CD7146">
        <w:rPr>
          <w:noProof w:val="0"/>
        </w:rPr>
        <w:fldChar w:fldCharType="separate"/>
      </w:r>
      <w:r w:rsidRPr="00CD7146">
        <w:rPr>
          <w:noProof w:val="0"/>
        </w:rPr>
        <w:t>Ahmed, Payyappat, et al., (2019)</w:t>
      </w:r>
      <w:r w:rsidRPr="00CD7146">
        <w:rPr>
          <w:noProof w:val="0"/>
        </w:rPr>
        <w:fldChar w:fldCharType="end"/>
      </w:r>
      <w:r w:rsidRPr="00CD7146">
        <w:rPr>
          <w:noProof w:val="0"/>
        </w:rPr>
        <w:t xml:space="preserve"> used </w:t>
      </w:r>
      <w:r w:rsidRPr="00290D10">
        <w:rPr>
          <w:noProof w:val="0"/>
        </w:rPr>
        <w:t>FIB (</w:t>
      </w:r>
      <w:r w:rsidRPr="00290D10">
        <w:rPr>
          <w:i/>
          <w:iCs/>
          <w:noProof w:val="0"/>
        </w:rPr>
        <w:t>E. coli</w:t>
      </w:r>
      <w:r w:rsidRPr="00290D10">
        <w:rPr>
          <w:noProof w:val="0"/>
        </w:rPr>
        <w:t xml:space="preserve">, enterococci) and MST biomarkers to assess </w:t>
      </w:r>
      <w:r w:rsidRPr="00CD7146">
        <w:rPr>
          <w:noProof w:val="0"/>
        </w:rPr>
        <w:t xml:space="preserve">the </w:t>
      </w:r>
      <w:r w:rsidRPr="00290D10">
        <w:rPr>
          <w:noProof w:val="0"/>
        </w:rPr>
        <w:t>magnitude of sewage and animal faecal contamination in Lake Parramatta water samples collected during a dry weather period and from two storm events coinciding with wet weather overflows of sewage to the lake.</w:t>
      </w:r>
      <w:r w:rsidRPr="00CD7146">
        <w:rPr>
          <w:noProof w:val="0"/>
        </w:rPr>
        <w:t xml:space="preserve">  The stud</w:t>
      </w:r>
      <w:r w:rsidR="00526275">
        <w:rPr>
          <w:noProof w:val="0"/>
        </w:rPr>
        <w:t xml:space="preserve">y </w:t>
      </w:r>
      <w:r w:rsidRPr="00CD7146">
        <w:rPr>
          <w:noProof w:val="0"/>
        </w:rPr>
        <w:t xml:space="preserve">found that concentrations of the sewage-associated MST marker genes HF183 and PMMoV in most storm water samples exceeded the risk benchmark threshold values established in the literature for primary contact recreators. </w:t>
      </w:r>
    </w:p>
    <w:p w14:paraId="1432F9F5" w14:textId="297B8B76" w:rsidR="00A10727" w:rsidRPr="00CD7146" w:rsidRDefault="00171C91" w:rsidP="00A10727">
      <w:pPr>
        <w:rPr>
          <w:noProof w:val="0"/>
        </w:rPr>
      </w:pPr>
      <w:r w:rsidRPr="00CD7146">
        <w:rPr>
          <w:noProof w:val="0"/>
        </w:rPr>
        <w:t xml:space="preserve">In a similar study, </w:t>
      </w:r>
      <w:r w:rsidRPr="00CD7146">
        <w:rPr>
          <w:noProof w:val="0"/>
        </w:rPr>
        <w:fldChar w:fldCharType="begin"/>
      </w:r>
      <w:r w:rsidR="00FE49E4">
        <w:rPr>
          <w:noProof w:val="0"/>
        </w:rPr>
        <w:instrText xml:space="preserve"> ADDIN ZOTERO_ITEM CSL_CITATION {"citationID":"zZnGtZm9","properties":{"custom":"Ahmed, Payyappat, et al., (2020)","formattedCitation":"Ahmed, Payyappat, et al., (2020)","plainCitation":"Ahmed, Payyappat, et al., (2020)","noteIndex":0},"citationItems":[{"id":12760,"uris":["http://zotero.org/users/148142/items/P5CCED5G"],"uri":["http://zotero.org/users/148142/items/P5CCED5G"],"itemData":{"id":12760,"type":"article-journal","abstract":"This study investigates the impact of wet weather overflows (WWOs) at three estuarine locations in Sydney, NSW, Australia. WWOs can occur when infiltration of stormwater leads to an excess volume of flow within the sewerage system, resulting in the release of diluted sewage into the environment. Sewage contamination poses a risk to human health due to the presence of pathogens. The magnitude of sewage contamination was monitored using established and novel sewage-associated marker genes, Bacteroides HF183, pepper mild mottle virus (PMMoV), crAssphage CPQ_056, Lachnospiraceae (Lachno3) marker genes along with culturable fecal indicator bacteria (FIB) Escherichia coli (E. coli) and enterococci. Water samples were collected at two water depths (0.5 m below the water surface and 1 m above the bottom surface) during one dry weather and two storm events. Analysis of sewage-associated marker genes showed greater (i.e., 3-5 orders of magnitude) concentrations in water samples collected during the storm events compared to dry weather event. Water samples were also analysed for four animal feces-associated marker genes targeting avian (GFD), dog (BacCan-UCD), cow (cowM2) and horse (HoF597) species to determine the extent of animal fecal contamination. Among the four marker genes, cowM2 and HoF597 could not be detected, while GFD marker gene was consistently present and BacCan-UCD was occasionally detected. Overall results suggested that after rainfall, untreated sewage from WWOs was present at sampling locations. In addition, microbial source tracking (MST) monitoring was able to distinguish the presence of a leaking sewer impacting on the recreational area during dry weather condition. This study demonstrated the capability of the MST monitoring approach to understand sources (sewage or animal) of fecal contamination. This capability will greatly enhance management decisions assisting in the prioritisation of remediation efforts of the sewerage system to improve estuarine bathing water quality and diminish human health risk.","container-title":"The Science of the Total Environment","DOI":"10.1016/j.scitotenv.2019.135390","ISSN":"1879-1026","journalAbbreviation":"Sci. Total Environ.","language":"eng","page":"135390","source":"PubMed","title":"Sewage-associated marker genes illustrate the impact of wet weather overflows and dry weather leakage in urban estuarine waters of Sydney, Australia","URL":"http://www.ncbi.nlm.nih.gov/pubmed/31838427","volume":"705","author":[{"family":"Ahmed","given":"Warish"},{"family":"Payyappat","given":"Sudhi"},{"family":"Cassidy","given":"Michele"},{"family":"Harrison","given":"Nathan"},{"family":"Besley","given":"Colin"}],"issued":{"date-parts":[["2020",2,25]]}}}],"schema":"https://github.com/citation-style-language/schema/raw/master/csl-citation.json"} </w:instrText>
      </w:r>
      <w:r w:rsidRPr="00CD7146">
        <w:rPr>
          <w:noProof w:val="0"/>
        </w:rPr>
        <w:fldChar w:fldCharType="separate"/>
      </w:r>
      <w:r w:rsidRPr="00CD7146">
        <w:rPr>
          <w:noProof w:val="0"/>
        </w:rPr>
        <w:t>Ahmed, Payyappat, et al., (2020)</w:t>
      </w:r>
      <w:r w:rsidRPr="00CD7146">
        <w:rPr>
          <w:noProof w:val="0"/>
        </w:rPr>
        <w:fldChar w:fldCharType="end"/>
      </w:r>
      <w:r w:rsidRPr="00CD7146">
        <w:rPr>
          <w:noProof w:val="0"/>
        </w:rPr>
        <w:t xml:space="preserve"> measured concentrations of culturable FIB and MST biomarker genes in dry weather samples and samples following storm events from 6 recreational water sampling sites at each of three Sydney estuaries.  Analysis of sewage associated marker genes showed greater (i.e., 3–5 orders of magnitude) concentrations in water samples collected during the storm events compared to dry weather event; attributed to untreated sewage from wet weather overflows.</w:t>
      </w:r>
    </w:p>
    <w:p w14:paraId="3B2B7111" w14:textId="3D493410" w:rsidR="00533DDA" w:rsidRPr="00533DDA" w:rsidRDefault="00171C91" w:rsidP="00533DDA">
      <w:pPr>
        <w:rPr>
          <w:noProof w:val="0"/>
        </w:rPr>
      </w:pPr>
      <w:r w:rsidRPr="00CD7146">
        <w:rPr>
          <w:noProof w:val="0"/>
        </w:rPr>
        <w:t xml:space="preserve">A UK study of the key processes influencing viral dispersal at bathing and shellfish harvesting sites along a river-estuary-coast system </w:t>
      </w:r>
      <w:r w:rsidRPr="00CD7146">
        <w:rPr>
          <w:noProof w:val="0"/>
        </w:rPr>
        <w:fldChar w:fldCharType="begin"/>
      </w:r>
      <w:r w:rsidR="00FE49E4">
        <w:rPr>
          <w:noProof w:val="0"/>
        </w:rPr>
        <w:instrText xml:space="preserve"> ADDIN ZOTERO_ITEM CSL_CITATION {"citationID":"YoufwuMo","properties":{"custom":"Robins, Farkas, et al., (2019)","formattedCitation":"Robins, Farkas, et al., (2019)","plainCitation":"Robins, Farkas, et al., (2019)","noteIndex":0},"citationItems":[{"id":12627,"uris":["http://zotero.org/users/148142/items/TNZSNJDD"],"uri":["http://zotero.org/users/148142/items/TNZSNJDD"],"itemData":{"id":12627,"type":"article-journal","archive":"Scopus","container-title":"Environment International","DOI":"10.1016/j.envint.2019.02.042","page":"430-442","title":"Viral dispersal in the coastal zone: A method to quantify water quality risk","URL":"https://www.scopus.com/inward/record.uri?eid=2-s2.0-85062216772&amp;doi=10.1016%2fj.envint.2019.02.042&amp;partnerID=40&amp;md5=72fcd9a789a4b4dd475a16a0e31978dc","volume":"126","author":[{"family":"Robins","given":"P. E."},{"family":"Farkas","given":"K."},{"family":"Cooper","given":"D."},{"family":"Malham","given":"S. K."},{"family":"Jones","given":"D. L."}],"issued":{"date-parts":[["2019"]]}}}],"schema":"https://github.com/citation-style-language/schema/raw/master/csl-citation.json"} </w:instrText>
      </w:r>
      <w:r w:rsidRPr="00CD7146">
        <w:rPr>
          <w:noProof w:val="0"/>
        </w:rPr>
        <w:fldChar w:fldCharType="separate"/>
      </w:r>
      <w:r w:rsidRPr="00CD7146">
        <w:rPr>
          <w:noProof w:val="0"/>
        </w:rPr>
        <w:t>Robins, Farkas, et al., (2019)</w:t>
      </w:r>
      <w:r w:rsidRPr="00CD7146">
        <w:rPr>
          <w:noProof w:val="0"/>
        </w:rPr>
        <w:fldChar w:fldCharType="end"/>
      </w:r>
      <w:r w:rsidRPr="00CD7146">
        <w:rPr>
          <w:noProof w:val="0"/>
        </w:rPr>
        <w:t xml:space="preserve"> used hydraulic modelling to show that river flow was the primary control of viral export to the coast.  </w:t>
      </w:r>
      <w:r w:rsidR="00CD7146" w:rsidRPr="00CD7146">
        <w:rPr>
          <w:noProof w:val="0"/>
        </w:rPr>
        <w:t xml:space="preserve">It is noteworthy that study </w:t>
      </w:r>
      <w:r w:rsidRPr="00533DDA">
        <w:rPr>
          <w:noProof w:val="0"/>
        </w:rPr>
        <w:t>catchment</w:t>
      </w:r>
      <w:r w:rsidR="00CD7146" w:rsidRPr="00CD7146">
        <w:rPr>
          <w:noProof w:val="0"/>
        </w:rPr>
        <w:t xml:space="preserve"> (Conwy, Wales, UK)</w:t>
      </w:r>
      <w:r w:rsidRPr="00533DDA">
        <w:rPr>
          <w:noProof w:val="0"/>
        </w:rPr>
        <w:t xml:space="preserve"> </w:t>
      </w:r>
      <w:r w:rsidR="00CD7146" w:rsidRPr="00CD7146">
        <w:rPr>
          <w:noProof w:val="0"/>
        </w:rPr>
        <w:t>was</w:t>
      </w:r>
      <w:r w:rsidRPr="00533DDA">
        <w:rPr>
          <w:noProof w:val="0"/>
        </w:rPr>
        <w:t xml:space="preserve"> short and steep, and the estuary </w:t>
      </w:r>
      <w:r w:rsidR="00CD7146" w:rsidRPr="00CD7146">
        <w:rPr>
          <w:noProof w:val="0"/>
        </w:rPr>
        <w:t>wa</w:t>
      </w:r>
      <w:r w:rsidRPr="00533DDA">
        <w:rPr>
          <w:noProof w:val="0"/>
        </w:rPr>
        <w:t xml:space="preserve">s small and river-dominated </w:t>
      </w:r>
      <w:r w:rsidR="00CD7146" w:rsidRPr="00CD7146">
        <w:rPr>
          <w:noProof w:val="0"/>
        </w:rPr>
        <w:t xml:space="preserve">which </w:t>
      </w:r>
      <w:r w:rsidRPr="00533DDA">
        <w:rPr>
          <w:noProof w:val="0"/>
        </w:rPr>
        <w:t>common attributes of NSW estuaries</w:t>
      </w:r>
      <w:r w:rsidR="00CD7146" w:rsidRPr="00CD7146">
        <w:rPr>
          <w:noProof w:val="0"/>
        </w:rPr>
        <w:t xml:space="preserve">. </w:t>
      </w:r>
      <w:r w:rsidRPr="00533DDA">
        <w:rPr>
          <w:noProof w:val="0"/>
        </w:rPr>
        <w:t xml:space="preserve"> </w:t>
      </w:r>
      <w:r w:rsidR="00CD7146" w:rsidRPr="00CD7146">
        <w:rPr>
          <w:noProof w:val="0"/>
        </w:rPr>
        <w:t xml:space="preserve">The hydraulic modelling showed that </w:t>
      </w:r>
      <w:r w:rsidRPr="00533DDA">
        <w:rPr>
          <w:noProof w:val="0"/>
        </w:rPr>
        <w:t xml:space="preserve">short-duration high intensity ‘flash floods’ were shown to transport viruses through the estuary and out to sea, despite dilution </w:t>
      </w:r>
      <w:r w:rsidR="00CD7146" w:rsidRPr="00CD7146">
        <w:rPr>
          <w:noProof w:val="0"/>
        </w:rPr>
        <w:t>and</w:t>
      </w:r>
      <w:r w:rsidRPr="00533DDA">
        <w:rPr>
          <w:noProof w:val="0"/>
        </w:rPr>
        <w:t xml:space="preserve"> die-off effects. </w:t>
      </w:r>
    </w:p>
    <w:p w14:paraId="4DC35456" w14:textId="4EC1891F" w:rsidR="0051433E" w:rsidRPr="00397A3E" w:rsidRDefault="00171C91" w:rsidP="00CD7146">
      <w:pPr>
        <w:pStyle w:val="Heading2"/>
      </w:pPr>
      <w:bookmarkStart w:id="410" w:name="_Toc106964846"/>
      <w:r w:rsidRPr="00CD7146">
        <w:t>GRADE assessment</w:t>
      </w:r>
      <w:r w:rsidR="000B14EA">
        <w:t xml:space="preserve"> of primary studies</w:t>
      </w:r>
      <w:bookmarkEnd w:id="410"/>
    </w:p>
    <w:p w14:paraId="55BC7593" w14:textId="13389A68" w:rsidR="00E00766" w:rsidRDefault="00171C91" w:rsidP="006605B4">
      <w:pPr>
        <w:rPr>
          <w:noProof w:val="0"/>
        </w:rPr>
      </w:pPr>
      <w:r w:rsidRPr="000B14EA">
        <w:rPr>
          <w:noProof w:val="0"/>
        </w:rPr>
        <w:t xml:space="preserve">The GRADE quality assessment for the primary studies literature </w:t>
      </w:r>
      <w:r w:rsidR="000D57CB">
        <w:rPr>
          <w:noProof w:val="0"/>
        </w:rPr>
        <w:t>was</w:t>
      </w:r>
      <w:r w:rsidR="000D57CB" w:rsidRPr="00397A3E">
        <w:rPr>
          <w:noProof w:val="0"/>
        </w:rPr>
        <w:t xml:space="preserve"> </w:t>
      </w:r>
      <w:r w:rsidR="000D57CB">
        <w:rPr>
          <w:noProof w:val="0"/>
        </w:rPr>
        <w:t>“moderate” for the systematic review and cohort study</w:t>
      </w:r>
      <w:r w:rsidR="00E00766">
        <w:rPr>
          <w:noProof w:val="0"/>
        </w:rPr>
        <w:t xml:space="preserve"> (</w:t>
      </w:r>
      <w:r w:rsidR="00E00766" w:rsidRPr="00526275">
        <w:rPr>
          <w:iCs/>
          <w:noProof w:val="0"/>
        </w:rPr>
        <w:fldChar w:fldCharType="begin"/>
      </w:r>
      <w:r w:rsidR="00E00766" w:rsidRPr="00526275">
        <w:rPr>
          <w:iCs/>
          <w:noProof w:val="0"/>
        </w:rPr>
        <w:instrText xml:space="preserve"> ADDIN ZOTERO_ITEM CSL_CITATION {"citationID":"H6iKsXSu","properties":{"custom":"Russo, Eftim, et al., (2020)","formattedCitation":"Russo, Eftim, et al., (2020)","plainCitation":"Russo, Eftim, et al., (2020)","noteIndex":0},"citationItems":[{"id":12671,"uris":["http://zotero.org/users/148142/items/W56RG33S"],"uri":["http://zotero.org/users/148142/items/W56RG33S"],"itemData":{"id":12671,"type":"article-journal","archive":"Scopus","container-title":"Water Research","DOI":"10.1016/j.watres.2020.115729","title":"Evaluating health risks associated with exposure to ambient surface waters during recreational activities: A systematic review and meta-analysis","URL":"https://www.scopus.com/inward/record.uri?eid=2-s2.0-85082875333&amp;doi=10.1016%2fj.watres.2020.115729&amp;partnerID=40&amp;md5=b8d28f8b8576aa1d50ad124e4649f95f","volume":"176","author":[{"family":"Russo","given":"G. S."},{"family":"Eftim","given":"S. E."},{"family":"Goldstone","given":"A. E."},{"family":"Dufour","given":"A. P."},{"family":"Nappier","given":"S. P."},{"family":"Wade","given":"T. J."}],"issued":{"date-parts":[["2020"]]}}}],"schema":"https://github.com/citation-style-language/schema/raw/master/csl-citation.json"} </w:instrText>
      </w:r>
      <w:r w:rsidR="00E00766" w:rsidRPr="00526275">
        <w:rPr>
          <w:iCs/>
          <w:noProof w:val="0"/>
        </w:rPr>
        <w:fldChar w:fldCharType="separate"/>
      </w:r>
      <w:r w:rsidR="00E00766" w:rsidRPr="00526275">
        <w:rPr>
          <w:iCs/>
          <w:noProof w:val="0"/>
        </w:rPr>
        <w:t>Russo, Eftim, et al., (2020)</w:t>
      </w:r>
      <w:r w:rsidR="00E00766" w:rsidRPr="00526275">
        <w:rPr>
          <w:iCs/>
          <w:noProof w:val="0"/>
        </w:rPr>
        <w:fldChar w:fldCharType="end"/>
      </w:r>
      <w:r w:rsidR="00E00766">
        <w:rPr>
          <w:iCs/>
          <w:noProof w:val="0"/>
        </w:rPr>
        <w:t xml:space="preserve"> and </w:t>
      </w:r>
      <w:r w:rsidR="00E00766" w:rsidRPr="00526275">
        <w:rPr>
          <w:iCs/>
          <w:noProof w:val="0"/>
        </w:rPr>
        <w:fldChar w:fldCharType="begin"/>
      </w:r>
      <w:r w:rsidR="00E00766" w:rsidRPr="00526275">
        <w:rPr>
          <w:iCs/>
          <w:noProof w:val="0"/>
        </w:rPr>
        <w:instrText xml:space="preserve"> ADDIN ZOTERO_ITEM CSL_CITATION {"citationID":"Lnqk2Coq","properties":{"custom":"Arnold, Schiff, et al., (2017)","formattedCitation":"Arnold, Schiff, et al., (2017)","plainCitation":"Arnold, Schiff, et al., (2017)","noteIndex":0},"citationItems":[{"id":17433,"uris":["http://zotero.org/users/148142/items/CUJ53VZF"],"uri":["http://zotero.org/users/148142/items/CUJ53VZF"],"itemData":{"id":17433,"type":"article-journal","abstract":"Rainstorms increase levels of fecal indicator bacteria in urban coastal waters, but it is unknown whether exposure to seawater after rainstorms increases rates of acute illness. Our objective was to provide the first estimates of rates of acute illness after seawater exposure during both dry- and wet-weather periods and to determine the relationship between levels of indicator bacteria and illness among surfers, a population with a high potential for exposure after rain. We enrolled 654 surfers in San Diego, California, and followed them longitudinally during the 2013–2014 and 2014–2015 winters (33,377 days of observation, 10,081 surf sessions). We measured daily surf activities and illness symptoms (gastrointestinal illness, sinus infections, ear infections, infected wounds). Compared with no exposure, exposure to seawater during dry weather increased incidence rates of all outcomes (e.g., for earache or infection, adjusted incidence rate ratio (IRR) = 1.86, 95% confidence interval (CI): 1.27, 2.71; for infected wounds, IRR = 3.04, 95% CI: 1.54, 5.98); exposure during wet weather further increased rates (e.g., for earache or infection, IRR = 3.28, 95% CI: 1.95, 5.51; for infected wounds, IRR = 4.96, 95% CI: 2.18, 11.29). Fecal indicator bacteria measured in seawater (Enterococcus species, fecal coliforms, total coliforms) were strongly associated with incident illness only during wet weather. Urban coastal seawater exposure increases the incidence rates of many acute illnesses among surfers, with higher incidence rates after rainstorms.","container-title":"American Journal of Epidemiology","DOI":"10.1093/aje/kwx019","ISSN":"0002-9262","issue":"7","journalAbbreviation":"American Journal of Epidemiology","page":"866-875","source":"Silverchair","title":"Acute Illness Among Surfers After Exposure to Seawater in Dry- and Wet-Weather Conditions","URL":"https://doi.org/10.1093/aje/kwx019","volume":"186","author":[{"family":"Arnold","given":"Benjamin F."},{"family":"Schiff","given":"Kenneth C."},{"family":"Ercumen","given":"Ayse"},{"family":"Benjamin-Chung","given":"Jade"},{"family":"Steele","given":"Joshua A."},{"family":"Griffith","given":"John F."},{"family":"Steinberg","given":"Steven J."},{"family":"Smith","given":"Paul"},{"family":"McGee","given":"Charles D."},{"family":"Wilson","given":"Richard"},{"family":"Nelsen","given":"Chad"},{"family":"Weisberg","given":"Stephen B."},{"family":"Colford","given":"John M.","suffix":"Jr."}],"accessed":{"date-parts":[["2021",3,10]]},"issued":{"date-parts":[["2017",10,1]]}}}],"schema":"https://github.com/citation-style-language/schema/raw/master/csl-citation.json"} </w:instrText>
      </w:r>
      <w:r w:rsidR="00E00766" w:rsidRPr="00526275">
        <w:rPr>
          <w:iCs/>
          <w:noProof w:val="0"/>
        </w:rPr>
        <w:fldChar w:fldCharType="separate"/>
      </w:r>
      <w:r w:rsidR="00E00766" w:rsidRPr="00526275">
        <w:rPr>
          <w:iCs/>
          <w:noProof w:val="0"/>
        </w:rPr>
        <w:t>Arnold, Schiff, et al., (2017)</w:t>
      </w:r>
      <w:r w:rsidR="00E00766" w:rsidRPr="00526275">
        <w:rPr>
          <w:iCs/>
          <w:noProof w:val="0"/>
        </w:rPr>
        <w:fldChar w:fldCharType="end"/>
      </w:r>
      <w:r w:rsidR="00E00766">
        <w:rPr>
          <w:iCs/>
          <w:noProof w:val="0"/>
        </w:rPr>
        <w:t xml:space="preserve">). This led to </w:t>
      </w:r>
      <w:r w:rsidR="000D57CB">
        <w:rPr>
          <w:noProof w:val="0"/>
        </w:rPr>
        <w:t>a final certainty rating of “</w:t>
      </w:r>
      <w:bookmarkStart w:id="411" w:name="_Hlk104377717"/>
      <w:r w:rsidR="000D57CB" w:rsidRPr="000D57CB">
        <w:rPr>
          <w:i/>
          <w:noProof w:val="0"/>
        </w:rPr>
        <w:t>moderately confident in the reported associations</w:t>
      </w:r>
      <w:bookmarkEnd w:id="411"/>
      <w:r w:rsidR="000D57CB">
        <w:rPr>
          <w:noProof w:val="0"/>
        </w:rPr>
        <w:t>”.</w:t>
      </w:r>
    </w:p>
    <w:p w14:paraId="4412927C" w14:textId="7D884F26" w:rsidR="000B14EA" w:rsidRDefault="000D57CB" w:rsidP="006605B4">
      <w:pPr>
        <w:rPr>
          <w:noProof w:val="0"/>
        </w:rPr>
      </w:pPr>
      <w:r>
        <w:rPr>
          <w:noProof w:val="0"/>
        </w:rPr>
        <w:t>The overall certainty rating was “l</w:t>
      </w:r>
      <w:r w:rsidRPr="00397A3E">
        <w:rPr>
          <w:noProof w:val="0"/>
        </w:rPr>
        <w:t xml:space="preserve">ow” </w:t>
      </w:r>
      <w:r>
        <w:rPr>
          <w:noProof w:val="0"/>
        </w:rPr>
        <w:t xml:space="preserve">for the 11 quantitative studies </w:t>
      </w:r>
      <w:r w:rsidR="00171C91" w:rsidRPr="000B14EA">
        <w:rPr>
          <w:noProof w:val="0"/>
        </w:rPr>
        <w:t>and this led to a final certainty rating of “</w:t>
      </w:r>
      <w:r w:rsidR="00171C91" w:rsidRPr="00FA0192">
        <w:rPr>
          <w:i/>
          <w:iCs/>
          <w:noProof w:val="0"/>
        </w:rPr>
        <w:t>limited confidence in the reported associations</w:t>
      </w:r>
      <w:r w:rsidR="00171C91" w:rsidRPr="000B14EA">
        <w:rPr>
          <w:noProof w:val="0"/>
        </w:rPr>
        <w:t>”</w:t>
      </w:r>
      <w:r w:rsidR="00F736E0" w:rsidRPr="000B14EA">
        <w:rPr>
          <w:noProof w:val="0"/>
        </w:rPr>
        <w:t>.</w:t>
      </w:r>
      <w:r w:rsidR="000223FA" w:rsidRPr="000B14EA">
        <w:rPr>
          <w:noProof w:val="0"/>
        </w:rPr>
        <w:t xml:space="preserve"> </w:t>
      </w:r>
      <w:r w:rsidR="00171C91" w:rsidRPr="000B14EA">
        <w:rPr>
          <w:noProof w:val="0"/>
        </w:rPr>
        <w:t>The</w:t>
      </w:r>
      <w:r>
        <w:rPr>
          <w:noProof w:val="0"/>
        </w:rPr>
        <w:t>se</w:t>
      </w:r>
      <w:r w:rsidR="00171C91" w:rsidRPr="000B14EA">
        <w:rPr>
          <w:noProof w:val="0"/>
        </w:rPr>
        <w:t xml:space="preserve"> result</w:t>
      </w:r>
      <w:r>
        <w:rPr>
          <w:noProof w:val="0"/>
        </w:rPr>
        <w:t>s</w:t>
      </w:r>
      <w:r w:rsidR="00171C91" w:rsidRPr="000B14EA">
        <w:rPr>
          <w:noProof w:val="0"/>
        </w:rPr>
        <w:t xml:space="preserve"> stemmed from the high degree of heterogeneity among the 13 studies selected which arose principally as a result of the broad nature of the primary research question.  None of the factors that could influence a change in the grading of certainty of the body of evidence</w:t>
      </w:r>
      <w:r>
        <w:rPr>
          <w:noProof w:val="0"/>
        </w:rPr>
        <w:t xml:space="preserve"> were identified</w:t>
      </w:r>
      <w:r w:rsidR="00171C91" w:rsidRPr="000B14EA">
        <w:rPr>
          <w:noProof w:val="0"/>
        </w:rPr>
        <w:t>.</w:t>
      </w:r>
    </w:p>
    <w:p w14:paraId="68F3FB6B" w14:textId="6F4A80E6" w:rsidR="00D00CCB" w:rsidRPr="00D00CCB" w:rsidRDefault="00171C91" w:rsidP="00D00CCB">
      <w:pPr>
        <w:rPr>
          <w:bCs/>
          <w:noProof w:val="0"/>
        </w:rPr>
      </w:pPr>
      <w:r>
        <w:rPr>
          <w:noProof w:val="0"/>
        </w:rPr>
        <w:t>It is worth noting that methods and approaches for systematic reviews of environmental health evidence is still an area of research and development, and further modification of the available frameworks and tools is beyond the scope of services required for this review.</w:t>
      </w:r>
      <w:r w:rsidRPr="00D00CCB">
        <w:rPr>
          <w:rFonts w:asciiTheme="minorHAnsi" w:eastAsiaTheme="minorHAnsi" w:hAnsiTheme="minorHAnsi" w:cstheme="minorBidi"/>
          <w:bCs/>
          <w:noProof w:val="0"/>
          <w:sz w:val="22"/>
          <w:szCs w:val="22"/>
          <w:lang w:eastAsia="en-US"/>
        </w:rPr>
        <w:t xml:space="preserve"> </w:t>
      </w:r>
      <w:r w:rsidRPr="00D00CCB">
        <w:rPr>
          <w:bCs/>
          <w:noProof w:val="0"/>
        </w:rPr>
        <w:t>Further analysis and evaluation of the primary studies by the Committee can be undertaken if required.</w:t>
      </w:r>
    </w:p>
    <w:p w14:paraId="4A391837" w14:textId="6C2F54CB" w:rsidR="00772620" w:rsidRDefault="00772620" w:rsidP="006605B4">
      <w:pPr>
        <w:rPr>
          <w:noProof w:val="0"/>
        </w:rPr>
      </w:pPr>
    </w:p>
    <w:p w14:paraId="4ADBA528" w14:textId="0502151B" w:rsidR="00E506C8" w:rsidRPr="00397A3E" w:rsidRDefault="00171C91" w:rsidP="005944CE">
      <w:pPr>
        <w:pStyle w:val="Heading2"/>
        <w:rPr>
          <w:noProof w:val="0"/>
        </w:rPr>
      </w:pPr>
      <w:bookmarkStart w:id="412" w:name="_Toc106964847"/>
      <w:r w:rsidRPr="00397A3E">
        <w:rPr>
          <w:noProof w:val="0"/>
        </w:rPr>
        <w:t>Secondary research questions</w:t>
      </w:r>
      <w:bookmarkEnd w:id="412"/>
    </w:p>
    <w:p w14:paraId="35B51CDE" w14:textId="7A281BED" w:rsidR="009F374A" w:rsidRPr="00397A3E" w:rsidRDefault="00171C91" w:rsidP="005F6555">
      <w:r w:rsidRPr="00397A3E">
        <w:t xml:space="preserve">Evidence for the secondary research questions was limited to the </w:t>
      </w:r>
      <w:r w:rsidR="00E675CC">
        <w:t>grey literature</w:t>
      </w:r>
      <w:r w:rsidR="00DC1A9D">
        <w:t xml:space="preserve"> to make the workload manageable</w:t>
      </w:r>
      <w:r w:rsidR="00E675CC" w:rsidRPr="00397A3E">
        <w:t xml:space="preserve"> </w:t>
      </w:r>
      <w:r w:rsidR="00E506C8" w:rsidRPr="00397A3E">
        <w:t xml:space="preserve">as </w:t>
      </w:r>
      <w:r w:rsidR="00BE1B84">
        <w:t>set out</w:t>
      </w:r>
      <w:r w:rsidR="00E506C8" w:rsidRPr="00397A3E">
        <w:t xml:space="preserve"> in the </w:t>
      </w:r>
      <w:r w:rsidR="00DC1A9D">
        <w:t>research protocol</w:t>
      </w:r>
      <w:r w:rsidR="00BE1B84">
        <w:t xml:space="preserve"> </w:t>
      </w:r>
      <w:r w:rsidR="00E506C8" w:rsidRPr="00397A3E">
        <w:t>,</w:t>
      </w:r>
      <w:r w:rsidRPr="00397A3E">
        <w:t xml:space="preserve"> with different suites of </w:t>
      </w:r>
      <w:r w:rsidR="00E675CC" w:rsidRPr="00E675CC">
        <w:t xml:space="preserve">grey literature </w:t>
      </w:r>
      <w:r w:rsidR="00E675CC">
        <w:t xml:space="preserve">documents </w:t>
      </w:r>
      <w:r w:rsidRPr="00397A3E">
        <w:t>relevant depending on the research question</w:t>
      </w:r>
      <w:r w:rsidR="003B3664" w:rsidRPr="00397A3E">
        <w:t>.</w:t>
      </w:r>
    </w:p>
    <w:p w14:paraId="6E2BE382" w14:textId="44183DD7" w:rsidR="006C0189" w:rsidRPr="00397A3E" w:rsidRDefault="00171C91" w:rsidP="001E26E7">
      <w:pPr>
        <w:pStyle w:val="Heading3"/>
      </w:pPr>
      <w:bookmarkStart w:id="413" w:name="_Ref94103815"/>
      <w:bookmarkStart w:id="414" w:name="_Toc106964848"/>
      <w:r>
        <w:t xml:space="preserve">(i) </w:t>
      </w:r>
      <w:r w:rsidR="00FF63F3" w:rsidRPr="00397A3E">
        <w:t xml:space="preserve">What are the indicators or surrogates of </w:t>
      </w:r>
      <w:r w:rsidR="004651A2" w:rsidRPr="004651A2">
        <w:t>contamination from diffuse and point sources in recreational waters?</w:t>
      </w:r>
      <w:bookmarkEnd w:id="413"/>
      <w:bookmarkEnd w:id="414"/>
    </w:p>
    <w:p w14:paraId="285E4F81" w14:textId="116F06C0" w:rsidR="004E45B9" w:rsidRPr="00397A3E" w:rsidRDefault="00171C91" w:rsidP="004E45B9">
      <w:pPr>
        <w:rPr>
          <w:noProof w:val="0"/>
        </w:rPr>
      </w:pPr>
      <w:r>
        <w:rPr>
          <w:noProof w:val="0"/>
        </w:rPr>
        <w:t xml:space="preserve">Convention indicators for microbial risk commonly refer to the faecal indicator bacteria (FIB) </w:t>
      </w:r>
      <w:r w:rsidRPr="004E45B9">
        <w:rPr>
          <w:i/>
          <w:iCs/>
          <w:noProof w:val="0"/>
        </w:rPr>
        <w:t>E. coli</w:t>
      </w:r>
      <w:r>
        <w:rPr>
          <w:noProof w:val="0"/>
        </w:rPr>
        <w:t xml:space="preserve"> and </w:t>
      </w:r>
      <w:r w:rsidRPr="005F6555">
        <w:rPr>
          <w:noProof w:val="0"/>
        </w:rPr>
        <w:t>enterococci</w:t>
      </w:r>
      <w:r>
        <w:rPr>
          <w:i/>
          <w:iCs/>
          <w:noProof w:val="0"/>
        </w:rPr>
        <w:t xml:space="preserve">. </w:t>
      </w:r>
      <w:r>
        <w:rPr>
          <w:noProof w:val="0"/>
        </w:rPr>
        <w:t xml:space="preserve"> Developments in genetic technologies have led to the more widespread use of genetic markers for faecal microorganisms, typically as part of MST studies.  </w:t>
      </w:r>
      <w:r w:rsidRPr="00397A3E">
        <w:rPr>
          <w:bCs/>
          <w:noProof w:val="0"/>
        </w:rPr>
        <w:fldChar w:fldCharType="begin"/>
      </w:r>
      <w:r w:rsidR="008E2059">
        <w:rPr>
          <w:bCs/>
          <w:noProof w:val="0"/>
        </w:rPr>
        <w:instrText xml:space="preserve"> ADDIN ZOTERO_ITEM CSL_CITATION {"citationID":"axxEZjMr","properties":{"custom":"WHO (2018b)","formattedCitation":"WHO (2018b)","plainCitation":"WHO (2018b)","noteIndex":0},"citationItems":[{"id":16342,"uris":["http://zotero.org/users/148142/items/FAQ5QAH6"],"uri":["http://zotero.org/users/148142/items/FAQ5QAH6"],"itemData":{"id":16342,"type":"report","publisher":"World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label":"page"}],"schema":"https://github.com/citation-style-language/schema/raw/master/csl-citation.json"} </w:instrText>
      </w:r>
      <w:r w:rsidRPr="00397A3E">
        <w:rPr>
          <w:bCs/>
          <w:noProof w:val="0"/>
        </w:rPr>
        <w:fldChar w:fldCharType="separate"/>
      </w:r>
      <w:r w:rsidR="008E2059" w:rsidRPr="008E2059">
        <w:rPr>
          <w:rFonts w:cs="Arial"/>
        </w:rPr>
        <w:t>WHO (2018)</w:t>
      </w:r>
      <w:r w:rsidRPr="00397A3E">
        <w:rPr>
          <w:noProof w:val="0"/>
        </w:rPr>
        <w:fldChar w:fldCharType="end"/>
      </w:r>
      <w:r>
        <w:rPr>
          <w:noProof w:val="0"/>
        </w:rPr>
        <w:t xml:space="preserve"> notes </w:t>
      </w:r>
      <w:r w:rsidRPr="00397A3E">
        <w:rPr>
          <w:noProof w:val="0"/>
        </w:rPr>
        <w:t xml:space="preserve">that the </w:t>
      </w:r>
      <w:r w:rsidRPr="00247F3E">
        <w:rPr>
          <w:noProof w:val="0"/>
        </w:rPr>
        <w:t xml:space="preserve">idea behind MST is that genetic markers within certain faecal microbes are strongly associated with specific hosts (e.g. humans, livestock, dogs and gulls) </w:t>
      </w:r>
      <w:r w:rsidR="000043E5">
        <w:rPr>
          <w:noProof w:val="0"/>
        </w:rPr>
        <w:t>(</w:t>
      </w:r>
      <w:r w:rsidR="000043E5">
        <w:rPr>
          <w:noProof w:val="0"/>
        </w:rPr>
        <w:fldChar w:fldCharType="begin"/>
      </w:r>
      <w:r w:rsidR="000043E5">
        <w:rPr>
          <w:noProof w:val="0"/>
        </w:rPr>
        <w:instrText xml:space="preserve"> REF _Ref94106702 \h </w:instrText>
      </w:r>
      <w:r w:rsidR="000043E5">
        <w:rPr>
          <w:noProof w:val="0"/>
        </w:rPr>
      </w:r>
      <w:r w:rsidR="000043E5">
        <w:rPr>
          <w:noProof w:val="0"/>
        </w:rPr>
        <w:fldChar w:fldCharType="separate"/>
      </w:r>
      <w:r w:rsidR="001A0E9F">
        <w:t>Table 7</w:t>
      </w:r>
      <w:r w:rsidR="001A0E9F">
        <w:noBreakHyphen/>
        <w:t>2</w:t>
      </w:r>
      <w:r w:rsidR="000043E5">
        <w:rPr>
          <w:noProof w:val="0"/>
        </w:rPr>
        <w:fldChar w:fldCharType="end"/>
      </w:r>
      <w:r w:rsidR="000043E5">
        <w:rPr>
          <w:noProof w:val="0"/>
        </w:rPr>
        <w:t xml:space="preserve">) </w:t>
      </w:r>
      <w:r w:rsidRPr="00247F3E">
        <w:rPr>
          <w:noProof w:val="0"/>
        </w:rPr>
        <w:t xml:space="preserve">and that certain identified attributes of </w:t>
      </w:r>
      <w:r w:rsidRPr="00397A3E">
        <w:rPr>
          <w:noProof w:val="0"/>
        </w:rPr>
        <w:t>those microbes can be used as markers for faecal contamination from that host</w:t>
      </w:r>
      <w:r>
        <w:rPr>
          <w:noProof w:val="0"/>
        </w:rPr>
        <w:t xml:space="preserve">. </w:t>
      </w:r>
    </w:p>
    <w:p w14:paraId="451CD8C9" w14:textId="15237AE7" w:rsidR="004E45B9" w:rsidRPr="00397A3E" w:rsidRDefault="00171C91" w:rsidP="004E45B9">
      <w:pPr>
        <w:rPr>
          <w:noProof w:val="0"/>
        </w:rPr>
      </w:pPr>
      <w:bookmarkStart w:id="415" w:name="_Hlk94197961"/>
      <w:r>
        <w:rPr>
          <w:noProof w:val="0"/>
        </w:rPr>
        <w:t>WHO further states that w</w:t>
      </w:r>
      <w:r w:rsidRPr="00397A3E">
        <w:rPr>
          <w:noProof w:val="0"/>
        </w:rPr>
        <w:t xml:space="preserve">hile the concept behind </w:t>
      </w:r>
      <w:r w:rsidR="00110A49">
        <w:rPr>
          <w:noProof w:val="0"/>
        </w:rPr>
        <w:t>MST</w:t>
      </w:r>
      <w:r w:rsidRPr="00397A3E">
        <w:rPr>
          <w:noProof w:val="0"/>
        </w:rPr>
        <w:t xml:space="preserve"> is conceptually clear, the application of techniques and interpretation of results is</w:t>
      </w:r>
      <w:r w:rsidR="005F6555">
        <w:rPr>
          <w:noProof w:val="0"/>
        </w:rPr>
        <w:t xml:space="preserve"> a</w:t>
      </w:r>
      <w:r w:rsidRPr="00397A3E">
        <w:rPr>
          <w:noProof w:val="0"/>
        </w:rPr>
        <w:t xml:space="preserve"> work in progress</w:t>
      </w:r>
      <w:r>
        <w:rPr>
          <w:noProof w:val="0"/>
        </w:rPr>
        <w:t>.</w:t>
      </w:r>
      <w:r w:rsidRPr="00397A3E">
        <w:rPr>
          <w:noProof w:val="0"/>
        </w:rPr>
        <w:t xml:space="preserve"> </w:t>
      </w:r>
      <w:bookmarkEnd w:id="415"/>
      <w:r w:rsidRPr="00397A3E">
        <w:rPr>
          <w:noProof w:val="0"/>
        </w:rPr>
        <w:t xml:space="preserve">Ideally, </w:t>
      </w:r>
      <w:r>
        <w:rPr>
          <w:noProof w:val="0"/>
        </w:rPr>
        <w:t xml:space="preserve">MST would provide clear </w:t>
      </w:r>
      <w:r w:rsidRPr="00397A3E">
        <w:rPr>
          <w:noProof w:val="0"/>
        </w:rPr>
        <w:t>source apportionment</w:t>
      </w:r>
      <w:r>
        <w:rPr>
          <w:noProof w:val="0"/>
        </w:rPr>
        <w:t xml:space="preserve">s (e.g. percentages </w:t>
      </w:r>
      <w:r w:rsidRPr="00397A3E">
        <w:rPr>
          <w:noProof w:val="0"/>
        </w:rPr>
        <w:t xml:space="preserve">of </w:t>
      </w:r>
      <w:r>
        <w:rPr>
          <w:noProof w:val="0"/>
        </w:rPr>
        <w:t xml:space="preserve">faecal indicator organisms </w:t>
      </w:r>
      <w:r w:rsidRPr="00397A3E">
        <w:rPr>
          <w:noProof w:val="0"/>
        </w:rPr>
        <w:t>are derived from human</w:t>
      </w:r>
      <w:r>
        <w:rPr>
          <w:noProof w:val="0"/>
        </w:rPr>
        <w:t xml:space="preserve">s, birds, domestic </w:t>
      </w:r>
      <w:r w:rsidR="000043E5">
        <w:rPr>
          <w:noProof w:val="0"/>
        </w:rPr>
        <w:t>animals,</w:t>
      </w:r>
      <w:r>
        <w:rPr>
          <w:noProof w:val="0"/>
        </w:rPr>
        <w:t xml:space="preserve"> </w:t>
      </w:r>
      <w:r w:rsidRPr="00397A3E">
        <w:rPr>
          <w:noProof w:val="0"/>
        </w:rPr>
        <w:t>and other unspecified sources</w:t>
      </w:r>
      <w:r>
        <w:rPr>
          <w:noProof w:val="0"/>
        </w:rPr>
        <w:t>)</w:t>
      </w:r>
      <w:r w:rsidRPr="00397A3E">
        <w:rPr>
          <w:noProof w:val="0"/>
        </w:rPr>
        <w:t xml:space="preserve">. </w:t>
      </w:r>
      <w:r>
        <w:rPr>
          <w:noProof w:val="0"/>
        </w:rPr>
        <w:t xml:space="preserve">WHO notes that </w:t>
      </w:r>
      <w:r w:rsidRPr="00397A3E">
        <w:rPr>
          <w:noProof w:val="0"/>
        </w:rPr>
        <w:t>such quantification currently relies on a number of assumptions which often are not fully met or are untested, including:</w:t>
      </w:r>
    </w:p>
    <w:p w14:paraId="7EB57773" w14:textId="77777777" w:rsidR="004E45B9" w:rsidRPr="00397A3E" w:rsidRDefault="00171C91" w:rsidP="00764500">
      <w:pPr>
        <w:pStyle w:val="ListParagraph"/>
        <w:numPr>
          <w:ilvl w:val="0"/>
          <w:numId w:val="50"/>
        </w:numPr>
        <w:ind w:left="714" w:hanging="357"/>
        <w:contextualSpacing/>
        <w:rPr>
          <w:noProof w:val="0"/>
          <w:lang w:val="en-AU"/>
        </w:rPr>
      </w:pPr>
      <w:r w:rsidRPr="00397A3E">
        <w:rPr>
          <w:noProof w:val="0"/>
          <w:lang w:val="en-AU"/>
        </w:rPr>
        <w:t>host-specific markers are host-specific and do not cross react with other species;</w:t>
      </w:r>
    </w:p>
    <w:p w14:paraId="12B46E37" w14:textId="77777777" w:rsidR="004E45B9" w:rsidRPr="00397A3E" w:rsidRDefault="00171C91" w:rsidP="00764500">
      <w:pPr>
        <w:pStyle w:val="ListParagraph"/>
        <w:numPr>
          <w:ilvl w:val="0"/>
          <w:numId w:val="50"/>
        </w:numPr>
        <w:ind w:left="714" w:hanging="357"/>
        <w:contextualSpacing/>
        <w:rPr>
          <w:noProof w:val="0"/>
          <w:lang w:val="en-AU"/>
        </w:rPr>
      </w:pPr>
      <w:r w:rsidRPr="00397A3E">
        <w:rPr>
          <w:noProof w:val="0"/>
          <w:lang w:val="en-AU"/>
        </w:rPr>
        <w:t>host-specific markers have similar environmental survival rates, fate and transport;</w:t>
      </w:r>
    </w:p>
    <w:p w14:paraId="2EF4FC23" w14:textId="77777777" w:rsidR="004E45B9" w:rsidRPr="00397A3E" w:rsidRDefault="00171C91" w:rsidP="00764500">
      <w:pPr>
        <w:pStyle w:val="ListParagraph"/>
        <w:numPr>
          <w:ilvl w:val="0"/>
          <w:numId w:val="50"/>
        </w:numPr>
        <w:ind w:left="714" w:hanging="357"/>
        <w:contextualSpacing/>
        <w:rPr>
          <w:noProof w:val="0"/>
          <w:lang w:val="en-AU"/>
        </w:rPr>
      </w:pPr>
      <w:r w:rsidRPr="00397A3E">
        <w:rPr>
          <w:noProof w:val="0"/>
          <w:lang w:val="en-AU"/>
        </w:rPr>
        <w:t>the species of interest shed a similar amount of its host-specific markers;</w:t>
      </w:r>
    </w:p>
    <w:p w14:paraId="0779A17C" w14:textId="5E1D4AA2" w:rsidR="004E45B9" w:rsidRPr="00397A3E" w:rsidRDefault="00171C91" w:rsidP="00764500">
      <w:pPr>
        <w:pStyle w:val="ListParagraph"/>
        <w:numPr>
          <w:ilvl w:val="0"/>
          <w:numId w:val="50"/>
        </w:numPr>
        <w:ind w:left="714" w:hanging="357"/>
        <w:contextualSpacing/>
        <w:rPr>
          <w:noProof w:val="0"/>
          <w:lang w:val="en-AU"/>
        </w:rPr>
      </w:pPr>
      <w:r w:rsidRPr="00397A3E">
        <w:rPr>
          <w:noProof w:val="0"/>
          <w:lang w:val="en-AU"/>
        </w:rPr>
        <w:t xml:space="preserve">the </w:t>
      </w:r>
      <w:r>
        <w:rPr>
          <w:noProof w:val="0"/>
          <w:lang w:val="en-AU"/>
        </w:rPr>
        <w:t xml:space="preserve">faecal indicator </w:t>
      </w:r>
      <w:r w:rsidR="000043E5">
        <w:rPr>
          <w:noProof w:val="0"/>
          <w:lang w:val="en-AU"/>
        </w:rPr>
        <w:t>organism:</w:t>
      </w:r>
      <w:r w:rsidR="000043E5" w:rsidRPr="00397A3E">
        <w:rPr>
          <w:noProof w:val="0"/>
          <w:lang w:val="en-AU"/>
        </w:rPr>
        <w:t xml:space="preserve"> marker</w:t>
      </w:r>
      <w:r w:rsidRPr="00397A3E">
        <w:rPr>
          <w:noProof w:val="0"/>
          <w:lang w:val="en-AU"/>
        </w:rPr>
        <w:t xml:space="preserve"> relationship is similar between species and markers;</w:t>
      </w:r>
    </w:p>
    <w:p w14:paraId="6034D28F" w14:textId="77777777" w:rsidR="004E45B9" w:rsidRPr="00397A3E" w:rsidRDefault="00171C91" w:rsidP="00764500">
      <w:pPr>
        <w:pStyle w:val="ListParagraph"/>
        <w:numPr>
          <w:ilvl w:val="0"/>
          <w:numId w:val="50"/>
        </w:numPr>
        <w:ind w:left="714" w:hanging="357"/>
        <w:contextualSpacing/>
        <w:rPr>
          <w:noProof w:val="0"/>
          <w:lang w:val="en-AU"/>
        </w:rPr>
      </w:pPr>
      <w:r w:rsidRPr="00397A3E">
        <w:rPr>
          <w:noProof w:val="0"/>
          <w:lang w:val="en-AU"/>
        </w:rPr>
        <w:t>each host-specific marker has a similar prevalence and proportional distribution among individuals within the species.</w:t>
      </w:r>
    </w:p>
    <w:p w14:paraId="657EA0D9" w14:textId="77777777" w:rsidR="004E45B9" w:rsidRPr="00397A3E" w:rsidRDefault="00171C91" w:rsidP="004E45B9">
      <w:pPr>
        <w:rPr>
          <w:noProof w:val="0"/>
        </w:rPr>
      </w:pPr>
      <w:r>
        <w:rPr>
          <w:noProof w:val="0"/>
        </w:rPr>
        <w:t>Such issues need to be clarified and some level of standardisation of methods is required to assist in the incorporation of MST methods within regulatory frameworks.</w:t>
      </w:r>
    </w:p>
    <w:p w14:paraId="5AD94FF3" w14:textId="51A9CFF9" w:rsidR="000043E5" w:rsidRPr="000043E5" w:rsidRDefault="00171C91" w:rsidP="00666D1F">
      <w:pPr>
        <w:pStyle w:val="Caption"/>
      </w:pPr>
      <w:bookmarkStart w:id="416" w:name="_Ref94106702"/>
      <w:bookmarkStart w:id="417" w:name="_Toc106964875"/>
      <w:r>
        <w:t xml:space="preserve">Table </w:t>
      </w:r>
      <w:r w:rsidR="00F178D7">
        <w:fldChar w:fldCharType="begin"/>
      </w:r>
      <w:r w:rsidR="00F178D7">
        <w:instrText xml:space="preserve"> STYLEREF 1 \s </w:instrText>
      </w:r>
      <w:r w:rsidR="00F178D7">
        <w:fldChar w:fldCharType="separate"/>
      </w:r>
      <w:r w:rsidR="001A0E9F">
        <w:t>7</w:t>
      </w:r>
      <w:r w:rsidR="00F178D7">
        <w:fldChar w:fldCharType="end"/>
      </w:r>
      <w:r w:rsidR="00F178D7">
        <w:noBreakHyphen/>
      </w:r>
      <w:r w:rsidR="00F178D7">
        <w:fldChar w:fldCharType="begin"/>
      </w:r>
      <w:r w:rsidR="00F178D7">
        <w:instrText xml:space="preserve"> SEQ Table \* ARABIC \s 1 </w:instrText>
      </w:r>
      <w:r w:rsidR="00F178D7">
        <w:fldChar w:fldCharType="separate"/>
      </w:r>
      <w:r w:rsidR="001A0E9F">
        <w:t>2</w:t>
      </w:r>
      <w:r w:rsidR="00F178D7">
        <w:fldChar w:fldCharType="end"/>
      </w:r>
      <w:bookmarkEnd w:id="416"/>
      <w:r>
        <w:t xml:space="preserve">. </w:t>
      </w:r>
      <w:r w:rsidRPr="000043E5">
        <w:t xml:space="preserve">MST targets and associated hosts </w:t>
      </w:r>
      <w:r w:rsidRPr="000043E5">
        <w:rPr>
          <w:bCs/>
        </w:rPr>
        <w:fldChar w:fldCharType="begin"/>
      </w:r>
      <w:r w:rsidR="00FE49E4">
        <w:rPr>
          <w:bCs/>
        </w:rPr>
        <w:instrText xml:space="preserve"> ADDIN ZOTERO_ITEM CSL_CITATION {"citationID":"gfmIFLwz","properties":{"custom":"WHO (2018b)","formattedCitation":"WHO (2018b)","plainCitation":"WHO (2018b)","noteIndex":0},"citationItems":[{"id":16342,"uris":["http://zotero.org/users/148142/items/FAQ5QAH6"],"uri":["http://zotero.org/users/148142/items/FAQ5QAH6"],"itemData":{"id":16342,"type":"report","publisher":"World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schema":"https://github.com/citation-style-language/schema/raw/master/csl-citation.json"} </w:instrText>
      </w:r>
      <w:r w:rsidRPr="000043E5">
        <w:rPr>
          <w:bCs/>
        </w:rPr>
        <w:fldChar w:fldCharType="separate"/>
      </w:r>
      <w:r w:rsidRPr="000043E5">
        <w:t>WHO (2018)</w:t>
      </w:r>
      <w:r w:rsidRPr="000043E5">
        <w:fldChar w:fldCharType="end"/>
      </w:r>
      <w:r>
        <w:t>.</w:t>
      </w:r>
      <w:bookmarkEnd w:id="417"/>
    </w:p>
    <w:tbl>
      <w:tblPr>
        <w:tblStyle w:val="DefaultTableStyle1"/>
        <w:tblW w:w="0" w:type="auto"/>
        <w:tblLook w:val="04A0" w:firstRow="1" w:lastRow="0" w:firstColumn="1" w:lastColumn="0" w:noHBand="0" w:noVBand="1"/>
      </w:tblPr>
      <w:tblGrid>
        <w:gridCol w:w="3509"/>
        <w:gridCol w:w="1897"/>
        <w:gridCol w:w="1334"/>
        <w:gridCol w:w="903"/>
      </w:tblGrid>
      <w:tr w:rsidR="00785848" w14:paraId="04280F9B" w14:textId="77777777" w:rsidTr="007858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9" w:type="dxa"/>
            <w:hideMark/>
          </w:tcPr>
          <w:p w14:paraId="79CD56C7" w14:textId="77777777" w:rsidR="000043E5" w:rsidRPr="000043E5" w:rsidRDefault="00171C91" w:rsidP="000043E5">
            <w:pPr>
              <w:pStyle w:val="TableText"/>
              <w:spacing w:before="60" w:after="60"/>
              <w:jc w:val="left"/>
            </w:pPr>
            <w:r w:rsidRPr="000043E5">
              <w:t xml:space="preserve">Human </w:t>
            </w:r>
          </w:p>
        </w:tc>
        <w:tc>
          <w:tcPr>
            <w:tcW w:w="1897" w:type="dxa"/>
            <w:hideMark/>
          </w:tcPr>
          <w:p w14:paraId="55871C2F" w14:textId="77777777" w:rsidR="000043E5" w:rsidRPr="000043E5" w:rsidRDefault="00171C91" w:rsidP="000043E5">
            <w:pPr>
              <w:pStyle w:val="TableText"/>
              <w:spacing w:before="60" w:after="60"/>
              <w:jc w:val="left"/>
              <w:cnfStyle w:val="100000000000" w:firstRow="1" w:lastRow="0" w:firstColumn="0" w:lastColumn="0" w:oddVBand="0" w:evenVBand="0" w:oddHBand="0" w:evenHBand="0" w:firstRowFirstColumn="0" w:firstRowLastColumn="0" w:lastRowFirstColumn="0" w:lastRowLastColumn="0"/>
            </w:pPr>
            <w:r w:rsidRPr="000043E5">
              <w:t xml:space="preserve">Cow/ruminant/pig </w:t>
            </w:r>
          </w:p>
        </w:tc>
        <w:tc>
          <w:tcPr>
            <w:tcW w:w="1334" w:type="dxa"/>
            <w:hideMark/>
          </w:tcPr>
          <w:p w14:paraId="3B5115B6" w14:textId="77777777" w:rsidR="000043E5" w:rsidRPr="000043E5" w:rsidRDefault="00171C91" w:rsidP="000043E5">
            <w:pPr>
              <w:pStyle w:val="TableText"/>
              <w:spacing w:before="60" w:after="60"/>
              <w:jc w:val="left"/>
              <w:cnfStyle w:val="100000000000" w:firstRow="1" w:lastRow="0" w:firstColumn="0" w:lastColumn="0" w:oddVBand="0" w:evenVBand="0" w:oddHBand="0" w:evenHBand="0" w:firstRowFirstColumn="0" w:firstRowLastColumn="0" w:lastRowFirstColumn="0" w:lastRowLastColumn="0"/>
            </w:pPr>
            <w:r w:rsidRPr="000043E5">
              <w:t xml:space="preserve">Gull </w:t>
            </w:r>
          </w:p>
        </w:tc>
        <w:tc>
          <w:tcPr>
            <w:tcW w:w="903" w:type="dxa"/>
            <w:hideMark/>
          </w:tcPr>
          <w:p w14:paraId="30BAAA67" w14:textId="77777777" w:rsidR="000043E5" w:rsidRPr="000043E5" w:rsidRDefault="00171C91" w:rsidP="000043E5">
            <w:pPr>
              <w:pStyle w:val="TableText"/>
              <w:spacing w:before="60" w:after="60"/>
              <w:jc w:val="left"/>
              <w:cnfStyle w:val="100000000000" w:firstRow="1" w:lastRow="0" w:firstColumn="0" w:lastColumn="0" w:oddVBand="0" w:evenVBand="0" w:oddHBand="0" w:evenHBand="0" w:firstRowFirstColumn="0" w:firstRowLastColumn="0" w:lastRowFirstColumn="0" w:lastRowLastColumn="0"/>
            </w:pPr>
            <w:r w:rsidRPr="000043E5">
              <w:t xml:space="preserve">Dog </w:t>
            </w:r>
          </w:p>
        </w:tc>
      </w:tr>
      <w:tr w:rsidR="00785848" w14:paraId="6EBA01AD" w14:textId="77777777" w:rsidTr="00785848">
        <w:tc>
          <w:tcPr>
            <w:cnfStyle w:val="001000000000" w:firstRow="0" w:lastRow="0" w:firstColumn="1" w:lastColumn="0" w:oddVBand="0" w:evenVBand="0" w:oddHBand="0" w:evenHBand="0" w:firstRowFirstColumn="0" w:firstRowLastColumn="0" w:lastRowFirstColumn="0" w:lastRowLastColumn="0"/>
            <w:tcW w:w="3509" w:type="dxa"/>
            <w:hideMark/>
          </w:tcPr>
          <w:p w14:paraId="0FEB6D27" w14:textId="77777777" w:rsidR="000043E5" w:rsidRPr="000043E5" w:rsidRDefault="00171C91" w:rsidP="000043E5">
            <w:pPr>
              <w:pStyle w:val="TableText"/>
              <w:spacing w:after="20"/>
            </w:pPr>
            <w:r w:rsidRPr="000043E5">
              <w:t xml:space="preserve">Human viruses: </w:t>
            </w:r>
          </w:p>
        </w:tc>
        <w:tc>
          <w:tcPr>
            <w:tcW w:w="1897" w:type="dxa"/>
            <w:hideMark/>
          </w:tcPr>
          <w:p w14:paraId="55C71B5A" w14:textId="77777777" w:rsidR="000043E5" w:rsidRPr="000043E5" w:rsidRDefault="00171C91"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r w:rsidRPr="000043E5">
              <w:t xml:space="preserve">CowM2 </w:t>
            </w:r>
          </w:p>
        </w:tc>
        <w:tc>
          <w:tcPr>
            <w:tcW w:w="1334" w:type="dxa"/>
            <w:hideMark/>
          </w:tcPr>
          <w:p w14:paraId="52712FA6" w14:textId="77777777" w:rsidR="000043E5" w:rsidRPr="000043E5" w:rsidRDefault="00171C91"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r w:rsidRPr="000043E5">
              <w:t xml:space="preserve">Gull2 </w:t>
            </w:r>
          </w:p>
        </w:tc>
        <w:tc>
          <w:tcPr>
            <w:tcW w:w="903" w:type="dxa"/>
            <w:hideMark/>
          </w:tcPr>
          <w:p w14:paraId="5B3DD8FB" w14:textId="77777777" w:rsidR="000043E5" w:rsidRPr="000043E5" w:rsidRDefault="00171C91"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r w:rsidRPr="000043E5">
              <w:t xml:space="preserve">DogBac </w:t>
            </w:r>
          </w:p>
        </w:tc>
      </w:tr>
      <w:tr w:rsidR="00785848" w14:paraId="4424735B" w14:textId="77777777" w:rsidTr="00785848">
        <w:tc>
          <w:tcPr>
            <w:cnfStyle w:val="001000000000" w:firstRow="0" w:lastRow="0" w:firstColumn="1" w:lastColumn="0" w:oddVBand="0" w:evenVBand="0" w:oddHBand="0" w:evenHBand="0" w:firstRowFirstColumn="0" w:firstRowLastColumn="0" w:lastRowFirstColumn="0" w:lastRowLastColumn="0"/>
            <w:tcW w:w="3509" w:type="dxa"/>
            <w:hideMark/>
          </w:tcPr>
          <w:p w14:paraId="70DF4AA6" w14:textId="77777777" w:rsidR="000043E5" w:rsidRPr="000043E5" w:rsidRDefault="00171C91" w:rsidP="000043E5">
            <w:pPr>
              <w:pStyle w:val="TableText"/>
              <w:spacing w:after="20"/>
              <w:ind w:left="284"/>
            </w:pPr>
            <w:r w:rsidRPr="000043E5">
              <w:t xml:space="preserve">Enterovirus - EV </w:t>
            </w:r>
          </w:p>
        </w:tc>
        <w:tc>
          <w:tcPr>
            <w:tcW w:w="1897" w:type="dxa"/>
            <w:hideMark/>
          </w:tcPr>
          <w:p w14:paraId="413FA56F" w14:textId="77777777" w:rsidR="000043E5" w:rsidRPr="000043E5" w:rsidRDefault="00171C91"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r w:rsidRPr="000043E5">
              <w:t xml:space="preserve">CowM3 </w:t>
            </w:r>
          </w:p>
        </w:tc>
        <w:tc>
          <w:tcPr>
            <w:tcW w:w="1334" w:type="dxa"/>
            <w:hideMark/>
          </w:tcPr>
          <w:p w14:paraId="41BA7927" w14:textId="77777777" w:rsidR="000043E5" w:rsidRPr="000043E5" w:rsidRDefault="00171C91"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r w:rsidRPr="000043E5">
              <w:t xml:space="preserve">LeeSeaGull </w:t>
            </w:r>
          </w:p>
        </w:tc>
        <w:tc>
          <w:tcPr>
            <w:tcW w:w="903" w:type="dxa"/>
            <w:hideMark/>
          </w:tcPr>
          <w:p w14:paraId="29C6A13D" w14:textId="77777777" w:rsidR="000043E5" w:rsidRPr="000043E5" w:rsidRDefault="00171C91"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r w:rsidRPr="000043E5">
              <w:t xml:space="preserve">BacCan </w:t>
            </w:r>
          </w:p>
        </w:tc>
      </w:tr>
      <w:tr w:rsidR="00785848" w14:paraId="7EB72B8B" w14:textId="77777777" w:rsidTr="00785848">
        <w:tc>
          <w:tcPr>
            <w:cnfStyle w:val="001000000000" w:firstRow="0" w:lastRow="0" w:firstColumn="1" w:lastColumn="0" w:oddVBand="0" w:evenVBand="0" w:oddHBand="0" w:evenHBand="0" w:firstRowFirstColumn="0" w:firstRowLastColumn="0" w:lastRowFirstColumn="0" w:lastRowLastColumn="0"/>
            <w:tcW w:w="3509" w:type="dxa"/>
            <w:hideMark/>
          </w:tcPr>
          <w:p w14:paraId="456A4DDD" w14:textId="77777777" w:rsidR="000043E5" w:rsidRPr="000043E5" w:rsidRDefault="00171C91" w:rsidP="000043E5">
            <w:pPr>
              <w:pStyle w:val="TableText"/>
              <w:spacing w:after="20"/>
              <w:ind w:left="284"/>
            </w:pPr>
            <w:r w:rsidRPr="000043E5">
              <w:t xml:space="preserve">Adenovirus - AdV </w:t>
            </w:r>
          </w:p>
        </w:tc>
        <w:tc>
          <w:tcPr>
            <w:tcW w:w="1897" w:type="dxa"/>
            <w:noWrap/>
            <w:hideMark/>
          </w:tcPr>
          <w:p w14:paraId="1A39EF07" w14:textId="77777777" w:rsidR="000043E5" w:rsidRPr="000043E5" w:rsidRDefault="00171C91"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r w:rsidRPr="000043E5">
              <w:t>BacCow</w:t>
            </w:r>
          </w:p>
        </w:tc>
        <w:tc>
          <w:tcPr>
            <w:tcW w:w="1334" w:type="dxa"/>
            <w:noWrap/>
            <w:hideMark/>
          </w:tcPr>
          <w:p w14:paraId="3B93ADEB" w14:textId="77777777" w:rsidR="000043E5" w:rsidRPr="000043E5" w:rsidRDefault="00171C91"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r w:rsidRPr="000043E5">
              <w:t xml:space="preserve">Gull4 </w:t>
            </w:r>
          </w:p>
        </w:tc>
        <w:tc>
          <w:tcPr>
            <w:tcW w:w="903" w:type="dxa"/>
            <w:noWrap/>
          </w:tcPr>
          <w:p w14:paraId="2B83EA10" w14:textId="5EBC1323"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r>
      <w:tr w:rsidR="00785848" w14:paraId="5D319769" w14:textId="77777777" w:rsidTr="00785848">
        <w:tc>
          <w:tcPr>
            <w:cnfStyle w:val="001000000000" w:firstRow="0" w:lastRow="0" w:firstColumn="1" w:lastColumn="0" w:oddVBand="0" w:evenVBand="0" w:oddHBand="0" w:evenHBand="0" w:firstRowFirstColumn="0" w:firstRowLastColumn="0" w:lastRowFirstColumn="0" w:lastRowLastColumn="0"/>
            <w:tcW w:w="3509" w:type="dxa"/>
            <w:hideMark/>
          </w:tcPr>
          <w:p w14:paraId="540E7B7D" w14:textId="77777777" w:rsidR="000043E5" w:rsidRPr="000043E5" w:rsidRDefault="00171C91" w:rsidP="000043E5">
            <w:pPr>
              <w:pStyle w:val="TableText"/>
              <w:spacing w:after="20"/>
              <w:ind w:left="284"/>
            </w:pPr>
            <w:r w:rsidRPr="000043E5">
              <w:t xml:space="preserve">Norovirus (GI) - NovGI </w:t>
            </w:r>
          </w:p>
        </w:tc>
        <w:tc>
          <w:tcPr>
            <w:tcW w:w="1897" w:type="dxa"/>
            <w:hideMark/>
          </w:tcPr>
          <w:p w14:paraId="4AA45E53" w14:textId="77777777" w:rsidR="000043E5" w:rsidRPr="000043E5" w:rsidRDefault="00171C91"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r w:rsidRPr="000043E5">
              <w:t xml:space="preserve">BacR </w:t>
            </w:r>
          </w:p>
        </w:tc>
        <w:tc>
          <w:tcPr>
            <w:tcW w:w="1334" w:type="dxa"/>
            <w:noWrap/>
          </w:tcPr>
          <w:p w14:paraId="1EC36FEB" w14:textId="30634207"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c>
          <w:tcPr>
            <w:tcW w:w="903" w:type="dxa"/>
            <w:noWrap/>
          </w:tcPr>
          <w:p w14:paraId="4AA95513" w14:textId="70370CBD"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r>
      <w:tr w:rsidR="00785848" w14:paraId="11781252" w14:textId="77777777" w:rsidTr="00785848">
        <w:tc>
          <w:tcPr>
            <w:cnfStyle w:val="001000000000" w:firstRow="0" w:lastRow="0" w:firstColumn="1" w:lastColumn="0" w:oddVBand="0" w:evenVBand="0" w:oddHBand="0" w:evenHBand="0" w:firstRowFirstColumn="0" w:firstRowLastColumn="0" w:lastRowFirstColumn="0" w:lastRowLastColumn="0"/>
            <w:tcW w:w="3509" w:type="dxa"/>
            <w:hideMark/>
          </w:tcPr>
          <w:p w14:paraId="528A8B5C" w14:textId="77777777" w:rsidR="000043E5" w:rsidRPr="000043E5" w:rsidRDefault="00171C91" w:rsidP="000043E5">
            <w:pPr>
              <w:pStyle w:val="TableText"/>
              <w:spacing w:after="20"/>
              <w:ind w:left="284"/>
            </w:pPr>
            <w:r w:rsidRPr="000043E5">
              <w:t xml:space="preserve">Norovirus (GII) - NoVGII </w:t>
            </w:r>
          </w:p>
        </w:tc>
        <w:tc>
          <w:tcPr>
            <w:tcW w:w="1897" w:type="dxa"/>
            <w:hideMark/>
          </w:tcPr>
          <w:p w14:paraId="281117B3" w14:textId="77777777" w:rsidR="000043E5" w:rsidRPr="000043E5" w:rsidRDefault="00171C91"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r w:rsidRPr="000043E5">
              <w:t xml:space="preserve">Rum2Bac </w:t>
            </w:r>
          </w:p>
        </w:tc>
        <w:tc>
          <w:tcPr>
            <w:tcW w:w="1334" w:type="dxa"/>
            <w:noWrap/>
          </w:tcPr>
          <w:p w14:paraId="32C6E83F" w14:textId="6AE8C99A"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c>
          <w:tcPr>
            <w:tcW w:w="903" w:type="dxa"/>
            <w:noWrap/>
          </w:tcPr>
          <w:p w14:paraId="13C897E6" w14:textId="0AF0A580"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r>
      <w:tr w:rsidR="00785848" w14:paraId="30DA4712" w14:textId="77777777" w:rsidTr="00785848">
        <w:tc>
          <w:tcPr>
            <w:cnfStyle w:val="001000000000" w:firstRow="0" w:lastRow="0" w:firstColumn="1" w:lastColumn="0" w:oddVBand="0" w:evenVBand="0" w:oddHBand="0" w:evenHBand="0" w:firstRowFirstColumn="0" w:firstRowLastColumn="0" w:lastRowFirstColumn="0" w:lastRowLastColumn="0"/>
            <w:tcW w:w="3509" w:type="dxa"/>
            <w:hideMark/>
          </w:tcPr>
          <w:p w14:paraId="46639D5E" w14:textId="77777777" w:rsidR="000043E5" w:rsidRPr="000043E5" w:rsidRDefault="00171C91" w:rsidP="000043E5">
            <w:pPr>
              <w:pStyle w:val="TableText"/>
              <w:spacing w:after="20"/>
              <w:ind w:left="284"/>
            </w:pPr>
            <w:r w:rsidRPr="000043E5">
              <w:t xml:space="preserve">Polyomavirus JC – PyV-JC </w:t>
            </w:r>
          </w:p>
        </w:tc>
        <w:tc>
          <w:tcPr>
            <w:tcW w:w="1897" w:type="dxa"/>
            <w:hideMark/>
          </w:tcPr>
          <w:p w14:paraId="76990739" w14:textId="77777777" w:rsidR="000043E5" w:rsidRPr="000043E5" w:rsidRDefault="00171C91"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r w:rsidRPr="000043E5">
              <w:t xml:space="preserve">Bovine AdV - BAdV </w:t>
            </w:r>
          </w:p>
        </w:tc>
        <w:tc>
          <w:tcPr>
            <w:tcW w:w="1334" w:type="dxa"/>
            <w:noWrap/>
          </w:tcPr>
          <w:p w14:paraId="67B6FB02" w14:textId="7F8B0896"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c>
          <w:tcPr>
            <w:tcW w:w="903" w:type="dxa"/>
            <w:noWrap/>
          </w:tcPr>
          <w:p w14:paraId="71C86BBE" w14:textId="4D09D646"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r>
      <w:tr w:rsidR="00785848" w14:paraId="6B7E0FDC" w14:textId="77777777" w:rsidTr="00785848">
        <w:tc>
          <w:tcPr>
            <w:cnfStyle w:val="001000000000" w:firstRow="0" w:lastRow="0" w:firstColumn="1" w:lastColumn="0" w:oddVBand="0" w:evenVBand="0" w:oddHBand="0" w:evenHBand="0" w:firstRowFirstColumn="0" w:firstRowLastColumn="0" w:lastRowFirstColumn="0" w:lastRowLastColumn="0"/>
            <w:tcW w:w="3509" w:type="dxa"/>
            <w:hideMark/>
          </w:tcPr>
          <w:p w14:paraId="40E53882" w14:textId="77777777" w:rsidR="000043E5" w:rsidRPr="000043E5" w:rsidRDefault="00171C91" w:rsidP="000043E5">
            <w:pPr>
              <w:pStyle w:val="TableText"/>
              <w:spacing w:after="20"/>
              <w:ind w:left="284"/>
            </w:pPr>
            <w:r w:rsidRPr="000043E5">
              <w:t xml:space="preserve">Polyomavirus BK – PyV-BK </w:t>
            </w:r>
          </w:p>
        </w:tc>
        <w:tc>
          <w:tcPr>
            <w:tcW w:w="1897" w:type="dxa"/>
            <w:hideMark/>
          </w:tcPr>
          <w:p w14:paraId="34B5AB32" w14:textId="77777777" w:rsidR="000043E5" w:rsidRPr="000043E5" w:rsidRDefault="00171C91"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r w:rsidRPr="000043E5">
              <w:t xml:space="preserve">Bovine PyV - BPyV </w:t>
            </w:r>
          </w:p>
        </w:tc>
        <w:tc>
          <w:tcPr>
            <w:tcW w:w="1334" w:type="dxa"/>
            <w:noWrap/>
          </w:tcPr>
          <w:p w14:paraId="38755A15" w14:textId="13D55536"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c>
          <w:tcPr>
            <w:tcW w:w="903" w:type="dxa"/>
            <w:noWrap/>
          </w:tcPr>
          <w:p w14:paraId="090DA4F5" w14:textId="0D6E0CCE"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r>
      <w:tr w:rsidR="00785848" w14:paraId="3DC7E351" w14:textId="77777777" w:rsidTr="00785848">
        <w:tc>
          <w:tcPr>
            <w:cnfStyle w:val="001000000000" w:firstRow="0" w:lastRow="0" w:firstColumn="1" w:lastColumn="0" w:oddVBand="0" w:evenVBand="0" w:oddHBand="0" w:evenHBand="0" w:firstRowFirstColumn="0" w:firstRowLastColumn="0" w:lastRowFirstColumn="0" w:lastRowLastColumn="0"/>
            <w:tcW w:w="3509" w:type="dxa"/>
            <w:hideMark/>
          </w:tcPr>
          <w:p w14:paraId="5E33685A" w14:textId="77777777" w:rsidR="000043E5" w:rsidRPr="000043E5" w:rsidRDefault="00171C91" w:rsidP="000043E5">
            <w:pPr>
              <w:pStyle w:val="TableText"/>
              <w:spacing w:after="20"/>
            </w:pPr>
            <w:r w:rsidRPr="000043E5">
              <w:t xml:space="preserve">HF183 </w:t>
            </w:r>
          </w:p>
        </w:tc>
        <w:tc>
          <w:tcPr>
            <w:tcW w:w="1897" w:type="dxa"/>
            <w:hideMark/>
          </w:tcPr>
          <w:p w14:paraId="7537213B" w14:textId="77777777" w:rsidR="000043E5" w:rsidRPr="000043E5" w:rsidRDefault="00171C91"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r w:rsidRPr="000043E5">
              <w:t xml:space="preserve">Pig2Bac </w:t>
            </w:r>
          </w:p>
        </w:tc>
        <w:tc>
          <w:tcPr>
            <w:tcW w:w="1334" w:type="dxa"/>
            <w:noWrap/>
          </w:tcPr>
          <w:p w14:paraId="5F02BAC9" w14:textId="7A32AFB0"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c>
          <w:tcPr>
            <w:tcW w:w="903" w:type="dxa"/>
            <w:noWrap/>
          </w:tcPr>
          <w:p w14:paraId="06C48FA8" w14:textId="51EDF85A"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r>
      <w:tr w:rsidR="00785848" w14:paraId="3F53619E" w14:textId="77777777" w:rsidTr="00785848">
        <w:tc>
          <w:tcPr>
            <w:cnfStyle w:val="001000000000" w:firstRow="0" w:lastRow="0" w:firstColumn="1" w:lastColumn="0" w:oddVBand="0" w:evenVBand="0" w:oddHBand="0" w:evenHBand="0" w:firstRowFirstColumn="0" w:firstRowLastColumn="0" w:lastRowFirstColumn="0" w:lastRowLastColumn="0"/>
            <w:tcW w:w="3509" w:type="dxa"/>
            <w:hideMark/>
          </w:tcPr>
          <w:p w14:paraId="3868789D" w14:textId="77777777" w:rsidR="000043E5" w:rsidRPr="000043E5" w:rsidRDefault="00171C91" w:rsidP="000043E5">
            <w:pPr>
              <w:pStyle w:val="TableText"/>
              <w:spacing w:after="20"/>
            </w:pPr>
            <w:r w:rsidRPr="000043E5">
              <w:t xml:space="preserve">BacHum </w:t>
            </w:r>
          </w:p>
        </w:tc>
        <w:tc>
          <w:tcPr>
            <w:tcW w:w="1897" w:type="dxa"/>
            <w:hideMark/>
          </w:tcPr>
          <w:p w14:paraId="1AE7DEE0" w14:textId="77777777" w:rsidR="000043E5" w:rsidRPr="000043E5" w:rsidRDefault="00171C91"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r w:rsidRPr="000043E5">
              <w:t xml:space="preserve">Porcine AdV - PAdV </w:t>
            </w:r>
          </w:p>
        </w:tc>
        <w:tc>
          <w:tcPr>
            <w:tcW w:w="1334" w:type="dxa"/>
            <w:noWrap/>
          </w:tcPr>
          <w:p w14:paraId="4C5E07EC" w14:textId="058AE030"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c>
          <w:tcPr>
            <w:tcW w:w="903" w:type="dxa"/>
            <w:noWrap/>
          </w:tcPr>
          <w:p w14:paraId="4E62CCB0" w14:textId="315D7368"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r>
      <w:tr w:rsidR="00785848" w14:paraId="22263758" w14:textId="77777777" w:rsidTr="00785848">
        <w:tc>
          <w:tcPr>
            <w:cnfStyle w:val="001000000000" w:firstRow="0" w:lastRow="0" w:firstColumn="1" w:lastColumn="0" w:oddVBand="0" w:evenVBand="0" w:oddHBand="0" w:evenHBand="0" w:firstRowFirstColumn="0" w:firstRowLastColumn="0" w:lastRowFirstColumn="0" w:lastRowLastColumn="0"/>
            <w:tcW w:w="3509" w:type="dxa"/>
            <w:hideMark/>
          </w:tcPr>
          <w:p w14:paraId="7CD4B087" w14:textId="77777777" w:rsidR="000043E5" w:rsidRPr="000043E5" w:rsidRDefault="00171C91" w:rsidP="000043E5">
            <w:pPr>
              <w:pStyle w:val="TableText"/>
              <w:spacing w:after="20"/>
            </w:pPr>
            <w:r w:rsidRPr="000043E5">
              <w:t xml:space="preserve">HumM2 </w:t>
            </w:r>
          </w:p>
        </w:tc>
        <w:tc>
          <w:tcPr>
            <w:tcW w:w="1897" w:type="dxa"/>
          </w:tcPr>
          <w:p w14:paraId="06852BD9" w14:textId="218B5A88"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c>
          <w:tcPr>
            <w:tcW w:w="1334" w:type="dxa"/>
            <w:noWrap/>
          </w:tcPr>
          <w:p w14:paraId="3DEFE099" w14:textId="3BC73E9F"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c>
          <w:tcPr>
            <w:tcW w:w="903" w:type="dxa"/>
            <w:noWrap/>
          </w:tcPr>
          <w:p w14:paraId="36883356" w14:textId="69212708"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r>
      <w:tr w:rsidR="00785848" w14:paraId="1C25FA5B" w14:textId="77777777" w:rsidTr="00785848">
        <w:tc>
          <w:tcPr>
            <w:cnfStyle w:val="001000000000" w:firstRow="0" w:lastRow="0" w:firstColumn="1" w:lastColumn="0" w:oddVBand="0" w:evenVBand="0" w:oddHBand="0" w:evenHBand="0" w:firstRowFirstColumn="0" w:firstRowLastColumn="0" w:lastRowFirstColumn="0" w:lastRowLastColumn="0"/>
            <w:tcW w:w="3509" w:type="dxa"/>
            <w:hideMark/>
          </w:tcPr>
          <w:p w14:paraId="2F26014A" w14:textId="77777777" w:rsidR="000043E5" w:rsidRPr="000043E5" w:rsidRDefault="00171C91" w:rsidP="000043E5">
            <w:pPr>
              <w:pStyle w:val="TableText"/>
              <w:spacing w:after="20"/>
            </w:pPr>
            <w:r w:rsidRPr="000043E5">
              <w:t xml:space="preserve">Lachno2 </w:t>
            </w:r>
          </w:p>
        </w:tc>
        <w:tc>
          <w:tcPr>
            <w:tcW w:w="1897" w:type="dxa"/>
          </w:tcPr>
          <w:p w14:paraId="600C30F3" w14:textId="7A1CE2C1"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c>
          <w:tcPr>
            <w:tcW w:w="1334" w:type="dxa"/>
            <w:noWrap/>
          </w:tcPr>
          <w:p w14:paraId="4EBEB58A" w14:textId="65BA218B"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c>
          <w:tcPr>
            <w:tcW w:w="903" w:type="dxa"/>
            <w:noWrap/>
          </w:tcPr>
          <w:p w14:paraId="0547521E" w14:textId="37E35E56"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r>
      <w:tr w:rsidR="00785848" w14:paraId="74E0DF2F" w14:textId="77777777" w:rsidTr="00785848">
        <w:tc>
          <w:tcPr>
            <w:cnfStyle w:val="001000000000" w:firstRow="0" w:lastRow="0" w:firstColumn="1" w:lastColumn="0" w:oddVBand="0" w:evenVBand="0" w:oddHBand="0" w:evenHBand="0" w:firstRowFirstColumn="0" w:firstRowLastColumn="0" w:lastRowFirstColumn="0" w:lastRowLastColumn="0"/>
            <w:tcW w:w="3509" w:type="dxa"/>
            <w:hideMark/>
          </w:tcPr>
          <w:p w14:paraId="78022409" w14:textId="77777777" w:rsidR="000043E5" w:rsidRPr="000043E5" w:rsidRDefault="00171C91" w:rsidP="000043E5">
            <w:pPr>
              <w:pStyle w:val="TableText"/>
              <w:spacing w:after="20"/>
            </w:pPr>
            <w:r w:rsidRPr="000043E5">
              <w:t xml:space="preserve">HB </w:t>
            </w:r>
          </w:p>
        </w:tc>
        <w:tc>
          <w:tcPr>
            <w:tcW w:w="1897" w:type="dxa"/>
          </w:tcPr>
          <w:p w14:paraId="052D6934" w14:textId="4133EDAA"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c>
          <w:tcPr>
            <w:tcW w:w="1334" w:type="dxa"/>
            <w:noWrap/>
          </w:tcPr>
          <w:p w14:paraId="3A29B427" w14:textId="30A5ABC9"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c>
          <w:tcPr>
            <w:tcW w:w="903" w:type="dxa"/>
            <w:noWrap/>
          </w:tcPr>
          <w:p w14:paraId="6CF101D9" w14:textId="28A6C975" w:rsidR="000043E5" w:rsidRPr="000043E5" w:rsidRDefault="000043E5" w:rsidP="000043E5">
            <w:pPr>
              <w:pStyle w:val="TableText"/>
              <w:spacing w:after="20"/>
              <w:jc w:val="left"/>
              <w:cnfStyle w:val="000000000000" w:firstRow="0" w:lastRow="0" w:firstColumn="0" w:lastColumn="0" w:oddVBand="0" w:evenVBand="0" w:oddHBand="0" w:evenHBand="0" w:firstRowFirstColumn="0" w:firstRowLastColumn="0" w:lastRowFirstColumn="0" w:lastRowLastColumn="0"/>
            </w:pPr>
          </w:p>
        </w:tc>
      </w:tr>
    </w:tbl>
    <w:p w14:paraId="1D420930" w14:textId="09674604" w:rsidR="00953879" w:rsidRPr="00C01E8E" w:rsidRDefault="00953879" w:rsidP="00C01E8E"/>
    <w:p w14:paraId="5C87519C" w14:textId="7C1FF9E1" w:rsidR="00F70673" w:rsidRPr="00C01E8E" w:rsidRDefault="00171C91" w:rsidP="00C01E8E">
      <w:pPr>
        <w:rPr>
          <w:noProof w:val="0"/>
        </w:rPr>
      </w:pPr>
      <w:r w:rsidRPr="00C01E8E">
        <w:rPr>
          <w:noProof w:val="0"/>
        </w:rPr>
        <w:t xml:space="preserve">Under the Science Review component described in the 2017 Five-Year Review of the 2012 Recreational Water Quality Criteria, US EPA (2017) concluded that development and use of viral indicators, such as coliphage, may yield advances in public health protection, since evidence strongly suggests most illnesses in recreational waters are due to enteric viruses.  US EPA concluded that despite their contribution to improved beach monitoring programs, opportunities remain for further refinement of qPCR methodologies.  </w:t>
      </w:r>
    </w:p>
    <w:p w14:paraId="1D4FE443" w14:textId="63DE3EC2" w:rsidR="005F6555" w:rsidRPr="00C01E8E" w:rsidRDefault="00171C91" w:rsidP="00C01E8E">
      <w:pPr>
        <w:rPr>
          <w:noProof w:val="0"/>
        </w:rPr>
      </w:pPr>
      <w:r w:rsidRPr="00C01E8E">
        <w:rPr>
          <w:noProof w:val="0"/>
        </w:rPr>
        <w:t xml:space="preserve">US EPA noted that </w:t>
      </w:r>
      <w:r w:rsidRPr="00C01E8E">
        <w:rPr>
          <w:i/>
          <w:iCs/>
          <w:noProof w:val="0"/>
        </w:rPr>
        <w:t>Enterococcus</w:t>
      </w:r>
      <w:r w:rsidRPr="00C01E8E">
        <w:rPr>
          <w:noProof w:val="0"/>
        </w:rPr>
        <w:t xml:space="preserve"> spp. measured by qPCR is a better predictor of swimming-associated GI illness and more timely than current culturable bacterial indicators.  Furthermore, although observations show that development and use of alternative faecal indicators is a rich and evolving field, </w:t>
      </w:r>
      <w:r w:rsidR="003230EA" w:rsidRPr="00C01E8E">
        <w:rPr>
          <w:noProof w:val="0"/>
        </w:rPr>
        <w:t xml:space="preserve">US EPA considered that </w:t>
      </w:r>
      <w:r w:rsidRPr="00C01E8E">
        <w:rPr>
          <w:noProof w:val="0"/>
        </w:rPr>
        <w:t>no strong case was made for changing the indicators currently.</w:t>
      </w:r>
    </w:p>
    <w:p w14:paraId="662BEE0C" w14:textId="66EF7942" w:rsidR="00833D57" w:rsidRPr="00C01E8E" w:rsidRDefault="00171C91" w:rsidP="00C01E8E">
      <w:pPr>
        <w:rPr>
          <w:noProof w:val="0"/>
        </w:rPr>
      </w:pPr>
      <w:r w:rsidRPr="00C01E8E">
        <w:t xml:space="preserve">In the Australian context, </w:t>
      </w:r>
      <w:r w:rsidRPr="00C01E8E">
        <w:rPr>
          <w:noProof w:val="0"/>
        </w:rPr>
        <w:fldChar w:fldCharType="begin"/>
      </w:r>
      <w:r w:rsidR="00FE49E4">
        <w:rPr>
          <w:noProof w:val="0"/>
        </w:rPr>
        <w:instrText xml:space="preserve"> ADDIN ZOTERO_ITEM CSL_CITATION {"citationID":"hR6mWCI4","properties":{"custom":"EPA Victoria (2021)","formattedCitation":"EPA Victoria (2021)","plainCitation":"EPA Victoria (2021)","noteIndex":0},"citationItems":[{"id":17578,"uris":["http://zotero.org/users/148142/items/HPITMMGC"],"uri":["http://zotero.org/users/148142/items/HPITMMGC"],"itemData":{"id":17578,"type":"report","publisher":"Environment Protection Authority, Victoria","title":"Quantitative Microbial Risk Assessment (QMRA) for assessing risks to recreational users in Port Phillip Bay. EPA Publication 2007, June 2021","author":[{"literal":"EPA Victoria"}],"issued":{"date-parts":[["2021"]]}}}],"schema":"https://github.com/citation-style-language/schema/raw/master/csl-citation.json"} </w:instrText>
      </w:r>
      <w:r w:rsidRPr="00C01E8E">
        <w:rPr>
          <w:noProof w:val="0"/>
        </w:rPr>
        <w:fldChar w:fldCharType="separate"/>
      </w:r>
      <w:r w:rsidRPr="00C01E8E">
        <w:rPr>
          <w:noProof w:val="0"/>
        </w:rPr>
        <w:t>EPA Victoria (2021)</w:t>
      </w:r>
      <w:r w:rsidRPr="00C01E8E">
        <w:rPr>
          <w:noProof w:val="0"/>
        </w:rPr>
        <w:fldChar w:fldCharType="end"/>
      </w:r>
      <w:r w:rsidRPr="00C01E8E">
        <w:rPr>
          <w:noProof w:val="0"/>
        </w:rPr>
        <w:t xml:space="preserve"> used MST techniques to identify </w:t>
      </w:r>
      <w:r w:rsidR="004D1ED5" w:rsidRPr="00C01E8E">
        <w:rPr>
          <w:noProof w:val="0"/>
        </w:rPr>
        <w:t xml:space="preserve">sources of </w:t>
      </w:r>
      <w:r w:rsidRPr="00C01E8E">
        <w:rPr>
          <w:noProof w:val="0"/>
        </w:rPr>
        <w:t>human sewage, canine and avian microbial contamination and assess risks to recreational waters</w:t>
      </w:r>
      <w:r w:rsidR="004D1ED5" w:rsidRPr="00C01E8E">
        <w:rPr>
          <w:noProof w:val="0"/>
        </w:rPr>
        <w:t xml:space="preserve">. </w:t>
      </w:r>
      <w:r w:rsidRPr="00C01E8E">
        <w:rPr>
          <w:noProof w:val="0"/>
        </w:rPr>
        <w:t xml:space="preserve">The </w:t>
      </w:r>
      <w:r w:rsidR="004D1ED5" w:rsidRPr="00C01E8E">
        <w:rPr>
          <w:noProof w:val="0"/>
        </w:rPr>
        <w:t xml:space="preserve">study involved measured of </w:t>
      </w:r>
      <w:r w:rsidRPr="00C01E8E">
        <w:rPr>
          <w:noProof w:val="0"/>
        </w:rPr>
        <w:t xml:space="preserve">qPCR </w:t>
      </w:r>
      <w:r w:rsidR="004D1ED5" w:rsidRPr="00C01E8E">
        <w:rPr>
          <w:noProof w:val="0"/>
        </w:rPr>
        <w:t xml:space="preserve">Bacteroides </w:t>
      </w:r>
      <w:r w:rsidRPr="00C01E8E">
        <w:rPr>
          <w:noProof w:val="0"/>
        </w:rPr>
        <w:t xml:space="preserve">marker HF183/BacR287 </w:t>
      </w:r>
      <w:r w:rsidR="004D1ED5" w:rsidRPr="00C01E8E">
        <w:rPr>
          <w:noProof w:val="0"/>
        </w:rPr>
        <w:t xml:space="preserve">as </w:t>
      </w:r>
      <w:r w:rsidRPr="00C01E8E">
        <w:rPr>
          <w:noProof w:val="0"/>
        </w:rPr>
        <w:t>an indicator of human sewage</w:t>
      </w:r>
      <w:r w:rsidR="004D1ED5" w:rsidRPr="00C01E8E">
        <w:rPr>
          <w:noProof w:val="0"/>
        </w:rPr>
        <w:t>,</w:t>
      </w:r>
      <w:r w:rsidRPr="00C01E8E">
        <w:rPr>
          <w:noProof w:val="0"/>
        </w:rPr>
        <w:t xml:space="preserve"> </w:t>
      </w:r>
      <w:r w:rsidR="004D1ED5" w:rsidRPr="00C01E8E">
        <w:rPr>
          <w:noProof w:val="0"/>
        </w:rPr>
        <w:t xml:space="preserve">as well as </w:t>
      </w:r>
      <w:r w:rsidRPr="00C01E8E">
        <w:rPr>
          <w:noProof w:val="0"/>
        </w:rPr>
        <w:t>enterococci concentrations</w:t>
      </w:r>
      <w:r w:rsidR="004D1ED5" w:rsidRPr="00C01E8E">
        <w:rPr>
          <w:noProof w:val="0"/>
        </w:rPr>
        <w:t xml:space="preserve">, and reported a </w:t>
      </w:r>
      <w:r w:rsidRPr="00C01E8E">
        <w:rPr>
          <w:noProof w:val="0"/>
        </w:rPr>
        <w:t>significant correlation between proportion of the microbial communities were like human sewage microbial communities and the qPCR marker (p=0.008) and enterococci (P&lt;0.001).</w:t>
      </w:r>
    </w:p>
    <w:p w14:paraId="3BCF9C9F" w14:textId="3E583766" w:rsidR="00E675CC" w:rsidRPr="00C01E8E" w:rsidRDefault="00171C91" w:rsidP="00C01E8E">
      <w:pPr>
        <w:rPr>
          <w:noProof w:val="0"/>
        </w:rPr>
      </w:pPr>
      <w:r w:rsidRPr="00C01E8E">
        <w:rPr>
          <w:noProof w:val="0"/>
        </w:rPr>
        <w:t>Similarly a significant relationship was reported between enterococci concentrations and the total proportion of faecal microbial communities (p&lt;0.001), perhaps confirming that enterococci provide an estimate of the overall level of faecal contamination.</w:t>
      </w:r>
    </w:p>
    <w:p w14:paraId="07F66A45" w14:textId="7109456F" w:rsidR="00E675CC" w:rsidRDefault="00171C91" w:rsidP="00C01E8E">
      <w:pPr>
        <w:rPr>
          <w:noProof w:val="0"/>
        </w:rPr>
      </w:pPr>
      <w:r w:rsidRPr="00C01E8E">
        <w:rPr>
          <w:noProof w:val="0"/>
        </w:rPr>
        <w:t xml:space="preserve">Several primary studies, including a number of Australian studies, described above under the primary research question also make use of </w:t>
      </w:r>
      <w:r w:rsidR="00E43920" w:rsidRPr="00C01E8E">
        <w:rPr>
          <w:noProof w:val="0"/>
        </w:rPr>
        <w:t>qPCR methods, indicating an increasing interest amongst researche</w:t>
      </w:r>
      <w:r w:rsidR="00F70673" w:rsidRPr="00C01E8E">
        <w:rPr>
          <w:noProof w:val="0"/>
        </w:rPr>
        <w:t>r</w:t>
      </w:r>
      <w:r w:rsidR="00E43920" w:rsidRPr="00C01E8E">
        <w:rPr>
          <w:noProof w:val="0"/>
        </w:rPr>
        <w:t>s in the use of such indicators.</w:t>
      </w:r>
    </w:p>
    <w:p w14:paraId="0BB9957C" w14:textId="58CDC716" w:rsidR="004651A2" w:rsidRPr="00C01E8E" w:rsidRDefault="00171C91" w:rsidP="00C01E8E">
      <w:pPr>
        <w:rPr>
          <w:noProof w:val="0"/>
        </w:rPr>
      </w:pPr>
      <w:r>
        <w:rPr>
          <w:noProof w:val="0"/>
        </w:rPr>
        <w:t xml:space="preserve">In the literature </w:t>
      </w:r>
      <w:r w:rsidR="00556861">
        <w:rPr>
          <w:noProof w:val="0"/>
        </w:rPr>
        <w:t>included in this</w:t>
      </w:r>
      <w:r>
        <w:rPr>
          <w:noProof w:val="0"/>
        </w:rPr>
        <w:t xml:space="preserve"> review, there is little distinction between diffuse and point sources o</w:t>
      </w:r>
      <w:r w:rsidR="00A620C7">
        <w:rPr>
          <w:noProof w:val="0"/>
        </w:rPr>
        <w:t>f microbial contamination, however, such a distinction is commonly used in studies of water supply catchment protection and may warrant further discussion in the revised NHM</w:t>
      </w:r>
      <w:r w:rsidR="0075369B">
        <w:rPr>
          <w:noProof w:val="0"/>
        </w:rPr>
        <w:t>R</w:t>
      </w:r>
      <w:r w:rsidR="00A620C7">
        <w:rPr>
          <w:noProof w:val="0"/>
        </w:rPr>
        <w:t xml:space="preserve">C </w:t>
      </w:r>
      <w:r w:rsidR="00D346F5">
        <w:rPr>
          <w:noProof w:val="0"/>
        </w:rPr>
        <w:t>G</w:t>
      </w:r>
      <w:r w:rsidR="00A620C7">
        <w:rPr>
          <w:noProof w:val="0"/>
        </w:rPr>
        <w:t>uidelines</w:t>
      </w:r>
      <w:r w:rsidR="00F706AC">
        <w:rPr>
          <w:noProof w:val="0"/>
        </w:rPr>
        <w:t>.</w:t>
      </w:r>
    </w:p>
    <w:p w14:paraId="3BDB62D1" w14:textId="77777777" w:rsidR="003B550E" w:rsidRPr="00167D75" w:rsidRDefault="003B550E" w:rsidP="00E5124B">
      <w:pPr>
        <w:rPr>
          <w:noProof w:val="0"/>
        </w:rPr>
      </w:pPr>
    </w:p>
    <w:p w14:paraId="68DAA721" w14:textId="11C4139D" w:rsidR="001E26E7" w:rsidRDefault="00171C91" w:rsidP="001E26E7">
      <w:pPr>
        <w:pStyle w:val="Heading3"/>
      </w:pPr>
      <w:bookmarkStart w:id="418" w:name="_Toc106964849"/>
      <w:r>
        <w:t xml:space="preserve">(ii) </w:t>
      </w:r>
      <w:r w:rsidR="00897021" w:rsidRPr="00397A3E">
        <w:t xml:space="preserve">What are the current practices to minimise or manage </w:t>
      </w:r>
      <w:r w:rsidR="004651A2" w:rsidRPr="004651A2">
        <w:t>contamination from diffuse and point sources in recreational waters</w:t>
      </w:r>
      <w:r>
        <w:t>?</w:t>
      </w:r>
      <w:bookmarkEnd w:id="418"/>
    </w:p>
    <w:p w14:paraId="762E2601" w14:textId="695B73FA" w:rsidR="00167D75" w:rsidRPr="00167D75" w:rsidRDefault="00171C91" w:rsidP="00167D75">
      <w:r>
        <w:t>As noted above under the discussion for the primary research question, t</w:t>
      </w:r>
      <w:r w:rsidRPr="006F0198">
        <w:t>he</w:t>
      </w:r>
      <w:r w:rsidR="004D3543">
        <w:t xml:space="preserve"> 2008</w:t>
      </w:r>
      <w:r w:rsidRPr="006F0198">
        <w:t xml:space="preserve"> NHMRC</w:t>
      </w:r>
      <w:r>
        <w:t xml:space="preserve"> </w:t>
      </w:r>
      <w:r w:rsidRPr="006F0198">
        <w:t xml:space="preserve">Guidelines </w:t>
      </w:r>
      <w:r>
        <w:t xml:space="preserve">describe </w:t>
      </w:r>
      <w:r w:rsidRPr="006F0198">
        <w:t>a classificatory approach to the management of recreational water quality.  The approach involves microbial-based categorisation of the water using a combination of sanitary inspection</w:t>
      </w:r>
      <w:r w:rsidR="004651A2">
        <w:t xml:space="preserve">, </w:t>
      </w:r>
      <w:r w:rsidRPr="006F0198">
        <w:t>microbial water-quality assessment</w:t>
      </w:r>
      <w:r w:rsidR="004651A2">
        <w:t xml:space="preserve"> and </w:t>
      </w:r>
      <w:r w:rsidRPr="006F0198">
        <w:t>prevention of exposure at times of increased risk</w:t>
      </w:r>
      <w:r w:rsidR="004651A2">
        <w:t>.</w:t>
      </w:r>
      <w:r w:rsidR="00BF1B47">
        <w:t xml:space="preserve">  No </w:t>
      </w:r>
      <w:r w:rsidR="00FE49E4">
        <w:t xml:space="preserve">publications describing </w:t>
      </w:r>
      <w:r w:rsidR="00BF1B47">
        <w:t xml:space="preserve">applications of the </w:t>
      </w:r>
      <w:r w:rsidR="00FE49E4">
        <w:t xml:space="preserve">current </w:t>
      </w:r>
      <w:r w:rsidR="00BF1B47">
        <w:t xml:space="preserve">guidelines made it through the screening and quality assessment process.  However a </w:t>
      </w:r>
      <w:r w:rsidR="00FE49E4">
        <w:t>recent</w:t>
      </w:r>
      <w:r w:rsidR="00BF1B47">
        <w:t xml:space="preserve"> document, the NSW </w:t>
      </w:r>
      <w:r w:rsidR="00BF1B47" w:rsidRPr="00BF1B47">
        <w:t xml:space="preserve">Department of Planning, Industry </w:t>
      </w:r>
      <w:r w:rsidR="00BF1B47">
        <w:t xml:space="preserve">and </w:t>
      </w:r>
      <w:r w:rsidR="00BF1B47" w:rsidRPr="00BF1B47">
        <w:t>Environment</w:t>
      </w:r>
      <w:r w:rsidR="00ED6F70">
        <w:t xml:space="preserve"> (NSW DPIE)</w:t>
      </w:r>
      <w:r w:rsidR="00BF1B47">
        <w:t xml:space="preserve"> </w:t>
      </w:r>
      <w:r w:rsidR="00BF1B47" w:rsidRPr="00BF1B47">
        <w:rPr>
          <w:i/>
          <w:iCs/>
        </w:rPr>
        <w:t>Protocol for Assessment and Management of Microbial Risks in Recreational Waters</w:t>
      </w:r>
      <w:r w:rsidR="00FE49E4">
        <w:rPr>
          <w:i/>
          <w:iCs/>
        </w:rPr>
        <w:t xml:space="preserve"> </w:t>
      </w:r>
      <w:r w:rsidR="00FE49E4" w:rsidRPr="00BF1B47">
        <w:fldChar w:fldCharType="begin"/>
      </w:r>
      <w:r w:rsidR="00FE49E4">
        <w:instrText xml:space="preserve"> ADDIN ZOTERO_ITEM CSL_CITATION {"citationID":"8Mu6bnop","properties":{"custom":"(NSW DPIE 2020)","formattedCitation":"(NSW DPIE 2020)","plainCitation":"(NSW DPIE 2020)","noteIndex":0},"citationItems":[{"id":16395,"uris":["http://zotero.org/users/148142/items/22QWBZGS"],"uri":["http://zotero.org/users/148142/items/22QWBZGS"],"itemData":{"id":16395,"type":"report","page":"88","title":"Protocol for Assessment and Management of Microbial Risks in Recreational Waters. NSW Department of Planning, Industry &amp; Environment","URL":"https://www.environment.nsw.gov.au/research-and-publications/publications-search/protocol-for-assessment-and-management-of-microbial-risks-in-recreational-waters.","author":[{"literal":"NSW DPIE"}],"issued":{"date-parts":[["2020"]]}}}],"schema":"https://github.com/citation-style-language/schema/raw/master/csl-citation.json"} </w:instrText>
      </w:r>
      <w:r w:rsidR="00FE49E4" w:rsidRPr="00BF1B47">
        <w:fldChar w:fldCharType="separate"/>
      </w:r>
      <w:r w:rsidR="00FE49E4" w:rsidRPr="00FE49E4">
        <w:rPr>
          <w:rFonts w:cs="Arial"/>
        </w:rPr>
        <w:t>(NSW DPIE 2020)</w:t>
      </w:r>
      <w:r w:rsidR="00FE49E4" w:rsidRPr="00BF1B47">
        <w:fldChar w:fldCharType="end"/>
      </w:r>
      <w:r w:rsidR="00FE49E4">
        <w:t xml:space="preserve"> builds on the </w:t>
      </w:r>
      <w:r w:rsidR="00FE49E4" w:rsidRPr="006F0198">
        <w:t xml:space="preserve">classificatory </w:t>
      </w:r>
      <w:r w:rsidR="00FE49E4">
        <w:t xml:space="preserve">framework of the guidelines.  In particular, </w:t>
      </w:r>
      <w:r w:rsidR="00FE49E4" w:rsidRPr="00FE49E4">
        <w:t xml:space="preserve">Part 7 of the 7-part management framework for managing microbial risks in recreational water lists generic management actions to reduce microbial risks to recreational water quality.  </w:t>
      </w:r>
      <w:r w:rsidRPr="00167D75">
        <w:t>Suggested risk management recommendations are helpfully classified as follows:</w:t>
      </w:r>
    </w:p>
    <w:p w14:paraId="6374DD7D" w14:textId="77777777" w:rsidR="00167D75" w:rsidRPr="00167D75" w:rsidRDefault="00171C91" w:rsidP="00764500">
      <w:pPr>
        <w:numPr>
          <w:ilvl w:val="0"/>
          <w:numId w:val="44"/>
        </w:numPr>
        <w:ind w:hanging="357"/>
        <w:contextualSpacing/>
        <w:rPr>
          <w:i/>
          <w:iCs/>
        </w:rPr>
      </w:pPr>
      <w:r w:rsidRPr="00167D75">
        <w:rPr>
          <w:i/>
          <w:iCs/>
        </w:rPr>
        <w:t>Actions to reduce likelihood</w:t>
      </w:r>
    </w:p>
    <w:p w14:paraId="1561EF30" w14:textId="77777777" w:rsidR="00167D75" w:rsidRPr="00167D75" w:rsidRDefault="00171C91" w:rsidP="00764500">
      <w:pPr>
        <w:numPr>
          <w:ilvl w:val="1"/>
          <w:numId w:val="44"/>
        </w:numPr>
        <w:ind w:hanging="357"/>
        <w:contextualSpacing/>
      </w:pPr>
      <w:r w:rsidRPr="00167D75">
        <w:t>Pollution abatement sewage and stormwater controls</w:t>
      </w:r>
    </w:p>
    <w:p w14:paraId="6921B1B1" w14:textId="77777777" w:rsidR="00167D75" w:rsidRPr="00167D75" w:rsidRDefault="00171C91" w:rsidP="00764500">
      <w:pPr>
        <w:numPr>
          <w:ilvl w:val="1"/>
          <w:numId w:val="44"/>
        </w:numPr>
        <w:ind w:hanging="357"/>
        <w:contextualSpacing/>
      </w:pPr>
      <w:r w:rsidRPr="00167D75">
        <w:t>Use of microbial source tracking (MST) to assist in identifying sources and thus appropriate source controls</w:t>
      </w:r>
    </w:p>
    <w:p w14:paraId="4CAAC86A" w14:textId="77777777" w:rsidR="00167D75" w:rsidRPr="00167D75" w:rsidRDefault="00171C91" w:rsidP="00764500">
      <w:pPr>
        <w:numPr>
          <w:ilvl w:val="0"/>
          <w:numId w:val="44"/>
        </w:numPr>
        <w:ind w:hanging="357"/>
        <w:contextualSpacing/>
        <w:rPr>
          <w:i/>
          <w:iCs/>
        </w:rPr>
      </w:pPr>
      <w:r w:rsidRPr="00167D75">
        <w:rPr>
          <w:i/>
          <w:iCs/>
        </w:rPr>
        <w:t>Actions to reduce consequence</w:t>
      </w:r>
    </w:p>
    <w:p w14:paraId="4ED760AD" w14:textId="77777777" w:rsidR="00167D75" w:rsidRPr="00167D75" w:rsidRDefault="00171C91" w:rsidP="00764500">
      <w:pPr>
        <w:numPr>
          <w:ilvl w:val="1"/>
          <w:numId w:val="44"/>
        </w:numPr>
        <w:ind w:hanging="357"/>
        <w:contextualSpacing/>
      </w:pPr>
      <w:r w:rsidRPr="00167D75">
        <w:t>Beach closures</w:t>
      </w:r>
    </w:p>
    <w:p w14:paraId="37A4A257" w14:textId="77777777" w:rsidR="00167D75" w:rsidRPr="00167D75" w:rsidRDefault="00171C91" w:rsidP="00764500">
      <w:pPr>
        <w:numPr>
          <w:ilvl w:val="1"/>
          <w:numId w:val="44"/>
        </w:numPr>
        <w:ind w:hanging="357"/>
        <w:contextualSpacing/>
      </w:pPr>
      <w:r w:rsidRPr="00167D75">
        <w:t>Informed personal choice based on media advisories</w:t>
      </w:r>
    </w:p>
    <w:p w14:paraId="41F4C71C" w14:textId="77777777" w:rsidR="00167D75" w:rsidRPr="00167D75" w:rsidRDefault="00171C91" w:rsidP="00764500">
      <w:pPr>
        <w:numPr>
          <w:ilvl w:val="0"/>
          <w:numId w:val="44"/>
        </w:numPr>
        <w:ind w:hanging="357"/>
        <w:contextualSpacing/>
        <w:rPr>
          <w:i/>
          <w:iCs/>
        </w:rPr>
      </w:pPr>
      <w:r w:rsidRPr="00167D75">
        <w:rPr>
          <w:i/>
          <w:iCs/>
        </w:rPr>
        <w:t>Triggers for management actions</w:t>
      </w:r>
    </w:p>
    <w:p w14:paraId="66875F67" w14:textId="77777777" w:rsidR="00167D75" w:rsidRPr="00167D75" w:rsidRDefault="00171C91" w:rsidP="00764500">
      <w:pPr>
        <w:numPr>
          <w:ilvl w:val="1"/>
          <w:numId w:val="44"/>
        </w:numPr>
        <w:ind w:hanging="357"/>
        <w:contextualSpacing/>
      </w:pPr>
      <w:r w:rsidRPr="00167D75">
        <w:t>Water quality monitoring (based on enterococci)</w:t>
      </w:r>
    </w:p>
    <w:p w14:paraId="0127755E" w14:textId="7263D146" w:rsidR="006B689F" w:rsidRPr="0045529A" w:rsidRDefault="00171C91" w:rsidP="00764500">
      <w:pPr>
        <w:numPr>
          <w:ilvl w:val="1"/>
          <w:numId w:val="44"/>
        </w:numPr>
        <w:ind w:hanging="357"/>
      </w:pPr>
      <w:r w:rsidRPr="0045529A">
        <w:t>Rapid responses to spill incidents (e.g. sewer overflows)</w:t>
      </w:r>
    </w:p>
    <w:p w14:paraId="77526AFB" w14:textId="43588536" w:rsidR="00167D75" w:rsidRDefault="00171C91" w:rsidP="00E675CC">
      <w:r w:rsidRPr="0045529A">
        <w:t>Additional information in support of each subheading is contained in Part 7 of the Protocol.</w:t>
      </w:r>
    </w:p>
    <w:p w14:paraId="5F39B187" w14:textId="1BC004AE" w:rsidR="00167D75" w:rsidRPr="0018523E" w:rsidRDefault="00171C91" w:rsidP="0018523E">
      <w:r w:rsidRPr="0018523E">
        <w:rPr>
          <w:noProof w:val="0"/>
        </w:rPr>
        <w:t>Under the Science Review component described in the 2017 Five-Year Review of the 2012 Recreational Water Quality Criteria, US EPA (2017) concluded that</w:t>
      </w:r>
      <w:r w:rsidR="0018523E" w:rsidRPr="0018523E">
        <w:rPr>
          <w:noProof w:val="0"/>
        </w:rPr>
        <w:t xml:space="preserve"> f</w:t>
      </w:r>
      <w:r w:rsidRPr="00167D75">
        <w:t>urther research on accurate and reliable MST technologies should be undertaken to markedly improve future water quality management by</w:t>
      </w:r>
      <w:r w:rsidR="0018523E" w:rsidRPr="0018523E">
        <w:t xml:space="preserve"> (i) f</w:t>
      </w:r>
      <w:r w:rsidRPr="0018523E">
        <w:t xml:space="preserve">ostering development of alternative site-specific criteria based on local pollution sources and </w:t>
      </w:r>
      <w:r w:rsidR="0018523E" w:rsidRPr="0018523E">
        <w:t>(ii) a</w:t>
      </w:r>
      <w:r w:rsidRPr="0018523E">
        <w:t>ssisting strategic remediation planning to focus on faecal pollution from human sources.</w:t>
      </w:r>
    </w:p>
    <w:p w14:paraId="66D32620" w14:textId="661134B5" w:rsidR="0018523E" w:rsidRPr="0018523E" w:rsidRDefault="00171C91" w:rsidP="0018523E">
      <w:r w:rsidRPr="0018523E">
        <w:t xml:space="preserve">Under the Implementation Review component US EPA (2017) concluded that </w:t>
      </w:r>
    </w:p>
    <w:p w14:paraId="435C603C" w14:textId="0AD4395E" w:rsidR="00167D75" w:rsidRPr="00167D75" w:rsidRDefault="00171C91" w:rsidP="00764500">
      <w:pPr>
        <w:numPr>
          <w:ilvl w:val="0"/>
          <w:numId w:val="44"/>
        </w:numPr>
        <w:ind w:hanging="357"/>
        <w:contextualSpacing/>
      </w:pPr>
      <w:r w:rsidRPr="00167D75">
        <w:rPr>
          <w:i/>
          <w:iCs/>
        </w:rPr>
        <w:t>Sanitary Surveys</w:t>
      </w:r>
      <w:r w:rsidRPr="00167D75">
        <w:t xml:space="preserve"> should continue to serve as an important tool for informing site remediation, characterizing waters for QMRA and site-specific criteria development, and can be linked with integrated environmental modelling.</w:t>
      </w:r>
    </w:p>
    <w:p w14:paraId="49E4AF9E" w14:textId="77777777" w:rsidR="00167D75" w:rsidRPr="00167D75" w:rsidRDefault="00171C91" w:rsidP="00764500">
      <w:pPr>
        <w:numPr>
          <w:ilvl w:val="0"/>
          <w:numId w:val="44"/>
        </w:numPr>
        <w:ind w:hanging="357"/>
        <w:contextualSpacing/>
      </w:pPr>
      <w:r w:rsidRPr="00167D75">
        <w:rPr>
          <w:i/>
          <w:iCs/>
        </w:rPr>
        <w:t xml:space="preserve">Predictive/Statistical Models </w:t>
      </w:r>
      <w:r w:rsidRPr="00167D75">
        <w:t>offer a cheaper alternative for same-day notification and resulting public health protection than other rapid methods.</w:t>
      </w:r>
    </w:p>
    <w:p w14:paraId="0EE00F8A" w14:textId="653227B9" w:rsidR="006B689F" w:rsidRPr="00526635" w:rsidRDefault="00171C91" w:rsidP="00764500">
      <w:pPr>
        <w:numPr>
          <w:ilvl w:val="0"/>
          <w:numId w:val="44"/>
        </w:numPr>
        <w:ind w:hanging="357"/>
      </w:pPr>
      <w:r w:rsidRPr="0018523E">
        <w:rPr>
          <w:i/>
          <w:iCs/>
        </w:rPr>
        <w:t>Deterministic Process Models for Recreational Beach Site Assessment and Enhancement/Remediation</w:t>
      </w:r>
      <w:r w:rsidRPr="0018523E">
        <w:t xml:space="preserve"> can include QMRA health-based models and can assist understanding of contaminant transport and development of support </w:t>
      </w:r>
      <w:r w:rsidRPr="00526635">
        <w:t>site-specific criteria and/or remediation options.</w:t>
      </w:r>
    </w:p>
    <w:p w14:paraId="302A06B7" w14:textId="279E798F" w:rsidR="00167D75" w:rsidRPr="00526635" w:rsidRDefault="00171C91" w:rsidP="00FB6F34">
      <w:r w:rsidRPr="00526635">
        <w:rPr>
          <w:bCs/>
        </w:rPr>
        <w:t xml:space="preserve">With respect to </w:t>
      </w:r>
      <w:r w:rsidR="00FB6F34" w:rsidRPr="00526635">
        <w:t xml:space="preserve">management of microbial contamination from diffuse and point sources </w:t>
      </w:r>
      <w:r w:rsidR="00FB6F34" w:rsidRPr="00526635">
        <w:rPr>
          <w:bCs/>
        </w:rPr>
        <w:fldChar w:fldCharType="begin"/>
      </w:r>
      <w:r w:rsidR="00FB6F34" w:rsidRPr="00526635">
        <w:rPr>
          <w:bCs/>
        </w:rPr>
        <w:instrText xml:space="preserve"> ADDIN ZOTERO_ITEM CSL_CITATION {"citationID":"5TiLt1YP","properties":{"custom":"WHO (2018b)","formattedCitation":"WHO (2018b)","plainCitation":"WHO (2018b)","noteIndex":0},"citationItems":[{"id":16342,"uris":["http://zotero.org/users/148142/items/FAQ5QAH6"],"uri":["http://zotero.org/users/148142/items/FAQ5QAH6"],"itemData":{"id":16342,"type":"report","publisher":"World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schema":"https://github.com/citation-style-language/schema/raw/master/csl-citation.json"} </w:instrText>
      </w:r>
      <w:r w:rsidR="00FB6F34" w:rsidRPr="00526635">
        <w:rPr>
          <w:bCs/>
        </w:rPr>
        <w:fldChar w:fldCharType="separate"/>
      </w:r>
      <w:r w:rsidR="00FB6F34" w:rsidRPr="00526635">
        <w:t>WHO (2018)</w:t>
      </w:r>
      <w:r w:rsidR="00FB6F34" w:rsidRPr="00526635">
        <w:fldChar w:fldCharType="end"/>
      </w:r>
      <w:r w:rsidR="00FB6F34" w:rsidRPr="00526635">
        <w:t xml:space="preserve"> contained only minor recommendations focussing on</w:t>
      </w:r>
      <w:r w:rsidRPr="00526635">
        <w:t xml:space="preserve"> dermal afflictions</w:t>
      </w:r>
      <w:r w:rsidR="00FB6F34" w:rsidRPr="00526635">
        <w:t xml:space="preserve">. For </w:t>
      </w:r>
      <w:r w:rsidR="00526635" w:rsidRPr="00526635">
        <w:t>the following dermal</w:t>
      </w:r>
      <w:r w:rsidR="00FB6F34" w:rsidRPr="00526635">
        <w:t xml:space="preserve"> afflictions</w:t>
      </w:r>
      <w:r w:rsidRPr="00526635">
        <w:t xml:space="preserve"> resulting from recreational water exposure </w:t>
      </w:r>
      <w:r w:rsidR="00FB6F34" w:rsidRPr="00526635">
        <w:t xml:space="preserve">WHO stated that information </w:t>
      </w:r>
      <w:r w:rsidRPr="00526635">
        <w:t>should be conveyed to the public in the bathing water profile at sites they are known to occur:</w:t>
      </w:r>
    </w:p>
    <w:p w14:paraId="575074C5" w14:textId="77777777" w:rsidR="00167D75" w:rsidRPr="00526635" w:rsidRDefault="00171C91" w:rsidP="00764500">
      <w:pPr>
        <w:pStyle w:val="ListParagraph"/>
        <w:numPr>
          <w:ilvl w:val="0"/>
          <w:numId w:val="51"/>
        </w:numPr>
      </w:pPr>
      <w:r w:rsidRPr="00526635">
        <w:t>Swimmer's itch;</w:t>
      </w:r>
    </w:p>
    <w:p w14:paraId="3A20B75E" w14:textId="4416E81C" w:rsidR="006B689F" w:rsidRPr="00526635" w:rsidRDefault="00171C91" w:rsidP="00764500">
      <w:pPr>
        <w:pStyle w:val="ListParagraph"/>
        <w:numPr>
          <w:ilvl w:val="0"/>
          <w:numId w:val="51"/>
        </w:numPr>
      </w:pPr>
      <w:r w:rsidRPr="00526635">
        <w:rPr>
          <w:noProof w:val="0"/>
        </w:rPr>
        <w:t xml:space="preserve">Wound infection (e.g. caused by </w:t>
      </w:r>
      <w:r w:rsidRPr="00526635">
        <w:rPr>
          <w:i/>
          <w:iCs/>
          <w:noProof w:val="0"/>
        </w:rPr>
        <w:t>Vibrio</w:t>
      </w:r>
      <w:r w:rsidRPr="00526635">
        <w:rPr>
          <w:noProof w:val="0"/>
        </w:rPr>
        <w:t xml:space="preserve"> spp.).  In </w:t>
      </w:r>
      <w:r w:rsidR="00526635" w:rsidRPr="00526635">
        <w:rPr>
          <w:noProof w:val="0"/>
        </w:rPr>
        <w:t>addition,</w:t>
      </w:r>
      <w:r w:rsidRPr="00526635">
        <w:rPr>
          <w:noProof w:val="0"/>
        </w:rPr>
        <w:t xml:space="preserve"> advice should be provided on bather hygiene measures to minimise risk and actions to take if a wound is sustained while bathing.</w:t>
      </w:r>
    </w:p>
    <w:p w14:paraId="1CF32993" w14:textId="35633F37" w:rsidR="00BE1B84" w:rsidRPr="00526635" w:rsidRDefault="00171C91" w:rsidP="00BE1B84">
      <w:r w:rsidRPr="00526635">
        <w:t xml:space="preserve">EPA Victoria 's MST study of three Port Phillip Bay beaches showed that human faeces contributed on average of only 13% of the total faecal contamination and the main contributors to faecal contamination were of avian and canine origin which carry comparatively lower risks to human health. Human sources identified during the sanitary survey included bather shedding (release), toilet facilities, sewage treatment plant (STP) outfalls, STP by-passes, sewage overflows, sewage chokes, and boats.  </w:t>
      </w:r>
      <w:r w:rsidR="00526635" w:rsidRPr="00526635">
        <w:t>T</w:t>
      </w:r>
      <w:r w:rsidRPr="00526635">
        <w:t>o be effective, management responses would need to be tailored to each source type, thus the authors recommended that the origin of the contamination should be a primary factor in assessing risks of water-based recreation, since it can significantly impact the outcome of the risk assessment.</w:t>
      </w:r>
    </w:p>
    <w:p w14:paraId="05E645FD" w14:textId="77777777" w:rsidR="006C0189" w:rsidRPr="00EC6AF4" w:rsidRDefault="006C0189" w:rsidP="00E5124B">
      <w:pPr>
        <w:rPr>
          <w:noProof w:val="0"/>
        </w:rPr>
      </w:pPr>
    </w:p>
    <w:p w14:paraId="766F6918" w14:textId="209288F3" w:rsidR="003B272D" w:rsidRPr="00EC6AF4" w:rsidRDefault="00171C91" w:rsidP="003B272D">
      <w:pPr>
        <w:pStyle w:val="Heading2"/>
        <w:rPr>
          <w:noProof w:val="0"/>
        </w:rPr>
      </w:pPr>
      <w:bookmarkStart w:id="419" w:name="_Toc106964850"/>
      <w:r w:rsidRPr="00EC6AF4">
        <w:rPr>
          <w:noProof w:val="0"/>
        </w:rPr>
        <w:t xml:space="preserve">Other questions from </w:t>
      </w:r>
      <w:r w:rsidR="001F0876">
        <w:rPr>
          <w:noProof w:val="0"/>
        </w:rPr>
        <w:t xml:space="preserve">the </w:t>
      </w:r>
      <w:r w:rsidR="00E441DE" w:rsidRPr="00EC6AF4">
        <w:rPr>
          <w:noProof w:val="0"/>
        </w:rPr>
        <w:t>Committee</w:t>
      </w:r>
      <w:bookmarkEnd w:id="419"/>
    </w:p>
    <w:p w14:paraId="2F2A0191" w14:textId="72A7D3BA" w:rsidR="003B272D" w:rsidRPr="008E2059" w:rsidRDefault="00171C91" w:rsidP="003B272D">
      <w:pPr>
        <w:rPr>
          <w:noProof w:val="0"/>
        </w:rPr>
      </w:pPr>
      <w:r w:rsidRPr="008E2059">
        <w:rPr>
          <w:noProof w:val="0"/>
        </w:rPr>
        <w:t xml:space="preserve">Since the publication of the </w:t>
      </w:r>
      <w:r w:rsidR="00B56CA7">
        <w:rPr>
          <w:noProof w:val="0"/>
        </w:rPr>
        <w:t>2008</w:t>
      </w:r>
      <w:r w:rsidR="00B56CA7" w:rsidRPr="008E2059">
        <w:rPr>
          <w:noProof w:val="0"/>
        </w:rPr>
        <w:t xml:space="preserve"> </w:t>
      </w:r>
      <w:r w:rsidRPr="008E2059">
        <w:rPr>
          <w:noProof w:val="0"/>
        </w:rPr>
        <w:t>NHM</w:t>
      </w:r>
      <w:r w:rsidR="0075369B">
        <w:rPr>
          <w:noProof w:val="0"/>
        </w:rPr>
        <w:t>R</w:t>
      </w:r>
      <w:r w:rsidRPr="008E2059">
        <w:rPr>
          <w:noProof w:val="0"/>
        </w:rPr>
        <w:t xml:space="preserve">C Guidelines, the field of risk assessment (in particular QMRA) has become well established and new technologies to monitor indicators and pathogens have been developed. Therefore, in preparing our responses to the main research questions listed above, the </w:t>
      </w:r>
      <w:r w:rsidR="00E441DE" w:rsidRPr="008E2059">
        <w:rPr>
          <w:noProof w:val="0"/>
        </w:rPr>
        <w:t xml:space="preserve">Committee </w:t>
      </w:r>
      <w:r w:rsidRPr="008E2059">
        <w:rPr>
          <w:noProof w:val="0"/>
        </w:rPr>
        <w:t>suggested that the narrative review should consider a number of additional questions based on the scientific evidence produced since 2003 (</w:t>
      </w:r>
      <w:r w:rsidR="008E2059" w:rsidRPr="008E2059">
        <w:rPr>
          <w:noProof w:val="0"/>
        </w:rPr>
        <w:fldChar w:fldCharType="begin"/>
      </w:r>
      <w:r w:rsidR="008E2059" w:rsidRPr="008E2059">
        <w:rPr>
          <w:noProof w:val="0"/>
        </w:rPr>
        <w:instrText xml:space="preserve"> REF _Ref94179675 \h </w:instrText>
      </w:r>
      <w:r w:rsidR="008E2059">
        <w:rPr>
          <w:noProof w:val="0"/>
        </w:rPr>
        <w:instrText xml:space="preserve"> \* MERGEFORMAT </w:instrText>
      </w:r>
      <w:r w:rsidR="008E2059" w:rsidRPr="008E2059">
        <w:rPr>
          <w:noProof w:val="0"/>
        </w:rPr>
      </w:r>
      <w:r w:rsidR="008E2059" w:rsidRPr="008E2059">
        <w:rPr>
          <w:noProof w:val="0"/>
        </w:rPr>
        <w:fldChar w:fldCharType="separate"/>
      </w:r>
      <w:r w:rsidR="001A0E9F" w:rsidRPr="00EC6AF4">
        <w:rPr>
          <w:noProof w:val="0"/>
        </w:rPr>
        <w:t xml:space="preserve">Table </w:t>
      </w:r>
      <w:r w:rsidR="001A0E9F">
        <w:t>7</w:t>
      </w:r>
      <w:r w:rsidR="001A0E9F">
        <w:noBreakHyphen/>
        <w:t>3</w:t>
      </w:r>
      <w:r w:rsidR="008E2059" w:rsidRPr="008E2059">
        <w:rPr>
          <w:noProof w:val="0"/>
        </w:rPr>
        <w:fldChar w:fldCharType="end"/>
      </w:r>
      <w:r w:rsidRPr="008E2059">
        <w:rPr>
          <w:noProof w:val="0"/>
        </w:rPr>
        <w:t xml:space="preserve">).  These questions were addressed based on evaluation of the </w:t>
      </w:r>
      <w:r w:rsidR="00A42E76">
        <w:rPr>
          <w:noProof w:val="0"/>
        </w:rPr>
        <w:t xml:space="preserve">available </w:t>
      </w:r>
      <w:r w:rsidRPr="008E2059">
        <w:rPr>
          <w:noProof w:val="0"/>
        </w:rPr>
        <w:t>body of evidence</w:t>
      </w:r>
      <w:r w:rsidR="00A42E76">
        <w:rPr>
          <w:noProof w:val="0"/>
        </w:rPr>
        <w:t xml:space="preserve"> included in this review</w:t>
      </w:r>
      <w:r w:rsidRPr="008E2059">
        <w:rPr>
          <w:noProof w:val="0"/>
        </w:rPr>
        <w:t>.</w:t>
      </w:r>
      <w:r w:rsidR="00A42E76" w:rsidRPr="00A42E76">
        <w:rPr>
          <w:bCs/>
          <w:noProof w:val="0"/>
        </w:rPr>
        <w:t xml:space="preserve"> </w:t>
      </w:r>
      <w:r w:rsidR="00A42E76" w:rsidRPr="00D00CCB">
        <w:rPr>
          <w:bCs/>
          <w:noProof w:val="0"/>
        </w:rPr>
        <w:t xml:space="preserve">Further analysis and evaluation of the </w:t>
      </w:r>
      <w:r w:rsidR="00A42E76">
        <w:rPr>
          <w:bCs/>
          <w:noProof w:val="0"/>
        </w:rPr>
        <w:t>available body of evidence or additional studies</w:t>
      </w:r>
      <w:r w:rsidR="00A42E76" w:rsidRPr="00D00CCB">
        <w:rPr>
          <w:bCs/>
          <w:noProof w:val="0"/>
        </w:rPr>
        <w:t xml:space="preserve"> by the Committee can be undertaken if required</w:t>
      </w:r>
      <w:r w:rsidR="00A42E76">
        <w:rPr>
          <w:bCs/>
          <w:noProof w:val="0"/>
        </w:rPr>
        <w:t xml:space="preserve"> to answer these questions</w:t>
      </w:r>
      <w:r w:rsidR="00A42E76" w:rsidRPr="00D00CCB">
        <w:rPr>
          <w:bCs/>
          <w:noProof w:val="0"/>
        </w:rPr>
        <w:t>.</w:t>
      </w:r>
    </w:p>
    <w:p w14:paraId="798AEA2B" w14:textId="07EECD38" w:rsidR="003B272D" w:rsidRPr="00EC6AF4" w:rsidRDefault="00171C91" w:rsidP="003B272D">
      <w:pPr>
        <w:pStyle w:val="Caption"/>
        <w:pageBreakBefore/>
        <w:rPr>
          <w:noProof w:val="0"/>
        </w:rPr>
      </w:pPr>
      <w:bookmarkStart w:id="420" w:name="_Ref94179675"/>
      <w:bookmarkStart w:id="421" w:name="_Toc106964876"/>
      <w:r w:rsidRPr="00EC6AF4">
        <w:rPr>
          <w:noProof w:val="0"/>
        </w:rPr>
        <w:t xml:space="preserve">Table </w:t>
      </w:r>
      <w:r w:rsidR="00F178D7">
        <w:rPr>
          <w:noProof w:val="0"/>
        </w:rPr>
        <w:fldChar w:fldCharType="begin"/>
      </w:r>
      <w:r w:rsidR="00F178D7">
        <w:rPr>
          <w:noProof w:val="0"/>
        </w:rPr>
        <w:instrText xml:space="preserve"> STYLEREF 1 \s </w:instrText>
      </w:r>
      <w:r w:rsidR="00F178D7">
        <w:rPr>
          <w:noProof w:val="0"/>
        </w:rPr>
        <w:fldChar w:fldCharType="separate"/>
      </w:r>
      <w:r w:rsidR="001A0E9F">
        <w:t>7</w:t>
      </w:r>
      <w:r w:rsidR="00F178D7">
        <w:rPr>
          <w:noProof w:val="0"/>
        </w:rPr>
        <w:fldChar w:fldCharType="end"/>
      </w:r>
      <w:r w:rsidR="00F178D7">
        <w:rPr>
          <w:noProof w:val="0"/>
        </w:rPr>
        <w:noBreakHyphen/>
      </w:r>
      <w:r w:rsidR="00F178D7">
        <w:rPr>
          <w:noProof w:val="0"/>
        </w:rPr>
        <w:fldChar w:fldCharType="begin"/>
      </w:r>
      <w:r w:rsidR="00F178D7">
        <w:rPr>
          <w:noProof w:val="0"/>
        </w:rPr>
        <w:instrText xml:space="preserve"> SEQ Table \* ARABIC \s 1 </w:instrText>
      </w:r>
      <w:r w:rsidR="00F178D7">
        <w:rPr>
          <w:noProof w:val="0"/>
        </w:rPr>
        <w:fldChar w:fldCharType="separate"/>
      </w:r>
      <w:r w:rsidR="001A0E9F">
        <w:t>3</w:t>
      </w:r>
      <w:r w:rsidR="00F178D7">
        <w:rPr>
          <w:noProof w:val="0"/>
        </w:rPr>
        <w:fldChar w:fldCharType="end"/>
      </w:r>
      <w:bookmarkEnd w:id="420"/>
      <w:r w:rsidRPr="00EC6AF4">
        <w:rPr>
          <w:noProof w:val="0"/>
        </w:rPr>
        <w:t>. Additional questions for supporting main research questions for th</w:t>
      </w:r>
      <w:r w:rsidR="008E2059" w:rsidRPr="00EC6AF4">
        <w:rPr>
          <w:noProof w:val="0"/>
        </w:rPr>
        <w:t>e</w:t>
      </w:r>
      <w:r w:rsidRPr="00EC6AF4">
        <w:rPr>
          <w:noProof w:val="0"/>
        </w:rPr>
        <w:t xml:space="preserve"> narrative review.</w:t>
      </w:r>
      <w:bookmarkEnd w:id="421"/>
    </w:p>
    <w:tbl>
      <w:tblPr>
        <w:tblStyle w:val="EcosleftTableStyle"/>
        <w:tblW w:w="8222" w:type="dxa"/>
        <w:tblInd w:w="-289" w:type="dxa"/>
        <w:tblLayout w:type="fixed"/>
        <w:tblLook w:val="04A0" w:firstRow="1" w:lastRow="0" w:firstColumn="1" w:lastColumn="0" w:noHBand="0" w:noVBand="1"/>
      </w:tblPr>
      <w:tblGrid>
        <w:gridCol w:w="1844"/>
        <w:gridCol w:w="6378"/>
      </w:tblGrid>
      <w:tr w:rsidR="00785848" w14:paraId="37506BC1" w14:textId="77777777" w:rsidTr="007858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4" w:type="dxa"/>
          </w:tcPr>
          <w:p w14:paraId="4221C239" w14:textId="77777777" w:rsidR="00EC6AF4" w:rsidRPr="00EC6AF4" w:rsidRDefault="00171C91" w:rsidP="00EC6AF4">
            <w:pPr>
              <w:spacing w:line="240" w:lineRule="auto"/>
              <w:ind w:left="357"/>
              <w:rPr>
                <w:rFonts w:asciiTheme="minorHAnsi" w:hAnsiTheme="minorHAnsi"/>
                <w:noProof w:val="0"/>
                <w:szCs w:val="16"/>
              </w:rPr>
            </w:pPr>
            <w:r w:rsidRPr="00EC6AF4">
              <w:rPr>
                <w:rFonts w:asciiTheme="minorHAnsi" w:hAnsiTheme="minorHAnsi"/>
                <w:noProof w:val="0"/>
                <w:szCs w:val="16"/>
              </w:rPr>
              <w:t>Additional Questions</w:t>
            </w:r>
          </w:p>
        </w:tc>
        <w:tc>
          <w:tcPr>
            <w:tcW w:w="6378" w:type="dxa"/>
          </w:tcPr>
          <w:p w14:paraId="369CC578" w14:textId="3FB84F25" w:rsidR="00EC6AF4" w:rsidRPr="00EC6AF4" w:rsidRDefault="00171C91" w:rsidP="00EC6AF4">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iCs/>
                <w:noProof w:val="0"/>
                <w:szCs w:val="16"/>
              </w:rPr>
            </w:pPr>
            <w:r w:rsidRPr="00EC6AF4">
              <w:rPr>
                <w:rFonts w:ascii="Calibri" w:hAnsi="Calibri" w:cs="Calibri"/>
                <w:szCs w:val="16"/>
              </w:rPr>
              <w:t>Responses</w:t>
            </w:r>
          </w:p>
        </w:tc>
      </w:tr>
      <w:tr w:rsidR="00785848" w14:paraId="5C2DA001" w14:textId="77777777" w:rsidTr="00785848">
        <w:tc>
          <w:tcPr>
            <w:cnfStyle w:val="001000000000" w:firstRow="0" w:lastRow="0" w:firstColumn="1" w:lastColumn="0" w:oddVBand="0" w:evenVBand="0" w:oddHBand="0" w:evenHBand="0" w:firstRowFirstColumn="0" w:firstRowLastColumn="0" w:lastRowFirstColumn="0" w:lastRowLastColumn="0"/>
            <w:tcW w:w="1844" w:type="dxa"/>
            <w:vAlign w:val="top"/>
          </w:tcPr>
          <w:p w14:paraId="404DCEC4" w14:textId="6EE0B518" w:rsidR="00EC6AF4" w:rsidRPr="00397A3E" w:rsidRDefault="00171C91" w:rsidP="004D1FE1">
            <w:pPr>
              <w:numPr>
                <w:ilvl w:val="0"/>
                <w:numId w:val="49"/>
              </w:numPr>
              <w:spacing w:before="0" w:line="240" w:lineRule="auto"/>
              <w:ind w:left="317" w:hanging="280"/>
              <w:rPr>
                <w:rFonts w:asciiTheme="minorHAnsi" w:hAnsiTheme="minorHAnsi"/>
                <w:noProof w:val="0"/>
                <w:szCs w:val="16"/>
              </w:rPr>
            </w:pPr>
            <w:r w:rsidRPr="00397A3E">
              <w:rPr>
                <w:rFonts w:asciiTheme="minorHAnsi" w:hAnsiTheme="minorHAnsi"/>
                <w:noProof w:val="0"/>
                <w:szCs w:val="16"/>
              </w:rPr>
              <w:t>What are drawbacks of the interpretation of risks provided by the previous guidelines when applied to the Australian context?</w:t>
            </w:r>
          </w:p>
        </w:tc>
        <w:tc>
          <w:tcPr>
            <w:tcW w:w="6378" w:type="dxa"/>
            <w:vAlign w:val="top"/>
          </w:tcPr>
          <w:p w14:paraId="01FB9A3E" w14:textId="45FD0718" w:rsidR="00355A2A" w:rsidRDefault="00171C91" w:rsidP="00EC6AF4">
            <w:pPr>
              <w:pStyle w:val="NormalWeb"/>
              <w:spacing w:before="20" w:beforeAutospacing="0" w:after="2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EC6AF4">
              <w:rPr>
                <w:rFonts w:ascii="Calibri" w:hAnsi="Calibri" w:cs="Calibri"/>
                <w:sz w:val="16"/>
                <w:szCs w:val="16"/>
              </w:rPr>
              <w:t xml:space="preserve">There </w:t>
            </w:r>
            <w:r>
              <w:rPr>
                <w:rFonts w:ascii="Calibri" w:hAnsi="Calibri" w:cs="Calibri"/>
                <w:sz w:val="16"/>
                <w:szCs w:val="16"/>
              </w:rPr>
              <w:t>was no evidence from the included studies to indicate that there are drawbacks to the</w:t>
            </w:r>
            <w:r w:rsidR="00BA2171">
              <w:rPr>
                <w:rFonts w:ascii="Calibri" w:hAnsi="Calibri" w:cs="Calibri"/>
                <w:sz w:val="16"/>
                <w:szCs w:val="16"/>
              </w:rPr>
              <w:t xml:space="preserve"> </w:t>
            </w:r>
            <w:r w:rsidRPr="00EC6AF4">
              <w:rPr>
                <w:rFonts w:ascii="Calibri" w:hAnsi="Calibri" w:cs="Calibri"/>
                <w:sz w:val="16"/>
                <w:szCs w:val="16"/>
              </w:rPr>
              <w:t xml:space="preserve">interpretation of risks provided by the </w:t>
            </w:r>
            <w:r>
              <w:rPr>
                <w:rFonts w:ascii="Calibri" w:hAnsi="Calibri" w:cs="Calibri"/>
                <w:sz w:val="16"/>
                <w:szCs w:val="16"/>
              </w:rPr>
              <w:t>2008 NHMRC G</w:t>
            </w:r>
            <w:r w:rsidRPr="00EC6AF4">
              <w:rPr>
                <w:rFonts w:ascii="Calibri" w:hAnsi="Calibri" w:cs="Calibri"/>
                <w:sz w:val="16"/>
                <w:szCs w:val="16"/>
              </w:rPr>
              <w:t>uidelines</w:t>
            </w:r>
            <w:r>
              <w:rPr>
                <w:rFonts w:ascii="Calibri" w:hAnsi="Calibri" w:cs="Calibri"/>
                <w:sz w:val="16"/>
                <w:szCs w:val="16"/>
              </w:rPr>
              <w:t xml:space="preserve">. While there are concerns </w:t>
            </w:r>
            <w:r w:rsidR="009B2593">
              <w:rPr>
                <w:rFonts w:ascii="Calibri" w:hAnsi="Calibri" w:cs="Calibri"/>
                <w:sz w:val="16"/>
                <w:szCs w:val="16"/>
              </w:rPr>
              <w:t xml:space="preserve">within </w:t>
            </w:r>
            <w:r w:rsidR="006E4BBB">
              <w:rPr>
                <w:rFonts w:ascii="Calibri" w:hAnsi="Calibri" w:cs="Calibri"/>
                <w:sz w:val="16"/>
                <w:szCs w:val="16"/>
              </w:rPr>
              <w:t>the Committee</w:t>
            </w:r>
            <w:r w:rsidR="009B2593">
              <w:rPr>
                <w:rFonts w:ascii="Calibri" w:hAnsi="Calibri" w:cs="Calibri"/>
                <w:sz w:val="16"/>
                <w:szCs w:val="16"/>
              </w:rPr>
              <w:t xml:space="preserve"> </w:t>
            </w:r>
            <w:r>
              <w:rPr>
                <w:rFonts w:ascii="Calibri" w:hAnsi="Calibri" w:cs="Calibri"/>
                <w:sz w:val="16"/>
                <w:szCs w:val="16"/>
              </w:rPr>
              <w:t xml:space="preserve">that current advice is not </w:t>
            </w:r>
            <w:r w:rsidR="009B2593">
              <w:rPr>
                <w:rFonts w:ascii="Calibri" w:hAnsi="Calibri" w:cs="Calibri"/>
                <w:sz w:val="16"/>
                <w:szCs w:val="16"/>
              </w:rPr>
              <w:t xml:space="preserve">always </w:t>
            </w:r>
            <w:r>
              <w:rPr>
                <w:rFonts w:ascii="Calibri" w:hAnsi="Calibri" w:cs="Calibri"/>
                <w:sz w:val="16"/>
                <w:szCs w:val="16"/>
              </w:rPr>
              <w:t xml:space="preserve">appropriate for </w:t>
            </w:r>
            <w:r w:rsidR="009B2593">
              <w:rPr>
                <w:rFonts w:ascii="Calibri" w:hAnsi="Calibri" w:cs="Calibri"/>
                <w:sz w:val="16"/>
                <w:szCs w:val="16"/>
              </w:rPr>
              <w:t>interpreting</w:t>
            </w:r>
            <w:r>
              <w:rPr>
                <w:rFonts w:ascii="Calibri" w:hAnsi="Calibri" w:cs="Calibri"/>
                <w:sz w:val="16"/>
                <w:szCs w:val="16"/>
              </w:rPr>
              <w:t xml:space="preserve"> microbial risks </w:t>
            </w:r>
            <w:r w:rsidRPr="00EC6AF4">
              <w:rPr>
                <w:rFonts w:ascii="Calibri" w:hAnsi="Calibri" w:cs="Calibri"/>
                <w:sz w:val="16"/>
                <w:szCs w:val="16"/>
              </w:rPr>
              <w:t>when applied to the Australian context</w:t>
            </w:r>
            <w:r w:rsidR="009B2593">
              <w:rPr>
                <w:rFonts w:ascii="Calibri" w:hAnsi="Calibri" w:cs="Calibri"/>
                <w:sz w:val="16"/>
                <w:szCs w:val="16"/>
              </w:rPr>
              <w:t xml:space="preserve">, there was no relevant information on this </w:t>
            </w:r>
            <w:r w:rsidR="001C54CF">
              <w:rPr>
                <w:rFonts w:ascii="Calibri" w:hAnsi="Calibri" w:cs="Calibri"/>
                <w:sz w:val="16"/>
                <w:szCs w:val="16"/>
              </w:rPr>
              <w:t>identified from</w:t>
            </w:r>
            <w:r w:rsidR="009B2593">
              <w:rPr>
                <w:rFonts w:ascii="Calibri" w:hAnsi="Calibri" w:cs="Calibri"/>
                <w:sz w:val="16"/>
                <w:szCs w:val="16"/>
              </w:rPr>
              <w:t xml:space="preserve"> the included studies. The Committee may like to review this further at a later stage; however, it is likely that further research is required in this area. </w:t>
            </w:r>
          </w:p>
          <w:p w14:paraId="37AD89BE" w14:textId="106DA461" w:rsidR="00EC6AF4" w:rsidRPr="00EC6AF4" w:rsidRDefault="003A23C2" w:rsidP="00EC6AF4">
            <w:pPr>
              <w:pStyle w:val="NormalWeb"/>
              <w:spacing w:before="20" w:beforeAutospacing="0" w:after="2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Pr>
                <w:rFonts w:ascii="Calibri" w:hAnsi="Calibri" w:cs="Calibri"/>
                <w:sz w:val="16"/>
                <w:szCs w:val="16"/>
              </w:rPr>
              <w:t xml:space="preserve">Based on guidance from other jurisdictions, </w:t>
            </w:r>
            <w:r w:rsidR="00CA561F">
              <w:rPr>
                <w:rFonts w:ascii="Calibri" w:hAnsi="Calibri" w:cs="Calibri"/>
                <w:sz w:val="16"/>
                <w:szCs w:val="16"/>
              </w:rPr>
              <w:t xml:space="preserve">the Committee could </w:t>
            </w:r>
            <w:r w:rsidR="00845299">
              <w:rPr>
                <w:rFonts w:ascii="Calibri" w:hAnsi="Calibri" w:cs="Calibri"/>
                <w:sz w:val="16"/>
                <w:szCs w:val="16"/>
              </w:rPr>
              <w:t xml:space="preserve">consider </w:t>
            </w:r>
            <w:r>
              <w:rPr>
                <w:rFonts w:ascii="Calibri" w:hAnsi="Calibri" w:cs="Calibri"/>
                <w:sz w:val="16"/>
                <w:szCs w:val="16"/>
              </w:rPr>
              <w:t xml:space="preserve">potential </w:t>
            </w:r>
            <w:r w:rsidR="00171C91" w:rsidRPr="00EC6AF4">
              <w:rPr>
                <w:rFonts w:ascii="Calibri" w:hAnsi="Calibri" w:cs="Calibri"/>
                <w:sz w:val="16"/>
                <w:szCs w:val="16"/>
              </w:rPr>
              <w:t xml:space="preserve">opportunities for </w:t>
            </w:r>
            <w:r w:rsidR="00CA561F">
              <w:rPr>
                <w:rFonts w:ascii="Calibri" w:hAnsi="Calibri" w:cs="Calibri"/>
                <w:sz w:val="16"/>
                <w:szCs w:val="16"/>
              </w:rPr>
              <w:t xml:space="preserve">additional information </w:t>
            </w:r>
            <w:r w:rsidR="00355A2A">
              <w:rPr>
                <w:rFonts w:ascii="Calibri" w:hAnsi="Calibri" w:cs="Calibri"/>
                <w:sz w:val="16"/>
                <w:szCs w:val="16"/>
              </w:rPr>
              <w:t xml:space="preserve">in the Guidelines </w:t>
            </w:r>
            <w:r w:rsidR="009B2593">
              <w:rPr>
                <w:rFonts w:ascii="Calibri" w:hAnsi="Calibri" w:cs="Calibri"/>
                <w:sz w:val="16"/>
                <w:szCs w:val="16"/>
              </w:rPr>
              <w:t>that would</w:t>
            </w:r>
            <w:r w:rsidR="00355A2A">
              <w:rPr>
                <w:rFonts w:ascii="Calibri" w:hAnsi="Calibri" w:cs="Calibri"/>
                <w:sz w:val="16"/>
                <w:szCs w:val="16"/>
              </w:rPr>
              <w:t xml:space="preserve"> assist </w:t>
            </w:r>
            <w:r w:rsidR="009B2593">
              <w:rPr>
                <w:rFonts w:ascii="Calibri" w:hAnsi="Calibri" w:cs="Calibri"/>
                <w:sz w:val="16"/>
                <w:szCs w:val="16"/>
              </w:rPr>
              <w:t xml:space="preserve">end users </w:t>
            </w:r>
            <w:r w:rsidR="00171C91" w:rsidRPr="00EC6AF4">
              <w:rPr>
                <w:rFonts w:ascii="Calibri" w:hAnsi="Calibri" w:cs="Calibri"/>
                <w:sz w:val="16"/>
                <w:szCs w:val="16"/>
              </w:rPr>
              <w:t xml:space="preserve">in risk interpretation.  For example </w:t>
            </w:r>
            <w:r w:rsidR="003B7EF0">
              <w:rPr>
                <w:rFonts w:ascii="Calibri" w:hAnsi="Calibri" w:cs="Calibri"/>
                <w:sz w:val="16"/>
                <w:szCs w:val="16"/>
              </w:rPr>
              <w:t xml:space="preserve">the Committee could consider </w:t>
            </w:r>
            <w:r w:rsidR="00171C91" w:rsidRPr="00EC6AF4">
              <w:rPr>
                <w:rFonts w:ascii="Calibri" w:hAnsi="Calibri" w:cs="Calibri"/>
                <w:sz w:val="16"/>
                <w:szCs w:val="16"/>
              </w:rPr>
              <w:t>inclu</w:t>
            </w:r>
            <w:r w:rsidR="003B7EF0">
              <w:rPr>
                <w:rFonts w:ascii="Calibri" w:hAnsi="Calibri" w:cs="Calibri"/>
                <w:sz w:val="16"/>
                <w:szCs w:val="16"/>
              </w:rPr>
              <w:t>ding</w:t>
            </w:r>
            <w:r w:rsidR="00171C91" w:rsidRPr="00EC6AF4">
              <w:rPr>
                <w:rFonts w:ascii="Calibri" w:hAnsi="Calibri" w:cs="Calibri"/>
                <w:sz w:val="16"/>
                <w:szCs w:val="16"/>
              </w:rPr>
              <w:t xml:space="preserve"> </w:t>
            </w:r>
            <w:r w:rsidR="003B7EF0">
              <w:rPr>
                <w:rFonts w:ascii="Calibri" w:hAnsi="Calibri" w:cs="Calibri"/>
                <w:sz w:val="16"/>
                <w:szCs w:val="16"/>
              </w:rPr>
              <w:t>additional</w:t>
            </w:r>
            <w:r w:rsidR="00171C91" w:rsidRPr="00EC6AF4">
              <w:rPr>
                <w:rFonts w:ascii="Calibri" w:hAnsi="Calibri" w:cs="Calibri"/>
                <w:sz w:val="16"/>
                <w:szCs w:val="16"/>
              </w:rPr>
              <w:t xml:space="preserve"> guidance on source identification and associated pathogen profiles</w:t>
            </w:r>
            <w:r w:rsidR="003B7EF0">
              <w:rPr>
                <w:rFonts w:ascii="Calibri" w:hAnsi="Calibri" w:cs="Calibri"/>
                <w:sz w:val="16"/>
                <w:szCs w:val="16"/>
              </w:rPr>
              <w:t xml:space="preserve"> which</w:t>
            </w:r>
            <w:r w:rsidR="00171C91" w:rsidRPr="00EC6AF4">
              <w:rPr>
                <w:rFonts w:ascii="Calibri" w:hAnsi="Calibri" w:cs="Calibri"/>
                <w:sz w:val="16"/>
                <w:szCs w:val="16"/>
              </w:rPr>
              <w:t xml:space="preserve"> would assist in tailoring risk management to focus on the most important sources. This could be achieved by providing short case studies giving examples of the use of appropriate techniques to assist in risk identification and interpretation, for example:</w:t>
            </w:r>
          </w:p>
          <w:p w14:paraId="178A08E1" w14:textId="77777777" w:rsidR="00EC6AF4" w:rsidRPr="00EC6AF4" w:rsidRDefault="00171C91" w:rsidP="00764500">
            <w:pPr>
              <w:pStyle w:val="ListParagraph"/>
              <w:numPr>
                <w:ilvl w:val="0"/>
                <w:numId w:val="52"/>
              </w:numPr>
              <w:spacing w:before="20" w:after="20" w:line="240"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EC6AF4">
              <w:rPr>
                <w:rFonts w:ascii="Calibri" w:hAnsi="Calibri" w:cs="Calibri"/>
                <w:szCs w:val="16"/>
              </w:rPr>
              <w:t>Advocating the use of MST methods to permit better identification of sources and some quantification of source loads;</w:t>
            </w:r>
          </w:p>
          <w:p w14:paraId="040202AF" w14:textId="258364D3" w:rsidR="00EC6AF4" w:rsidRPr="00EC6AF4" w:rsidRDefault="00171C91" w:rsidP="00764500">
            <w:pPr>
              <w:pStyle w:val="ListParagraph"/>
              <w:numPr>
                <w:ilvl w:val="0"/>
                <w:numId w:val="52"/>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bCs/>
                <w:iCs/>
                <w:noProof w:val="0"/>
                <w:szCs w:val="16"/>
                <w:lang w:val="en-AU"/>
              </w:rPr>
            </w:pPr>
            <w:r w:rsidRPr="00EC6AF4">
              <w:rPr>
                <w:rFonts w:ascii="Calibri" w:hAnsi="Calibri" w:cs="Calibri"/>
                <w:szCs w:val="16"/>
              </w:rPr>
              <w:t xml:space="preserve">Use of QMRA to identify high risk periods, quantify potential impacts during such periods, and by working back from tolerable risk thresholds to identify locally relevant tolerable limits for contributing factors (e.g. flows in local waterways, rainfall) or triggers for management actions (e.g. beach closures) </w:t>
            </w:r>
          </w:p>
        </w:tc>
      </w:tr>
      <w:tr w:rsidR="00785848" w14:paraId="7C9696D5" w14:textId="77777777" w:rsidTr="00785848">
        <w:tc>
          <w:tcPr>
            <w:cnfStyle w:val="001000000000" w:firstRow="0" w:lastRow="0" w:firstColumn="1" w:lastColumn="0" w:oddVBand="0" w:evenVBand="0" w:oddHBand="0" w:evenHBand="0" w:firstRowFirstColumn="0" w:firstRowLastColumn="0" w:lastRowFirstColumn="0" w:lastRowLastColumn="0"/>
            <w:tcW w:w="1844" w:type="dxa"/>
            <w:vAlign w:val="top"/>
          </w:tcPr>
          <w:p w14:paraId="634533CB" w14:textId="3EBCDFC1" w:rsidR="00EC6AF4" w:rsidRPr="00397A3E" w:rsidRDefault="00171C91" w:rsidP="004D1FE1">
            <w:pPr>
              <w:numPr>
                <w:ilvl w:val="0"/>
                <w:numId w:val="49"/>
              </w:numPr>
              <w:spacing w:before="0" w:line="240" w:lineRule="auto"/>
              <w:ind w:left="317" w:hanging="280"/>
              <w:rPr>
                <w:rFonts w:asciiTheme="minorHAnsi" w:hAnsiTheme="minorHAnsi"/>
                <w:noProof w:val="0"/>
                <w:szCs w:val="16"/>
              </w:rPr>
            </w:pPr>
            <w:r w:rsidRPr="00397A3E">
              <w:rPr>
                <w:rFonts w:asciiTheme="minorHAnsi" w:hAnsiTheme="minorHAnsi"/>
                <w:noProof w:val="0"/>
                <w:szCs w:val="16"/>
              </w:rPr>
              <w:t xml:space="preserve">What happens when pollution is from non-point sources or when pollution is mainly associated with sources other than human? </w:t>
            </w:r>
          </w:p>
        </w:tc>
        <w:tc>
          <w:tcPr>
            <w:tcW w:w="6378" w:type="dxa"/>
            <w:vAlign w:val="top"/>
          </w:tcPr>
          <w:p w14:paraId="220CB25E" w14:textId="29B497CA" w:rsidR="00EC6AF4" w:rsidRPr="00EC6AF4" w:rsidRDefault="00171C91" w:rsidP="00EC6AF4">
            <w:pPr>
              <w:pStyle w:val="NormalWeb"/>
              <w:spacing w:before="20" w:beforeAutospacing="0" w:after="2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EC6AF4">
              <w:rPr>
                <w:rFonts w:ascii="Calibri" w:hAnsi="Calibri" w:cs="Calibri"/>
                <w:sz w:val="16"/>
                <w:szCs w:val="16"/>
              </w:rPr>
              <w:t>As noted in the major themes above</w:t>
            </w:r>
            <w:r w:rsidR="008C3F3C">
              <w:rPr>
                <w:rFonts w:ascii="Calibri" w:hAnsi="Calibri" w:cs="Calibri"/>
                <w:sz w:val="16"/>
                <w:szCs w:val="16"/>
              </w:rPr>
              <w:t xml:space="preserve"> (Section 7.1)</w:t>
            </w:r>
            <w:r w:rsidRPr="00EC6AF4">
              <w:rPr>
                <w:rFonts w:ascii="Calibri" w:hAnsi="Calibri" w:cs="Calibri"/>
                <w:sz w:val="16"/>
                <w:szCs w:val="16"/>
              </w:rPr>
              <w:t>, there was evidence</w:t>
            </w:r>
            <w:r w:rsidR="008C3F3C">
              <w:rPr>
                <w:rFonts w:ascii="Calibri" w:hAnsi="Calibri" w:cs="Calibri"/>
                <w:sz w:val="16"/>
                <w:szCs w:val="16"/>
              </w:rPr>
              <w:t xml:space="preserve"> from the studies and guidance</w:t>
            </w:r>
            <w:r w:rsidR="00556861">
              <w:rPr>
                <w:rFonts w:ascii="Calibri" w:hAnsi="Calibri" w:cs="Calibri"/>
                <w:sz w:val="16"/>
                <w:szCs w:val="16"/>
              </w:rPr>
              <w:t xml:space="preserve"> included in this review</w:t>
            </w:r>
            <w:r w:rsidR="008C3F3C">
              <w:rPr>
                <w:rFonts w:ascii="Calibri" w:hAnsi="Calibri" w:cs="Calibri"/>
                <w:sz w:val="16"/>
                <w:szCs w:val="16"/>
              </w:rPr>
              <w:t xml:space="preserve"> that indicated</w:t>
            </w:r>
            <w:r w:rsidR="001C54CF">
              <w:rPr>
                <w:rFonts w:ascii="Calibri" w:hAnsi="Calibri" w:cs="Calibri"/>
                <w:sz w:val="16"/>
                <w:szCs w:val="16"/>
              </w:rPr>
              <w:t xml:space="preserve"> </w:t>
            </w:r>
            <w:r w:rsidRPr="00EC6AF4">
              <w:rPr>
                <w:rFonts w:ascii="Calibri" w:hAnsi="Calibri" w:cs="Calibri"/>
                <w:sz w:val="16"/>
                <w:szCs w:val="16"/>
              </w:rPr>
              <w:t xml:space="preserve">a positive relationship in recreational waters between the relative contribution of human faecal matter among pollution sources and greater health impacts on users compared to animal sources. </w:t>
            </w:r>
          </w:p>
          <w:p w14:paraId="5C237353" w14:textId="77777777" w:rsidR="00EC6AF4" w:rsidRPr="00EC6AF4" w:rsidRDefault="00171C91" w:rsidP="00EC6AF4">
            <w:pPr>
              <w:pStyle w:val="NormalWeb"/>
              <w:spacing w:before="20" w:beforeAutospacing="0" w:after="2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EC6AF4">
              <w:rPr>
                <w:rFonts w:ascii="Calibri" w:hAnsi="Calibri" w:cs="Calibri"/>
                <w:sz w:val="16"/>
                <w:szCs w:val="16"/>
              </w:rPr>
              <w:t>Several studies indicated that human sewage is the greatest risk source, and viruses are the most problematic pathogen for causing GI, particularly norovirus, e.g. Gitter, Mena, et al., (2020) estimated risk of GI illness rates in swimmers in a Texas creek and use PCR and riboprinting matched to a local MST library to identify sources.  The findings indicated that the proportion of cattle/domestic animals and wildlife faecal loading had a much less substantial impact on the overall risk for a GI illness than human faecal sources.</w:t>
            </w:r>
          </w:p>
          <w:p w14:paraId="570C1350" w14:textId="1D56328B" w:rsidR="00EC6AF4" w:rsidRPr="00EC6AF4" w:rsidRDefault="00171C91" w:rsidP="00EC6AF4">
            <w:pPr>
              <w:pStyle w:val="NormalWeb"/>
              <w:spacing w:before="20" w:beforeAutospacing="0" w:after="2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EC6AF4">
              <w:rPr>
                <w:rFonts w:ascii="Calibri" w:hAnsi="Calibri" w:cs="Calibri"/>
                <w:sz w:val="16"/>
                <w:szCs w:val="16"/>
              </w:rPr>
              <w:t xml:space="preserve">A study in PPB </w:t>
            </w:r>
            <w:r w:rsidR="006F0118">
              <w:rPr>
                <w:rFonts w:ascii="Calibri" w:hAnsi="Calibri" w:cs="Calibri"/>
                <w:sz w:val="16"/>
                <w:szCs w:val="16"/>
              </w:rPr>
              <w:fldChar w:fldCharType="begin"/>
            </w:r>
            <w:r w:rsidR="006F0118">
              <w:rPr>
                <w:rFonts w:ascii="Calibri" w:hAnsi="Calibri" w:cs="Calibri"/>
                <w:sz w:val="16"/>
                <w:szCs w:val="16"/>
              </w:rPr>
              <w:instrText xml:space="preserve"> ADDIN ZOTERO_ITEM CSL_CITATION {"citationID":"YS6ZM0BE","properties":{"formattedCitation":"(Henry, Schang, et al., 2016)","plainCitation":"(Henry, Schang, et al., 2016)","noteIndex":0},"citationItems":[{"id":12475,"uris":["http://zotero.org/users/148142/items/WYMGXRTP"],"uri":["http://zotero.org/users/148142/items/WYMGXRTP"],"itemData":{"id":12475,"type":"article-journal","archive":"Scopus","container-title":"Water Research","DOI":"10.1016/j.watres.2016.02.029","page":"242-253","title":"Into the deep: Evaluation of SourceTracker for assessment of faecal contamination of coastal waters","URL":"https://www.scopus.com/inward/record.uri?eid=2-s2.0-84958973030&amp;doi=10.1016%2fj.watres.2016.02.029&amp;partnerID=40&amp;md5=857b1be61a85ed86ed706842b9f6584f","volume":"93","author":[{"family":"Henry","given":"R."},{"family":"Schang","given":"C."},{"family":"Coutts","given":"S."},{"family":"Kolotelo","given":"P."},{"family":"Prosser","given":"T."},{"family":"Crosbie","given":"N."},{"family":"Grant","given":"T."},{"family":"Cottam","given":"D."},{"family":"O'Brien","given":"P."},{"family":"Deletic","given":"A."},{"family":"McCarthy","given":"D."}],"issued":{"date-parts":[["2016"]]}}}],"schema":"https://github.com/citation-style-language/schema/raw/master/csl-citation.json"} </w:instrText>
            </w:r>
            <w:r w:rsidR="006F0118">
              <w:rPr>
                <w:rFonts w:ascii="Calibri" w:hAnsi="Calibri" w:cs="Calibri"/>
                <w:sz w:val="16"/>
                <w:szCs w:val="16"/>
              </w:rPr>
              <w:fldChar w:fldCharType="separate"/>
            </w:r>
            <w:r w:rsidR="006F0118" w:rsidRPr="006F0118">
              <w:rPr>
                <w:rFonts w:ascii="Calibri" w:hAnsi="Calibri" w:cs="Calibri"/>
                <w:sz w:val="16"/>
              </w:rPr>
              <w:t>(Henry, Schang, et al., 2016)</w:t>
            </w:r>
            <w:r w:rsidR="006F0118">
              <w:rPr>
                <w:rFonts w:ascii="Calibri" w:hAnsi="Calibri" w:cs="Calibri"/>
                <w:sz w:val="16"/>
                <w:szCs w:val="16"/>
              </w:rPr>
              <w:fldChar w:fldCharType="end"/>
            </w:r>
            <w:r w:rsidRPr="00EC6AF4">
              <w:rPr>
                <w:rFonts w:ascii="Calibri" w:hAnsi="Calibri" w:cs="Calibri"/>
                <w:sz w:val="16"/>
                <w:szCs w:val="16"/>
              </w:rPr>
              <w:t xml:space="preserve"> used microbial community 16S rRNA data from recreational beach samples combined with HTS and the statistical tool SourceTracker to show that treated effluent </w:t>
            </w:r>
            <w:r w:rsidR="00F65EDC">
              <w:rPr>
                <w:rFonts w:ascii="Calibri" w:hAnsi="Calibri" w:cs="Calibri"/>
                <w:sz w:val="16"/>
                <w:szCs w:val="16"/>
              </w:rPr>
              <w:t>w</w:t>
            </w:r>
            <w:r w:rsidRPr="00EC6AF4">
              <w:rPr>
                <w:rFonts w:ascii="Calibri" w:hAnsi="Calibri" w:cs="Calibri"/>
                <w:sz w:val="16"/>
                <w:szCs w:val="16"/>
              </w:rPr>
              <w:t xml:space="preserve">as major source of human derived faecal contamination, present in 69% of samples. Site-specific sources, such as raw sewage, stormwater and bacterial populations associated with the Yarra River estuary were also identified. </w:t>
            </w:r>
          </w:p>
          <w:p w14:paraId="054DCDF1" w14:textId="77777777" w:rsidR="00EC6AF4" w:rsidRPr="00EC6AF4" w:rsidRDefault="00171C91" w:rsidP="00EC6AF4">
            <w:pPr>
              <w:pStyle w:val="NormalWeb"/>
              <w:spacing w:before="20" w:beforeAutospacing="0" w:after="2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EC6AF4">
              <w:rPr>
                <w:rFonts w:ascii="Calibri" w:hAnsi="Calibri" w:cs="Calibri"/>
                <w:sz w:val="16"/>
                <w:szCs w:val="16"/>
              </w:rPr>
              <w:t xml:space="preserve">EPA Victoria (2021) reported that human sources identified during the sanitary survey included bather shedding (release), toilet facilities, sewage treatment plant (STP) outfalls, STP by-passes, sewage overflows, sewage chokes, and boats. </w:t>
            </w:r>
          </w:p>
          <w:p w14:paraId="70E0D69F" w14:textId="14E23CEB" w:rsidR="00EC6AF4" w:rsidRPr="00EC6AF4" w:rsidRDefault="00171C91" w:rsidP="00EC6AF4">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bCs/>
                <w:iCs/>
                <w:noProof w:val="0"/>
                <w:szCs w:val="16"/>
              </w:rPr>
            </w:pPr>
            <w:r w:rsidRPr="00EC6AF4">
              <w:rPr>
                <w:rFonts w:ascii="Calibri" w:hAnsi="Calibri" w:cs="Calibri"/>
                <w:szCs w:val="16"/>
              </w:rPr>
              <w:t>Thus the available evidence suggests that when pollution is from non-point sources or when pollution is mainly associated with sources other than human, that microbial risks to recreational users is significantly less than when it is from point sources of human waste.   A possible exception to this view may be the impact of bather shedding in high density recreational areas where there may be some confusion as whether the source is a point source or diffuse source.</w:t>
            </w:r>
          </w:p>
        </w:tc>
      </w:tr>
      <w:tr w:rsidR="00785848" w14:paraId="1A17C7CC" w14:textId="77777777" w:rsidTr="00785848">
        <w:tc>
          <w:tcPr>
            <w:cnfStyle w:val="001000000000" w:firstRow="0" w:lastRow="0" w:firstColumn="1" w:lastColumn="0" w:oddVBand="0" w:evenVBand="0" w:oddHBand="0" w:evenHBand="0" w:firstRowFirstColumn="0" w:firstRowLastColumn="0" w:lastRowFirstColumn="0" w:lastRowLastColumn="0"/>
            <w:tcW w:w="1844" w:type="dxa"/>
            <w:vAlign w:val="top"/>
          </w:tcPr>
          <w:p w14:paraId="201F4A7A" w14:textId="3FABD951" w:rsidR="00EC6AF4" w:rsidRPr="00397A3E" w:rsidRDefault="00171C91" w:rsidP="004D1FE1">
            <w:pPr>
              <w:numPr>
                <w:ilvl w:val="0"/>
                <w:numId w:val="49"/>
              </w:numPr>
              <w:spacing w:before="0" w:line="240" w:lineRule="auto"/>
              <w:ind w:left="317" w:hanging="280"/>
              <w:rPr>
                <w:rFonts w:asciiTheme="minorHAnsi" w:hAnsiTheme="minorHAnsi"/>
                <w:noProof w:val="0"/>
                <w:szCs w:val="16"/>
              </w:rPr>
            </w:pPr>
            <w:r w:rsidRPr="00397A3E">
              <w:rPr>
                <w:rFonts w:asciiTheme="minorHAnsi" w:hAnsiTheme="minorHAnsi"/>
                <w:noProof w:val="0"/>
                <w:szCs w:val="16"/>
              </w:rPr>
              <w:t xml:space="preserve">Can a new framework be developed to take into account these variations and truly reflect potential health outcomes in different settings (including in freshwaters)? </w:t>
            </w:r>
          </w:p>
        </w:tc>
        <w:tc>
          <w:tcPr>
            <w:tcW w:w="6378" w:type="dxa"/>
            <w:vAlign w:val="top"/>
          </w:tcPr>
          <w:p w14:paraId="483E7481" w14:textId="16E504D4" w:rsidR="00EC6AF4" w:rsidRPr="00EC6AF4" w:rsidRDefault="00171C91" w:rsidP="00EC6AF4">
            <w:pPr>
              <w:pStyle w:val="NormalWeb"/>
              <w:spacing w:before="20" w:beforeAutospacing="0" w:after="2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EC6AF4">
              <w:rPr>
                <w:rFonts w:ascii="Calibri" w:hAnsi="Calibri" w:cs="Calibri"/>
                <w:sz w:val="16"/>
                <w:szCs w:val="16"/>
              </w:rPr>
              <w:t xml:space="preserve">There was no evidence in the </w:t>
            </w:r>
            <w:r w:rsidR="00B94A1A">
              <w:rPr>
                <w:rFonts w:ascii="Calibri" w:hAnsi="Calibri" w:cs="Calibri"/>
                <w:sz w:val="16"/>
                <w:szCs w:val="16"/>
              </w:rPr>
              <w:t xml:space="preserve">included </w:t>
            </w:r>
            <w:r w:rsidRPr="00EC6AF4">
              <w:rPr>
                <w:rFonts w:ascii="Calibri" w:hAnsi="Calibri" w:cs="Calibri"/>
                <w:sz w:val="16"/>
                <w:szCs w:val="16"/>
              </w:rPr>
              <w:t>literature supporting major changes to existing frameworks</w:t>
            </w:r>
            <w:r w:rsidR="00A42E76">
              <w:rPr>
                <w:rFonts w:ascii="Calibri" w:hAnsi="Calibri" w:cs="Calibri"/>
                <w:sz w:val="16"/>
                <w:szCs w:val="16"/>
              </w:rPr>
              <w:t>. H</w:t>
            </w:r>
            <w:r w:rsidRPr="00EC6AF4">
              <w:rPr>
                <w:rFonts w:ascii="Calibri" w:hAnsi="Calibri" w:cs="Calibri"/>
                <w:sz w:val="16"/>
                <w:szCs w:val="16"/>
              </w:rPr>
              <w:t>owever further research opportunities were identified for MST, QMRA and standardisation of methods.  For example, US EPA (2017) concluded that sanitary surveys should continue to serve as an important tool in management of microbial risks to recreational water by characterizing waters for QMRA and site-specific criteria development, and linking with integrated environmental modelling (e.g. predictive statistical and deterministic models).</w:t>
            </w:r>
          </w:p>
          <w:p w14:paraId="1F085241" w14:textId="111D5009" w:rsidR="00EC6AF4" w:rsidRPr="00EC6AF4" w:rsidRDefault="003B7EF0" w:rsidP="00EC6AF4">
            <w:pPr>
              <w:pStyle w:val="NormalWeb"/>
              <w:spacing w:before="20" w:beforeAutospacing="0" w:after="2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Pr>
                <w:rFonts w:ascii="Calibri" w:hAnsi="Calibri" w:cs="Calibri"/>
                <w:sz w:val="16"/>
                <w:szCs w:val="16"/>
              </w:rPr>
              <w:t xml:space="preserve">When drafting a new framework the Committee could consider potentially adapting </w:t>
            </w:r>
            <w:r w:rsidR="00171C91" w:rsidRPr="00EC6AF4">
              <w:rPr>
                <w:rFonts w:ascii="Calibri" w:hAnsi="Calibri" w:cs="Calibri"/>
                <w:sz w:val="16"/>
                <w:szCs w:val="16"/>
              </w:rPr>
              <w:t xml:space="preserve"> </w:t>
            </w:r>
            <w:r>
              <w:rPr>
                <w:rFonts w:ascii="Calibri" w:hAnsi="Calibri" w:cs="Calibri"/>
                <w:sz w:val="16"/>
                <w:szCs w:val="16"/>
              </w:rPr>
              <w:t xml:space="preserve">sections of </w:t>
            </w:r>
            <w:r w:rsidR="00171C91" w:rsidRPr="00EC6AF4">
              <w:rPr>
                <w:rFonts w:ascii="Calibri" w:hAnsi="Calibri" w:cs="Calibri"/>
                <w:sz w:val="16"/>
                <w:szCs w:val="16"/>
              </w:rPr>
              <w:t xml:space="preserve">guidance </w:t>
            </w:r>
            <w:r>
              <w:rPr>
                <w:rFonts w:ascii="Calibri" w:hAnsi="Calibri" w:cs="Calibri"/>
                <w:sz w:val="16"/>
                <w:szCs w:val="16"/>
              </w:rPr>
              <w:t>from</w:t>
            </w:r>
            <w:r w:rsidR="00171C91" w:rsidRPr="00EC6AF4">
              <w:rPr>
                <w:rFonts w:ascii="Calibri" w:hAnsi="Calibri" w:cs="Calibri"/>
                <w:sz w:val="16"/>
                <w:szCs w:val="16"/>
              </w:rPr>
              <w:t xml:space="preserve"> the recently published NSW DPIE Protocol for assessment and management of microbial risks in recreational waters</w:t>
            </w:r>
            <w:r w:rsidR="006F0118">
              <w:rPr>
                <w:rFonts w:ascii="Calibri" w:hAnsi="Calibri" w:cs="Calibri"/>
                <w:sz w:val="16"/>
                <w:szCs w:val="16"/>
              </w:rPr>
              <w:t xml:space="preserve"> </w:t>
            </w:r>
            <w:r w:rsidR="006F0118">
              <w:rPr>
                <w:rFonts w:ascii="Calibri" w:hAnsi="Calibri" w:cs="Calibri"/>
                <w:sz w:val="16"/>
                <w:szCs w:val="16"/>
              </w:rPr>
              <w:fldChar w:fldCharType="begin"/>
            </w:r>
            <w:r w:rsidR="006F0118">
              <w:rPr>
                <w:rFonts w:ascii="Calibri" w:hAnsi="Calibri" w:cs="Calibri"/>
                <w:sz w:val="16"/>
                <w:szCs w:val="16"/>
              </w:rPr>
              <w:instrText xml:space="preserve"> ADDIN ZOTERO_ITEM CSL_CITATION {"citationID":"y8ei1Vng","properties":{"formattedCitation":"(NSW DPIE, 2020)","plainCitation":"(NSW DPIE, 2020)","noteIndex":0},"citationItems":[{"id":16395,"uris":["http://zotero.org/users/148142/items/22QWBZGS"],"uri":["http://zotero.org/users/148142/items/22QWBZGS"],"itemData":{"id":16395,"type":"report","page":"88","title":"Protocol for Assessment and Management of Microbial Risks in Recreational Waters. NSW Department of Planning, Industry &amp; Environment","URL":"https://www.environment.nsw.gov.au/research-and-publications/publications-search/protocol-for-assessment-and-management-of-microbial-risks-in-recreational-waters.","author":[{"literal":"NSW DPIE"}],"issued":{"date-parts":[["2020"]]}}}],"schema":"https://github.com/citation-style-language/schema/raw/master/csl-citation.json"} </w:instrText>
            </w:r>
            <w:r w:rsidR="006F0118">
              <w:rPr>
                <w:rFonts w:ascii="Calibri" w:hAnsi="Calibri" w:cs="Calibri"/>
                <w:sz w:val="16"/>
                <w:szCs w:val="16"/>
              </w:rPr>
              <w:fldChar w:fldCharType="separate"/>
            </w:r>
            <w:r w:rsidR="006F0118" w:rsidRPr="006F0118">
              <w:rPr>
                <w:rFonts w:ascii="Calibri" w:hAnsi="Calibri" w:cs="Calibri"/>
                <w:sz w:val="16"/>
              </w:rPr>
              <w:t>(NSW DPIE, 2020)</w:t>
            </w:r>
            <w:r w:rsidR="006F0118">
              <w:rPr>
                <w:rFonts w:ascii="Calibri" w:hAnsi="Calibri" w:cs="Calibri"/>
                <w:sz w:val="16"/>
                <w:szCs w:val="16"/>
              </w:rPr>
              <w:fldChar w:fldCharType="end"/>
            </w:r>
            <w:r w:rsidR="00171C91" w:rsidRPr="00EC6AF4">
              <w:rPr>
                <w:rFonts w:ascii="Calibri" w:hAnsi="Calibri" w:cs="Calibri"/>
                <w:sz w:val="16"/>
                <w:szCs w:val="16"/>
              </w:rPr>
              <w:t>.  The protocol is closely aligned with and builds on the</w:t>
            </w:r>
            <w:r w:rsidR="004D3543">
              <w:rPr>
                <w:rFonts w:ascii="Calibri" w:hAnsi="Calibri" w:cs="Calibri"/>
                <w:sz w:val="16"/>
                <w:szCs w:val="16"/>
              </w:rPr>
              <w:t xml:space="preserve"> 2008</w:t>
            </w:r>
            <w:r w:rsidR="00171C91" w:rsidRPr="00EC6AF4">
              <w:rPr>
                <w:rFonts w:ascii="Calibri" w:hAnsi="Calibri" w:cs="Calibri"/>
                <w:sz w:val="16"/>
                <w:szCs w:val="16"/>
              </w:rPr>
              <w:t xml:space="preserve"> NHMRC Guidelines and describes an improved framework for managing microbial risks in recreational water with the most innovative components being methods for:</w:t>
            </w:r>
          </w:p>
          <w:p w14:paraId="1D4855D7" w14:textId="77777777" w:rsidR="00EC6AF4" w:rsidRPr="00EC6AF4" w:rsidRDefault="00171C91" w:rsidP="00764500">
            <w:pPr>
              <w:pStyle w:val="ListParagraph"/>
              <w:numPr>
                <w:ilvl w:val="0"/>
                <w:numId w:val="52"/>
              </w:numPr>
              <w:spacing w:before="20" w:after="20" w:line="240" w:lineRule="auto"/>
              <w:contextualSpacing/>
              <w:textAlignment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EC6AF4">
              <w:rPr>
                <w:rFonts w:ascii="Calibri" w:hAnsi="Calibri" w:cs="Calibri"/>
                <w:szCs w:val="16"/>
              </w:rPr>
              <w:t>Selection of sites for assessment</w:t>
            </w:r>
          </w:p>
          <w:p w14:paraId="7B11E4DB" w14:textId="77777777" w:rsidR="00EC6AF4" w:rsidRPr="00EC6AF4" w:rsidRDefault="00171C91" w:rsidP="00764500">
            <w:pPr>
              <w:pStyle w:val="ListParagraph"/>
              <w:numPr>
                <w:ilvl w:val="0"/>
                <w:numId w:val="52"/>
              </w:numPr>
              <w:spacing w:before="20" w:after="20" w:line="240" w:lineRule="auto"/>
              <w:contextualSpacing/>
              <w:textAlignment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EC6AF4">
              <w:rPr>
                <w:rFonts w:ascii="Calibri" w:hAnsi="Calibri" w:cs="Calibri"/>
                <w:szCs w:val="16"/>
              </w:rPr>
              <w:t>Sanitary inspections</w:t>
            </w:r>
          </w:p>
          <w:p w14:paraId="788597E5" w14:textId="77777777" w:rsidR="00EC6AF4" w:rsidRPr="00EC6AF4" w:rsidRDefault="00171C91" w:rsidP="00764500">
            <w:pPr>
              <w:pStyle w:val="ListParagraph"/>
              <w:numPr>
                <w:ilvl w:val="0"/>
                <w:numId w:val="52"/>
              </w:numPr>
              <w:spacing w:before="20" w:after="20" w:line="240" w:lineRule="auto"/>
              <w:contextualSpacing/>
              <w:textAlignment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EC6AF4">
              <w:rPr>
                <w:rFonts w:ascii="Calibri" w:hAnsi="Calibri" w:cs="Calibri"/>
                <w:szCs w:val="16"/>
              </w:rPr>
              <w:t xml:space="preserve">Microbial water quality monitoring </w:t>
            </w:r>
          </w:p>
          <w:p w14:paraId="38213396" w14:textId="77777777" w:rsidR="00EC6AF4" w:rsidRPr="00EC6AF4" w:rsidRDefault="00171C91" w:rsidP="00764500">
            <w:pPr>
              <w:pStyle w:val="ListParagraph"/>
              <w:numPr>
                <w:ilvl w:val="0"/>
                <w:numId w:val="52"/>
              </w:numPr>
              <w:spacing w:before="20" w:after="20" w:line="240" w:lineRule="auto"/>
              <w:contextualSpacing/>
              <w:textAlignment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EC6AF4">
              <w:rPr>
                <w:rFonts w:ascii="Calibri" w:hAnsi="Calibri" w:cs="Calibri"/>
                <w:szCs w:val="16"/>
              </w:rPr>
              <w:t xml:space="preserve">Microbial assessment and beach classification </w:t>
            </w:r>
          </w:p>
          <w:p w14:paraId="6CC4E405" w14:textId="77777777" w:rsidR="00EC6AF4" w:rsidRPr="00EC6AF4" w:rsidRDefault="00171C91" w:rsidP="00764500">
            <w:pPr>
              <w:pStyle w:val="ListParagraph"/>
              <w:numPr>
                <w:ilvl w:val="0"/>
                <w:numId w:val="52"/>
              </w:numPr>
              <w:spacing w:before="20" w:after="20" w:line="240" w:lineRule="auto"/>
              <w:contextualSpacing/>
              <w:textAlignment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EC6AF4">
              <w:rPr>
                <w:rFonts w:ascii="Calibri" w:hAnsi="Calibri" w:cs="Calibri"/>
                <w:szCs w:val="16"/>
              </w:rPr>
              <w:t xml:space="preserve">Reporting </w:t>
            </w:r>
          </w:p>
          <w:p w14:paraId="586C8E8C" w14:textId="77777777" w:rsidR="00EC6AF4" w:rsidRPr="00EC6AF4" w:rsidRDefault="00171C91" w:rsidP="00EC6AF4">
            <w:pPr>
              <w:pStyle w:val="NormalWeb"/>
              <w:spacing w:before="20" w:beforeAutospacing="0" w:after="2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EC6AF4">
              <w:rPr>
                <w:rFonts w:ascii="Calibri" w:hAnsi="Calibri" w:cs="Calibri"/>
                <w:sz w:val="16"/>
                <w:szCs w:val="16"/>
              </w:rPr>
              <w:t>Important elements of the protocol that could support framework improvements are:</w:t>
            </w:r>
          </w:p>
          <w:p w14:paraId="57A57F14" w14:textId="77777777" w:rsidR="00EC6AF4" w:rsidRPr="00EC6AF4" w:rsidRDefault="00171C91" w:rsidP="00764500">
            <w:pPr>
              <w:pStyle w:val="ListParagraph"/>
              <w:numPr>
                <w:ilvl w:val="0"/>
                <w:numId w:val="52"/>
              </w:numPr>
              <w:spacing w:before="20" w:after="20" w:line="240" w:lineRule="auto"/>
              <w:contextualSpacing/>
              <w:textAlignment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EC6AF4">
              <w:rPr>
                <w:rFonts w:ascii="Calibri" w:hAnsi="Calibri" w:cs="Calibri"/>
                <w:szCs w:val="16"/>
              </w:rPr>
              <w:t xml:space="preserve">The inclusion of an initial site prioritisation step which prioritises beaches to provide a basis for determining resource allocation.  </w:t>
            </w:r>
          </w:p>
          <w:p w14:paraId="03090387" w14:textId="77777777" w:rsidR="00EC6AF4" w:rsidRPr="00EC6AF4" w:rsidRDefault="00171C91" w:rsidP="00764500">
            <w:pPr>
              <w:pStyle w:val="ListParagraph"/>
              <w:numPr>
                <w:ilvl w:val="0"/>
                <w:numId w:val="52"/>
              </w:numPr>
              <w:spacing w:before="20" w:after="20" w:line="240" w:lineRule="auto"/>
              <w:contextualSpacing/>
              <w:textAlignment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EC6AF4">
              <w:rPr>
                <w:rFonts w:ascii="Calibri" w:hAnsi="Calibri" w:cs="Calibri"/>
                <w:szCs w:val="16"/>
              </w:rPr>
              <w:t>A detailed Sanitary Inspection process with 5 steps;</w:t>
            </w:r>
          </w:p>
          <w:p w14:paraId="0BD8FCAE" w14:textId="77777777" w:rsidR="00EC6AF4" w:rsidRPr="00EC6AF4" w:rsidRDefault="00171C91" w:rsidP="00764500">
            <w:pPr>
              <w:pStyle w:val="ListParagraph"/>
              <w:numPr>
                <w:ilvl w:val="0"/>
                <w:numId w:val="52"/>
              </w:numPr>
              <w:spacing w:before="20" w:after="20" w:line="240" w:lineRule="auto"/>
              <w:contextualSpacing/>
              <w:textAlignment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EC6AF4">
              <w:rPr>
                <w:rFonts w:ascii="Calibri" w:hAnsi="Calibri" w:cs="Calibri"/>
                <w:szCs w:val="16"/>
              </w:rPr>
              <w:t>A microbial water quality monitoring program with specific guidance for sampling design and documentation, quality control aspects including sampling procedures, lab methods and accreditation, data management and work health and safety.</w:t>
            </w:r>
          </w:p>
          <w:p w14:paraId="1E626041" w14:textId="77777777" w:rsidR="00EC6AF4" w:rsidRPr="00EC6AF4" w:rsidRDefault="00171C91" w:rsidP="00764500">
            <w:pPr>
              <w:pStyle w:val="ListParagraph"/>
              <w:numPr>
                <w:ilvl w:val="0"/>
                <w:numId w:val="52"/>
              </w:numPr>
              <w:spacing w:before="20" w:after="20" w:line="240" w:lineRule="auto"/>
              <w:contextualSpacing/>
              <w:textAlignment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EC6AF4">
              <w:rPr>
                <w:rFonts w:ascii="Calibri" w:hAnsi="Calibri" w:cs="Calibri"/>
                <w:szCs w:val="16"/>
              </w:rPr>
              <w:t>A microbial assessment and beach classification program which describes the methodology for determining beach suitability grades</w:t>
            </w:r>
          </w:p>
          <w:p w14:paraId="3F135B32" w14:textId="77777777" w:rsidR="00EC6AF4" w:rsidRPr="00EC6AF4" w:rsidRDefault="00171C91" w:rsidP="00764500">
            <w:pPr>
              <w:pStyle w:val="ListParagraph"/>
              <w:numPr>
                <w:ilvl w:val="0"/>
                <w:numId w:val="52"/>
              </w:numPr>
              <w:spacing w:before="20" w:after="20" w:line="240" w:lineRule="auto"/>
              <w:contextualSpacing/>
              <w:textAlignment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EC6AF4">
              <w:rPr>
                <w:rFonts w:ascii="Calibri" w:hAnsi="Calibri" w:cs="Calibri"/>
                <w:szCs w:val="16"/>
              </w:rPr>
              <w:t xml:space="preserve">Reporting of: Annual Classifications, Weekly Star Ratings, Advisories following rainfall events, daily beach pollution forecasts, communication planning and methods of communication. </w:t>
            </w:r>
          </w:p>
          <w:p w14:paraId="649E6398" w14:textId="77777777" w:rsidR="00EC6AF4" w:rsidRPr="00EC6AF4" w:rsidRDefault="00171C91" w:rsidP="00764500">
            <w:pPr>
              <w:pStyle w:val="ListParagraph"/>
              <w:numPr>
                <w:ilvl w:val="0"/>
                <w:numId w:val="52"/>
              </w:numPr>
              <w:spacing w:before="20" w:after="20" w:line="240" w:lineRule="auto"/>
              <w:contextualSpacing/>
              <w:textAlignment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EC6AF4">
              <w:rPr>
                <w:rFonts w:ascii="Calibri" w:hAnsi="Calibri" w:cs="Calibri"/>
                <w:szCs w:val="16"/>
              </w:rPr>
              <w:t>Appendices with high quality templates for data collection and reporting for such items as: Sanitary inspection major attributes (e.g. pollutions sources), and water quality sample log sheets.</w:t>
            </w:r>
          </w:p>
          <w:p w14:paraId="2B5F98E2" w14:textId="77777777" w:rsidR="00EC6AF4" w:rsidRPr="00EC6AF4" w:rsidRDefault="00171C91" w:rsidP="00EC6AF4">
            <w:pPr>
              <w:pStyle w:val="NormalWeb"/>
              <w:spacing w:before="20" w:beforeAutospacing="0" w:after="2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EC6AF4">
              <w:rPr>
                <w:rFonts w:ascii="Calibri" w:hAnsi="Calibri" w:cs="Calibri"/>
                <w:sz w:val="16"/>
                <w:szCs w:val="16"/>
              </w:rPr>
              <w:t xml:space="preserve">A further noteworthy innovative aspect of the Protocol is the inclusion of methods for assessing and scoring likelihoods of contamination from a wide variety of pollution sources. Templates for scoring are also provided in the appendices.  Part 7 of the 7-part management framework also lists helpful generic management actions to reduce the microbial risks to recreational water quality.  </w:t>
            </w:r>
          </w:p>
          <w:p w14:paraId="0D78E7B4" w14:textId="77777777" w:rsidR="00EC6AF4" w:rsidRPr="00EC6AF4" w:rsidRDefault="00171C91" w:rsidP="00EC6AF4">
            <w:pPr>
              <w:pStyle w:val="NormalWeb"/>
              <w:spacing w:before="20" w:beforeAutospacing="0" w:after="2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EC6AF4">
              <w:rPr>
                <w:rFonts w:ascii="Calibri" w:hAnsi="Calibri" w:cs="Calibri"/>
                <w:sz w:val="16"/>
                <w:szCs w:val="16"/>
              </w:rPr>
              <w:t>The study by Kelly, Feng, et al., (2018) utilised a large data set of FIB monitoring from Florida, USA, beaches plus a large survey of regional beach management agency offices identified the beach geomorphology attributes and beach management practices that support compliance with regulatory standards.  For example risk factors including beach management practices are identified that are associated with increased FIB concentrations (e.g. animals such as dogs and birds, humans, availability of amenities, beach aspect and type (open ocean vs marshy areas), and beach grooming methods (disturbance of heavy wrack can increase FIB).  Conversely low enterococci exceedances were associated with open coast beaches that have sparse human densities, no homeless populations, low densities of dogs and birds, bird management policies, low densities of seaweed, beach renourishment, charge access fees, employ lifeguards, without nearby marinas, and those that manage stormwater.</w:t>
            </w:r>
          </w:p>
          <w:p w14:paraId="725D9072" w14:textId="77777777" w:rsidR="00EC6AF4" w:rsidRPr="00EC6AF4" w:rsidRDefault="00171C91" w:rsidP="00EC6AF4">
            <w:pPr>
              <w:pStyle w:val="NormalWeb"/>
              <w:spacing w:before="20" w:beforeAutospacing="0" w:after="2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EC6AF4">
              <w:rPr>
                <w:rFonts w:ascii="Calibri" w:hAnsi="Calibri" w:cs="Calibri"/>
                <w:sz w:val="16"/>
                <w:szCs w:val="16"/>
              </w:rPr>
              <w:t>Whilst none of the above findings are surprising they act to reinforce our understanding of microbial risks and can be used to support improved guidance information for risk management of recreational beaches.</w:t>
            </w:r>
          </w:p>
          <w:p w14:paraId="6B78F339" w14:textId="2C9430D4" w:rsidR="00EC6AF4" w:rsidRPr="00EC6AF4" w:rsidRDefault="00171C91" w:rsidP="00EC6AF4">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bCs/>
                <w:iCs/>
                <w:noProof w:val="0"/>
                <w:szCs w:val="16"/>
              </w:rPr>
            </w:pPr>
            <w:r w:rsidRPr="00EC6AF4">
              <w:rPr>
                <w:rFonts w:ascii="Calibri" w:hAnsi="Calibri" w:cs="Calibri"/>
                <w:szCs w:val="16"/>
              </w:rPr>
              <w:t>Many of the above factors can also be applied to estuarine or freshwater settings, with the exception of those only present in marine settings.</w:t>
            </w:r>
          </w:p>
        </w:tc>
      </w:tr>
      <w:tr w:rsidR="00785848" w14:paraId="2B03FD37" w14:textId="77777777" w:rsidTr="00785848">
        <w:tc>
          <w:tcPr>
            <w:cnfStyle w:val="001000000000" w:firstRow="0" w:lastRow="0" w:firstColumn="1" w:lastColumn="0" w:oddVBand="0" w:evenVBand="0" w:oddHBand="0" w:evenHBand="0" w:firstRowFirstColumn="0" w:firstRowLastColumn="0" w:lastRowFirstColumn="0" w:lastRowLastColumn="0"/>
            <w:tcW w:w="1844" w:type="dxa"/>
            <w:vAlign w:val="top"/>
          </w:tcPr>
          <w:p w14:paraId="266F11C8" w14:textId="05FB6B23" w:rsidR="00EC6AF4" w:rsidRPr="00397A3E" w:rsidRDefault="00171C91" w:rsidP="004D1FE1">
            <w:pPr>
              <w:numPr>
                <w:ilvl w:val="0"/>
                <w:numId w:val="49"/>
              </w:numPr>
              <w:spacing w:before="0" w:line="240" w:lineRule="auto"/>
              <w:ind w:left="317" w:hanging="280"/>
              <w:rPr>
                <w:rFonts w:asciiTheme="minorHAnsi" w:hAnsiTheme="minorHAnsi"/>
                <w:noProof w:val="0"/>
                <w:szCs w:val="16"/>
              </w:rPr>
            </w:pPr>
            <w:r w:rsidRPr="00397A3E">
              <w:rPr>
                <w:rFonts w:asciiTheme="minorHAnsi" w:hAnsiTheme="minorHAnsi"/>
                <w:noProof w:val="0"/>
                <w:szCs w:val="16"/>
              </w:rPr>
              <w:t xml:space="preserve">Can the previous values be retained as default values in absence of a risk assessment process? </w:t>
            </w:r>
          </w:p>
        </w:tc>
        <w:tc>
          <w:tcPr>
            <w:tcW w:w="6378" w:type="dxa"/>
            <w:vAlign w:val="top"/>
          </w:tcPr>
          <w:p w14:paraId="7E207EBB" w14:textId="1DE718F3" w:rsidR="00EC6AF4" w:rsidRPr="00EC6AF4" w:rsidRDefault="00171C91" w:rsidP="00EC6AF4">
            <w:pPr>
              <w:pStyle w:val="NormalWeb"/>
              <w:spacing w:before="20" w:beforeAutospacing="0" w:after="2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EC6AF4">
              <w:rPr>
                <w:rFonts w:ascii="Calibri" w:hAnsi="Calibri" w:cs="Calibri"/>
                <w:sz w:val="16"/>
                <w:szCs w:val="16"/>
              </w:rPr>
              <w:t xml:space="preserve">No evidence was identified to suggest change is necessary on the existing guidance on single-sample water quality triggers for short-term water quality assessment. However, US EPA </w:t>
            </w:r>
            <w:r w:rsidR="006F0118">
              <w:rPr>
                <w:rFonts w:ascii="Calibri" w:hAnsi="Calibri" w:cs="Calibri"/>
                <w:sz w:val="16"/>
                <w:szCs w:val="16"/>
              </w:rPr>
              <w:t>(</w:t>
            </w:r>
            <w:r w:rsidRPr="00EC6AF4">
              <w:rPr>
                <w:rFonts w:ascii="Calibri" w:hAnsi="Calibri" w:cs="Calibri"/>
                <w:sz w:val="16"/>
                <w:szCs w:val="16"/>
              </w:rPr>
              <w:t>2017</w:t>
            </w:r>
            <w:r w:rsidR="006F0118">
              <w:rPr>
                <w:rFonts w:ascii="Calibri" w:hAnsi="Calibri" w:cs="Calibri"/>
                <w:sz w:val="16"/>
                <w:szCs w:val="16"/>
              </w:rPr>
              <w:t>)</w:t>
            </w:r>
            <w:r w:rsidRPr="00EC6AF4">
              <w:rPr>
                <w:rFonts w:ascii="Calibri" w:hAnsi="Calibri" w:cs="Calibri"/>
                <w:sz w:val="16"/>
                <w:szCs w:val="16"/>
              </w:rPr>
              <w:t xml:space="preserve"> noted that </w:t>
            </w:r>
            <w:r w:rsidRPr="00EC6AF4">
              <w:rPr>
                <w:rFonts w:ascii="Calibri" w:hAnsi="Calibri" w:cs="Calibri"/>
                <w:i/>
                <w:iCs/>
                <w:sz w:val="16"/>
                <w:szCs w:val="16"/>
              </w:rPr>
              <w:t>Enterococcus</w:t>
            </w:r>
            <w:r w:rsidRPr="00EC6AF4">
              <w:rPr>
                <w:rFonts w:ascii="Calibri" w:hAnsi="Calibri" w:cs="Calibri"/>
                <w:sz w:val="16"/>
                <w:szCs w:val="16"/>
              </w:rPr>
              <w:t xml:space="preserve"> spp. measured by qPCR is a better predictor of swimming-associated GI illness and more timely than current culturable bacterial indicators.  Furthermore, although observations show that development and use of alternative faecal indicators is a rich and evolving field, US EPA considered that no strong case was made for changing the indicators currently.</w:t>
            </w:r>
          </w:p>
          <w:p w14:paraId="0E09DA2F" w14:textId="3FAABD4D" w:rsidR="00EC6AF4" w:rsidRPr="00EC6AF4" w:rsidRDefault="00171C91" w:rsidP="00EC6AF4">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bCs/>
                <w:iCs/>
                <w:noProof w:val="0"/>
                <w:szCs w:val="16"/>
              </w:rPr>
            </w:pPr>
            <w:r w:rsidRPr="00EC6AF4">
              <w:rPr>
                <w:rFonts w:ascii="Calibri" w:hAnsi="Calibri" w:cs="Calibri"/>
                <w:szCs w:val="16"/>
              </w:rPr>
              <w:t>However, US EPA did suggest that development and use of viral indicators, such as coliphage, may yield advances in public health protection, since evidence strongly suggests most illnesses in recreational waters are due to enteric viruses.  US EPA concluded that despite their contribution to improved beach monitoring programs, opportunities remain for further refinement of qPCR methodologies.  On a related theme, WHO 2018  concluded that current evidence does not support the inclusion of a viral indicator (or viral pathogen) as a regulatory parameter within EU Bathing Water Directive.</w:t>
            </w:r>
          </w:p>
        </w:tc>
      </w:tr>
      <w:tr w:rsidR="00785848" w14:paraId="0F4D5535" w14:textId="77777777" w:rsidTr="00785848">
        <w:tc>
          <w:tcPr>
            <w:cnfStyle w:val="001000000000" w:firstRow="0" w:lastRow="0" w:firstColumn="1" w:lastColumn="0" w:oddVBand="0" w:evenVBand="0" w:oddHBand="0" w:evenHBand="0" w:firstRowFirstColumn="0" w:firstRowLastColumn="0" w:lastRowFirstColumn="0" w:lastRowLastColumn="0"/>
            <w:tcW w:w="1844" w:type="dxa"/>
            <w:vAlign w:val="top"/>
          </w:tcPr>
          <w:p w14:paraId="3453840E" w14:textId="2A85AFFA" w:rsidR="00EC6AF4" w:rsidRPr="00397A3E" w:rsidRDefault="00171C91" w:rsidP="004D1FE1">
            <w:pPr>
              <w:numPr>
                <w:ilvl w:val="0"/>
                <w:numId w:val="49"/>
              </w:numPr>
              <w:spacing w:before="0" w:line="240" w:lineRule="auto"/>
              <w:ind w:left="317" w:hanging="280"/>
              <w:rPr>
                <w:rFonts w:asciiTheme="minorHAnsi" w:hAnsiTheme="minorHAnsi"/>
                <w:noProof w:val="0"/>
                <w:szCs w:val="16"/>
              </w:rPr>
            </w:pPr>
            <w:r w:rsidRPr="00397A3E">
              <w:rPr>
                <w:rFonts w:asciiTheme="minorHAnsi" w:hAnsiTheme="minorHAnsi"/>
                <w:noProof w:val="0"/>
                <w:szCs w:val="16"/>
              </w:rPr>
              <w:t xml:space="preserve">Can source tracking be a part </w:t>
            </w:r>
            <w:r w:rsidR="00A42E76">
              <w:rPr>
                <w:rFonts w:asciiTheme="minorHAnsi" w:hAnsiTheme="minorHAnsi"/>
                <w:noProof w:val="0"/>
                <w:szCs w:val="16"/>
              </w:rPr>
              <w:t xml:space="preserve">of </w:t>
            </w:r>
            <w:r w:rsidRPr="00397A3E">
              <w:rPr>
                <w:rFonts w:asciiTheme="minorHAnsi" w:hAnsiTheme="minorHAnsi"/>
                <w:noProof w:val="0"/>
                <w:szCs w:val="16"/>
              </w:rPr>
              <w:t>this framework in identifying sources of contamination?</w:t>
            </w:r>
          </w:p>
        </w:tc>
        <w:tc>
          <w:tcPr>
            <w:tcW w:w="6378" w:type="dxa"/>
            <w:vAlign w:val="top"/>
          </w:tcPr>
          <w:p w14:paraId="1E4EA4E0" w14:textId="05AA1DFF" w:rsidR="00EC6AF4" w:rsidRPr="00EC6AF4" w:rsidRDefault="00A42E76" w:rsidP="00EC6AF4">
            <w:pPr>
              <w:pStyle w:val="NormalWeb"/>
              <w:spacing w:before="20" w:beforeAutospacing="0" w:after="2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Pr>
                <w:rFonts w:ascii="Calibri" w:hAnsi="Calibri" w:cs="Calibri"/>
                <w:sz w:val="16"/>
                <w:szCs w:val="16"/>
              </w:rPr>
              <w:t xml:space="preserve">There was limited evidence identified to suggest source tracking should or should not be used in microbial risk assessment frameworks. </w:t>
            </w:r>
            <w:r w:rsidR="00171C91" w:rsidRPr="00EC6AF4">
              <w:rPr>
                <w:rFonts w:ascii="Calibri" w:hAnsi="Calibri" w:cs="Calibri"/>
                <w:sz w:val="16"/>
                <w:szCs w:val="16"/>
              </w:rPr>
              <w:t>WHO</w:t>
            </w:r>
            <w:r>
              <w:rPr>
                <w:rFonts w:ascii="Calibri" w:hAnsi="Calibri" w:cs="Calibri"/>
                <w:sz w:val="16"/>
                <w:szCs w:val="16"/>
              </w:rPr>
              <w:t xml:space="preserve"> (2018)</w:t>
            </w:r>
            <w:r w:rsidR="00171C91" w:rsidRPr="00EC6AF4">
              <w:rPr>
                <w:rFonts w:ascii="Calibri" w:hAnsi="Calibri" w:cs="Calibri"/>
                <w:sz w:val="16"/>
                <w:szCs w:val="16"/>
              </w:rPr>
              <w:t xml:space="preserve"> states that while the concept behind source tracking is conceptually clear, the application of techniques and interpretation of results is a work in progress.  WHO notes that such quantification currently relies on a number of assumptions which often are not fully met or are untested. </w:t>
            </w:r>
          </w:p>
          <w:p w14:paraId="4A17F207" w14:textId="4E8FFC89" w:rsidR="00EC6AF4" w:rsidRPr="00EC6AF4" w:rsidRDefault="00171C91" w:rsidP="00EC6AF4">
            <w:pPr>
              <w:pStyle w:val="NormalWeb"/>
              <w:spacing w:before="20" w:beforeAutospacing="0" w:after="2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EC6AF4">
              <w:rPr>
                <w:rFonts w:ascii="Calibri" w:hAnsi="Calibri" w:cs="Calibri"/>
                <w:sz w:val="16"/>
                <w:szCs w:val="16"/>
              </w:rPr>
              <w:t xml:space="preserve">Notwithstanding the caveats on the use of MST identified by WHO, a number of MST studies were evaluated and included as part of this narrative review. With the exception of the study by Gitter, Mena, et al., (2020), the studies were characterised by methodological complexities, excessive detail and </w:t>
            </w:r>
            <w:r w:rsidR="00F7634B">
              <w:rPr>
                <w:rFonts w:ascii="Calibri" w:hAnsi="Calibri" w:cs="Calibri"/>
                <w:sz w:val="16"/>
                <w:szCs w:val="16"/>
              </w:rPr>
              <w:t>limitations regarding the</w:t>
            </w:r>
            <w:r w:rsidRPr="00EC6AF4">
              <w:rPr>
                <w:rFonts w:ascii="Calibri" w:hAnsi="Calibri" w:cs="Calibri"/>
                <w:sz w:val="16"/>
                <w:szCs w:val="16"/>
              </w:rPr>
              <w:t xml:space="preserve"> interpretation of results particularly with the statistical analysis.  Such outcomes possibly stem from the crossover of disciplines between laboratory-focussed genetic analyses and environmentally-focused field sampling and public health regulatory frameworks. </w:t>
            </w:r>
          </w:p>
          <w:p w14:paraId="08430CC3" w14:textId="049C5A5B" w:rsidR="00EC6AF4" w:rsidRPr="00EC6AF4" w:rsidRDefault="00171C91" w:rsidP="00EC6AF4">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bCs/>
                <w:iCs/>
                <w:noProof w:val="0"/>
                <w:szCs w:val="16"/>
              </w:rPr>
            </w:pPr>
            <w:r w:rsidRPr="00EC6AF4">
              <w:rPr>
                <w:rFonts w:ascii="Calibri" w:hAnsi="Calibri" w:cs="Calibri"/>
                <w:szCs w:val="16"/>
              </w:rPr>
              <w:t>Drawing on the above observations on MST studies as well as those by WHO it is apparent that some level of standardisation of methods is required to assist in the incorporation of MST methods within</w:t>
            </w:r>
            <w:r w:rsidR="004D3543">
              <w:rPr>
                <w:rFonts w:ascii="Calibri" w:hAnsi="Calibri" w:cs="Calibri"/>
                <w:szCs w:val="16"/>
              </w:rPr>
              <w:t xml:space="preserve"> the</w:t>
            </w:r>
            <w:r w:rsidRPr="00EC6AF4">
              <w:rPr>
                <w:rFonts w:ascii="Calibri" w:hAnsi="Calibri" w:cs="Calibri"/>
                <w:szCs w:val="16"/>
              </w:rPr>
              <w:t xml:space="preserve"> NHMRC framework for managing microbial risks in recreational waters.</w:t>
            </w:r>
          </w:p>
        </w:tc>
      </w:tr>
    </w:tbl>
    <w:p w14:paraId="5028A3D3" w14:textId="77777777" w:rsidR="00D91251" w:rsidRPr="00397A3E" w:rsidRDefault="00D91251" w:rsidP="00D91251">
      <w:pPr>
        <w:rPr>
          <w:noProof w:val="0"/>
        </w:rPr>
      </w:pPr>
    </w:p>
    <w:p w14:paraId="1EAC0CCB" w14:textId="3709F5EC" w:rsidR="00E5124B" w:rsidRPr="00397A3E" w:rsidRDefault="00171C91" w:rsidP="00811F33">
      <w:pPr>
        <w:pStyle w:val="Heading2"/>
        <w:rPr>
          <w:noProof w:val="0"/>
        </w:rPr>
      </w:pPr>
      <w:bookmarkStart w:id="422" w:name="_Toc106964851"/>
      <w:bookmarkStart w:id="423" w:name="_Hlk72507594"/>
      <w:r w:rsidRPr="00397A3E">
        <w:rPr>
          <w:noProof w:val="0"/>
        </w:rPr>
        <w:t>Conclu</w:t>
      </w:r>
      <w:r w:rsidR="008E2059">
        <w:rPr>
          <w:noProof w:val="0"/>
        </w:rPr>
        <w:t>ding comments</w:t>
      </w:r>
      <w:bookmarkEnd w:id="422"/>
    </w:p>
    <w:p w14:paraId="5351AC1B" w14:textId="6CC6DDF9" w:rsidR="004E600B" w:rsidRPr="00F5003A" w:rsidRDefault="00171C91" w:rsidP="00E5124B">
      <w:pPr>
        <w:rPr>
          <w:noProof w:val="0"/>
        </w:rPr>
      </w:pPr>
      <w:r w:rsidRPr="00F5003A">
        <w:rPr>
          <w:noProof w:val="0"/>
        </w:rPr>
        <w:t xml:space="preserve">An evaluation of </w:t>
      </w:r>
      <w:r w:rsidR="00787A0F" w:rsidRPr="00F5003A">
        <w:rPr>
          <w:noProof w:val="0"/>
        </w:rPr>
        <w:t xml:space="preserve">evidence </w:t>
      </w:r>
      <w:r w:rsidRPr="00F5003A">
        <w:rPr>
          <w:noProof w:val="0"/>
        </w:rPr>
        <w:t>contained in</w:t>
      </w:r>
      <w:r w:rsidR="00787A0F" w:rsidRPr="00F5003A">
        <w:rPr>
          <w:noProof w:val="0"/>
        </w:rPr>
        <w:t xml:space="preserve"> </w:t>
      </w:r>
      <w:r w:rsidR="003E2735" w:rsidRPr="00F5003A">
        <w:rPr>
          <w:noProof w:val="0"/>
        </w:rPr>
        <w:t>six</w:t>
      </w:r>
      <w:r w:rsidR="00787A0F" w:rsidRPr="00F5003A">
        <w:rPr>
          <w:noProof w:val="0"/>
        </w:rPr>
        <w:t xml:space="preserve"> </w:t>
      </w:r>
      <w:r w:rsidRPr="00F5003A">
        <w:rPr>
          <w:noProof w:val="0"/>
        </w:rPr>
        <w:t>grey literature documents</w:t>
      </w:r>
      <w:r w:rsidR="00787A0F" w:rsidRPr="00F5003A">
        <w:rPr>
          <w:noProof w:val="0"/>
        </w:rPr>
        <w:t xml:space="preserve"> and </w:t>
      </w:r>
      <w:r w:rsidR="003E2735" w:rsidRPr="00F5003A">
        <w:rPr>
          <w:noProof w:val="0"/>
        </w:rPr>
        <w:t>13</w:t>
      </w:r>
      <w:r w:rsidR="00787A0F" w:rsidRPr="00F5003A">
        <w:rPr>
          <w:noProof w:val="0"/>
        </w:rPr>
        <w:t xml:space="preserve"> </w:t>
      </w:r>
      <w:r w:rsidRPr="00F5003A">
        <w:rPr>
          <w:noProof w:val="0"/>
        </w:rPr>
        <w:t xml:space="preserve">primary </w:t>
      </w:r>
      <w:r w:rsidR="00787A0F" w:rsidRPr="00F5003A">
        <w:rPr>
          <w:noProof w:val="0"/>
        </w:rPr>
        <w:t xml:space="preserve">research studies </w:t>
      </w:r>
      <w:r w:rsidR="003E2735" w:rsidRPr="00F5003A">
        <w:rPr>
          <w:noProof w:val="0"/>
        </w:rPr>
        <w:t xml:space="preserve">provided satisfactory evidence to support detailed responses to the primary and secondary research documents.  </w:t>
      </w:r>
      <w:r w:rsidR="001F0876" w:rsidRPr="00F5003A">
        <w:rPr>
          <w:noProof w:val="0"/>
        </w:rPr>
        <w:t>The findings from each study are described in the text and summarised in tables.  This is followed by thematic summaries based on the major themes identified relevant to each of the three research questions (1 primary and 2 secondary).  Finally a section responding to a series of additional questions posed by the Committee is included</w:t>
      </w:r>
      <w:r w:rsidR="00F5003A" w:rsidRPr="00F5003A">
        <w:rPr>
          <w:noProof w:val="0"/>
        </w:rPr>
        <w:t xml:space="preserve"> which draws on the</w:t>
      </w:r>
      <w:r w:rsidR="005A639A">
        <w:rPr>
          <w:noProof w:val="0"/>
        </w:rPr>
        <w:t xml:space="preserve"> available</w:t>
      </w:r>
      <w:r w:rsidR="00F5003A" w:rsidRPr="00F5003A">
        <w:rPr>
          <w:noProof w:val="0"/>
        </w:rPr>
        <w:t xml:space="preserve"> evidence identified for the review.</w:t>
      </w:r>
    </w:p>
    <w:p w14:paraId="211A2EF2" w14:textId="77777777" w:rsidR="001F0876" w:rsidRPr="00F5003A" w:rsidRDefault="001F0876" w:rsidP="00E5124B">
      <w:pPr>
        <w:rPr>
          <w:noProof w:val="0"/>
        </w:rPr>
      </w:pPr>
    </w:p>
    <w:p w14:paraId="52B16783" w14:textId="2B885661" w:rsidR="005B36E3" w:rsidRPr="00397A3E" w:rsidRDefault="00171C91" w:rsidP="005B36E3">
      <w:pPr>
        <w:pStyle w:val="Heading1"/>
        <w:rPr>
          <w:noProof w:val="0"/>
        </w:rPr>
      </w:pPr>
      <w:bookmarkStart w:id="424" w:name="_Toc106964852"/>
      <w:bookmarkEnd w:id="423"/>
      <w:r w:rsidRPr="00397A3E">
        <w:rPr>
          <w:noProof w:val="0"/>
        </w:rPr>
        <w:t>References</w:t>
      </w:r>
      <w:bookmarkEnd w:id="424"/>
    </w:p>
    <w:p w14:paraId="3B654764" w14:textId="77777777" w:rsidR="00B36791" w:rsidRDefault="00B36791" w:rsidP="00B36791">
      <w:pPr>
        <w:spacing w:line="240" w:lineRule="auto"/>
        <w:ind w:left="720" w:hanging="720"/>
      </w:pPr>
      <w:r>
        <w:t>AGREE Next Steps Consortium (2017) The AGREE II Instrument [Electronic version]., [online] http://www.agreetrust.org.</w:t>
      </w:r>
    </w:p>
    <w:p w14:paraId="37708DC3" w14:textId="77777777" w:rsidR="00B36791" w:rsidRDefault="00B36791" w:rsidP="00B36791">
      <w:pPr>
        <w:spacing w:line="240" w:lineRule="auto"/>
        <w:ind w:left="720" w:hanging="720"/>
      </w:pPr>
      <w:r>
        <w:t>Ahmed, W., Hamilton, K. A., Lobos, A., Hughes, B., Staley, C., Sadowsky, M. J., and Harwood, V. J. (2018) Quantitative microbial risk assessment of microbial source tracking markers in recreational water contaminated with fresh untreated and secondary treated sewage. Environment International, 117, 243–249. [online] https://www.scopus.com/inward/record.uri?eid=2-s2.0-85047077932&amp;doi=10.1016%2fj.envint.2018.05.012&amp;partnerID=40&amp;md5=c97413bc0249240d20d0a19774172eeb.</w:t>
      </w:r>
    </w:p>
    <w:p w14:paraId="73FB41C9" w14:textId="77777777" w:rsidR="00B36791" w:rsidRDefault="00B36791" w:rsidP="00B36791">
      <w:pPr>
        <w:spacing w:line="240" w:lineRule="auto"/>
        <w:ind w:left="720" w:hanging="720"/>
      </w:pPr>
      <w:r>
        <w:t>Ahmed, W., Payyappat, S., Cassidy, M., and Besley, C. (2019) Enhanced insights from human and animal host-associated molecular marker genes in a freshwater lake receiving wet weather overflows. Scientific Reports, 9(1), 12503. [online] http://www.ncbi.nlm.nih.gov/pubmed/31467317.</w:t>
      </w:r>
    </w:p>
    <w:p w14:paraId="0917B4F5" w14:textId="77777777" w:rsidR="00B36791" w:rsidRDefault="00B36791" w:rsidP="00B36791">
      <w:pPr>
        <w:spacing w:line="240" w:lineRule="auto"/>
        <w:ind w:left="720" w:hanging="720"/>
      </w:pPr>
      <w:r>
        <w:t>Ahmed, W., Zhang, Q., Kozak, S., Beale, D., Gyawali, P., Sadowsky, M. J., and Simpson, S. (2019) Comparative decay of sewage-associated marker genes in beach water and sediment in a subtropical region. Water Research, 149, 511–521. [online] http://www.ncbi.nlm.nih.gov/pubmed/30500686.</w:t>
      </w:r>
    </w:p>
    <w:p w14:paraId="6D85D512" w14:textId="77777777" w:rsidR="00B36791" w:rsidRDefault="00B36791" w:rsidP="00B36791">
      <w:pPr>
        <w:spacing w:line="240" w:lineRule="auto"/>
        <w:ind w:left="720" w:hanging="720"/>
      </w:pPr>
      <w:r>
        <w:t>Ahmed, W., Payyappat, S., Cassidy, M., Harrison, N., and Besley, C. (2020) Sewage-associated marker genes illustrate the impact of wet weather overflows and dry weather leakage in urban estuarine waters of Sydney, Australia. The Science of the Total Environment, 705, 135390. [online] http://www.ncbi.nlm.nih.gov/pubmed/31838427.</w:t>
      </w:r>
    </w:p>
    <w:p w14:paraId="424C0AFA" w14:textId="77777777" w:rsidR="00B36791" w:rsidRDefault="00B36791" w:rsidP="00B36791">
      <w:pPr>
        <w:spacing w:line="240" w:lineRule="auto"/>
        <w:ind w:left="720" w:hanging="720"/>
      </w:pPr>
      <w:r>
        <w:t>Arnold, B. F., Schiff, K. C., Ercumen, A., Benjamin-Chung, J., Steele, J. A., Griffith, J. F., Steinberg, S. J., Smith, P., McGee, C. D., Wilson, R., Nelsen, C., Weisberg, S. B., and Colford, J. M., Jr. (2017) Acute Illness Among Surfers After Exposure to Seawater in Dry- and Wet-Weather Conditions. American Journal of Epidemiology, 186(7), 866–875. [online] https://doi.org/10.1093/aje/kwx019 (Accessed March 10, 2021).</w:t>
      </w:r>
    </w:p>
    <w:p w14:paraId="7A4DE0F9" w14:textId="77777777" w:rsidR="00B36791" w:rsidRDefault="00B36791" w:rsidP="00B36791">
      <w:pPr>
        <w:spacing w:line="240" w:lineRule="auto"/>
        <w:ind w:left="720" w:hanging="720"/>
      </w:pPr>
      <w:r>
        <w:t>Boehm, A. B., Graham, K. E., and Jennings, W. C. (2018) Can We Swim Yet? Systematic Review, Meta-Analysis, and Risk Assessment of Aging Sewage in Surface Waters. Environmental Science and Technology, 52(17), 9634–9645. [online] https://www.scopus.com/inward/record.uri?eid=2-s2.0-85052402164&amp;doi=10.1021%2facs.est.8b01948&amp;partnerID=40&amp;md5=8d3f2f8b54fd926e1bc1283f4ab94d25.</w:t>
      </w:r>
    </w:p>
    <w:p w14:paraId="18BCAD97" w14:textId="77777777" w:rsidR="00B36791" w:rsidRDefault="00B36791" w:rsidP="00B36791">
      <w:pPr>
        <w:spacing w:line="240" w:lineRule="auto"/>
        <w:ind w:left="720" w:hanging="720"/>
      </w:pPr>
      <w:r>
        <w:t>Brouwers, M. C., Kerkvliet, K., Spithoff, K., and AGREE Next Steps Consortium (2016) The AGREE Reporting Checklist: a tool to improve reporting of clinical practice guidelines. BMJ, i1152. [online] https://www.bmj.com/lookup/doi/10.1136/bmj.i1152 (Accessed April 26, 2021).</w:t>
      </w:r>
    </w:p>
    <w:p w14:paraId="195C3A85" w14:textId="77777777" w:rsidR="00B36791" w:rsidRDefault="00B36791" w:rsidP="00B36791">
      <w:pPr>
        <w:spacing w:line="240" w:lineRule="auto"/>
        <w:ind w:left="720" w:hanging="720"/>
      </w:pPr>
      <w:r>
        <w:t>EPA Victoria (2021) Quantitative Microbial Risk Assessment (QMRA) for assessing risks to recreational users in Port Phillip Bay. EPA Publication 2007, June 2021, Environment Protection Authority, Victoria.</w:t>
      </w:r>
    </w:p>
    <w:p w14:paraId="023DD0CB" w14:textId="77777777" w:rsidR="00B36791" w:rsidRDefault="00B36791" w:rsidP="00B36791">
      <w:pPr>
        <w:spacing w:line="240" w:lineRule="auto"/>
        <w:ind w:left="720" w:hanging="720"/>
      </w:pPr>
      <w:r>
        <w:t>Gitter, A., Mena, K. D., Wagner, K. L., Boellstorff, D. E., Borel, K. E., Gregory, L. F., Gentry, T. J., and Karthikeyan, R. (2020) Human health risks associated with recreational waters: Preliminary approach of integrating quantitative microbial risk assessment with microbial source tracking. Water (Switzerland), 12(2). [online] https://www.scopus.com/inward/record.uri?eid=2-s2.0-85081546265&amp;doi=10.3390%2fw12020327&amp;partnerID=40&amp;md5=f48942230d1dbe0b5426d168ad1f982d.</w:t>
      </w:r>
    </w:p>
    <w:p w14:paraId="187FB25F" w14:textId="77777777" w:rsidR="00B36791" w:rsidRDefault="00B36791" w:rsidP="00B36791">
      <w:pPr>
        <w:spacing w:line="240" w:lineRule="auto"/>
        <w:ind w:left="720" w:hanging="720"/>
      </w:pPr>
      <w:r>
        <w:t>Guyatt, G., Oxman, A. D., Akl, E. A., Kunz, R., Vist, G., Brozek, J., Norris, S., Falck-Ytter, Y., Glasziou, P., and deBeer, H. (2011) GRADE guidelines: 1. Introduction—GRADE evidence profiles and summary of findings tables. Journal of Clinical Epidemiology, 64(4), 383–394. [online] https://linkinghub.elsevier.com/retrieve/pii/S0895435610003306 (Accessed April 27, 2021).</w:t>
      </w:r>
    </w:p>
    <w:p w14:paraId="75EAA9F2" w14:textId="77777777" w:rsidR="00B36791" w:rsidRDefault="00B36791" w:rsidP="00B36791">
      <w:pPr>
        <w:spacing w:line="240" w:lineRule="auto"/>
        <w:ind w:left="720" w:hanging="720"/>
      </w:pPr>
      <w:r>
        <w:t>Henry, R., Schang, C., Coutts, S., Kolotelo, P., Prosser, T., Crosbie, N., Grant, T., Cottam, D., O’Brien, P., Deletic, A., and McCarthy, D. (2016) Into the deep: Evaluation of SourceTracker for assessment of faecal contamination of coastal waters. Water Research, 93, 242–253. [online] https://www.scopus.com/inward/record.uri?eid=2-s2.0-84958973030&amp;doi=10.1016%2fj.watres.2016.02.029&amp;partnerID=40&amp;md5=857b1be61a85ed86ed706842b9f6584f.</w:t>
      </w:r>
    </w:p>
    <w:p w14:paraId="4686AC0A" w14:textId="77777777" w:rsidR="00B36791" w:rsidRDefault="00B36791" w:rsidP="00B36791">
      <w:pPr>
        <w:spacing w:line="240" w:lineRule="auto"/>
        <w:ind w:left="720" w:hanging="720"/>
      </w:pPr>
      <w:r>
        <w:t>Kelly, E. A., Feng, Z., Gidley, M. L., Sinigalliano, C. D., Kumar, N., Donahue, A. G., Reniers, A. J. H. M., and Solo-Gabriele, H. M. (2018) Effect of beach management policies on recreational water quality. Journal of Environmental Management, 212, 266–277. [online] https://repository.tudelft.nl/islandora/object/uuid%3A4cae77ec-45fd-4029-b8e5-5c3e68015b34/datastream/OBJ/download.</w:t>
      </w:r>
    </w:p>
    <w:p w14:paraId="3782D0AD" w14:textId="77777777" w:rsidR="00B36791" w:rsidRDefault="00B36791" w:rsidP="00B36791">
      <w:pPr>
        <w:spacing w:line="240" w:lineRule="auto"/>
        <w:ind w:left="720" w:hanging="720"/>
      </w:pPr>
      <w:r>
        <w:t>King, S., Exley, J., Winpenny, E., Alves, L., Henham, M.-L., and Larkin, J. (2014) The health risks of bathing in recreational waters. A rapid evidence assessment of water quality and gastrointestinal illness. Final report WT1530. A report of research carried out by RAND Europe, on behalf of the UK Department for Environment, Farming and Rural Affairs (DEFRA), United Kingdom, Department of Environment, Food and Rural Affairs (DEFRA). [online] https://www.rand.org/content/dam/rand/pubs/research_reports/RR600/RR698/RAND_RR698.pdf.</w:t>
      </w:r>
    </w:p>
    <w:p w14:paraId="308C5CE8" w14:textId="77777777" w:rsidR="00B36791" w:rsidRDefault="00B36791" w:rsidP="00B36791">
      <w:pPr>
        <w:spacing w:line="240" w:lineRule="auto"/>
        <w:ind w:left="720" w:hanging="720"/>
      </w:pPr>
      <w:r>
        <w:t>Lugg, R. S. W., Cook, A., and Devine, B. (2012) “Estimating 95th Percentiles from Microbial Sampling: A Novel Approach to Standardising their Application to Recreational Waters” in D. Kay and C. Fricker (eds.), The Significance of Faecal Indicators in Water: A Global Perspective. Cambridge, RSC Publishing, 62–71. [online] http://ebook.rsc.org/?DOI=10.1039/9781849735421-00062 (Accessed December 17, 2014).</w:t>
      </w:r>
    </w:p>
    <w:p w14:paraId="13D504E1" w14:textId="77777777" w:rsidR="00B36791" w:rsidRDefault="00B36791" w:rsidP="00B36791">
      <w:pPr>
        <w:spacing w:line="240" w:lineRule="auto"/>
        <w:ind w:left="720" w:hanging="720"/>
      </w:pPr>
      <w:r>
        <w:t>NHMRC (2008) Guidelines for managing risks in recreational water. National Health and Medical Research Council (Australia), Canberra, A.C.T., National Health and Medical Research Council. [online] http://www.nhmrc.gov.au/publications/synopses/_files/eh38.pdf (Accessed October 18, 2012).</w:t>
      </w:r>
    </w:p>
    <w:p w14:paraId="6E28E1FC" w14:textId="77777777" w:rsidR="00B36791" w:rsidRDefault="00B36791" w:rsidP="00B36791">
      <w:pPr>
        <w:spacing w:line="240" w:lineRule="auto"/>
        <w:ind w:left="720" w:hanging="720"/>
      </w:pPr>
      <w:r>
        <w:t>NRMMC, EPHC, and AHMC (2006) Australian Guidelines for Water Recycling: Managing Health and Environmental Risks (Phase 1), Canberra, Australia, Natural Resource Management Ministerial Council. Environment Protection and Heritage Council Australian Health Ministers’ Conference. [online] https://www.nhmrc.gov.au/about-us/publications/australian-guidelines-water-recycling.</w:t>
      </w:r>
    </w:p>
    <w:p w14:paraId="31726DDE" w14:textId="77777777" w:rsidR="00B36791" w:rsidRDefault="00B36791" w:rsidP="00B36791">
      <w:pPr>
        <w:spacing w:line="240" w:lineRule="auto"/>
        <w:ind w:left="720" w:hanging="720"/>
      </w:pPr>
      <w:r>
        <w:t>NSW DPIE (2020) Protocol for Assessment and Management of Microbial Risks in Recreational Waters. NSW Department of Planning, Industry &amp; Environment, [online] https://www.environment.nsw.gov.au/research-and-publications/publications-search/protocol-for-assessment-and-management-of-microbial-risks-in-recreational-waters.</w:t>
      </w:r>
    </w:p>
    <w:p w14:paraId="0DEDB817" w14:textId="77777777" w:rsidR="00B36791" w:rsidRDefault="00B36791" w:rsidP="00B36791">
      <w:pPr>
        <w:spacing w:line="240" w:lineRule="auto"/>
        <w:ind w:left="720" w:hanging="720"/>
      </w:pPr>
      <w:r>
        <w:t>O’Connor, N. A. (2020) Research Protocols for Narrative Reviews in support of the NHMRC Recreational Water Quality Guidelines: Microbial Risks. Ecos Environmental Consulting, September 2020,</w:t>
      </w:r>
    </w:p>
    <w:p w14:paraId="73BC070B" w14:textId="3D971A93" w:rsidR="00B36791" w:rsidRDefault="00B36791" w:rsidP="00B36791">
      <w:pPr>
        <w:spacing w:line="240" w:lineRule="auto"/>
        <w:ind w:left="720" w:hanging="720"/>
      </w:pPr>
      <w:r>
        <w:t>O’Connor, N. A. (2022) Technical Report for Narrative Reviews in support of NHMRC Recreational Water Quality Guidelines: Microbial Risks. Ecos Environmental Consulting, June 2022,</w:t>
      </w:r>
    </w:p>
    <w:p w14:paraId="0F673626" w14:textId="77777777" w:rsidR="00B36791" w:rsidRDefault="00B36791" w:rsidP="00B36791">
      <w:pPr>
        <w:spacing w:line="240" w:lineRule="auto"/>
        <w:ind w:left="720" w:hanging="720"/>
      </w:pPr>
      <w:r>
        <w:t>OHAT (2015) Risk of Bias Tool. Office of Health Assessment and Translation (OHAT), U.S. Department of Health and Human Services. [online] https://ntp.niehs.nih.gov/whatwestudy/assessments/noncancer/riskbias/index.html (Accessed June 19, 2020).</w:t>
      </w:r>
    </w:p>
    <w:p w14:paraId="0594FABE" w14:textId="77777777" w:rsidR="00B36791" w:rsidRDefault="00B36791" w:rsidP="00B36791">
      <w:pPr>
        <w:spacing w:line="240" w:lineRule="auto"/>
        <w:ind w:left="720" w:hanging="720"/>
      </w:pPr>
      <w:r>
        <w:t>OHAT (2019) Handbook for Conducting a Literature-Based Health Assessment Using OHAT Approach for Systematic Review and Evidence Integration, Office of Health Assessment and Translation (OHAT), US Department of Health and Human Services. [online] https://ntp.niehs.nih.gov/go/ohathandbook.</w:t>
      </w:r>
    </w:p>
    <w:p w14:paraId="3F640192" w14:textId="77777777" w:rsidR="00B36791" w:rsidRDefault="00B36791" w:rsidP="00B36791">
      <w:pPr>
        <w:spacing w:line="240" w:lineRule="auto"/>
        <w:ind w:left="720" w:hanging="720"/>
      </w:pPr>
      <w:r>
        <w:t>Oxford CTVH (2020) CASP - Critical Appraisal Skills Programme. Oxford Centre for Triple Value Healthcare Ltd. [online] https://casp-uk.net/ (Accessed June 13, 2020).</w:t>
      </w:r>
    </w:p>
    <w:p w14:paraId="7A9D20DE" w14:textId="77777777" w:rsidR="00B36791" w:rsidRDefault="00B36791" w:rsidP="00B36791">
      <w:pPr>
        <w:spacing w:line="240" w:lineRule="auto"/>
        <w:ind w:left="720" w:hanging="720"/>
      </w:pPr>
      <w:r>
        <w:t>Robins, P. E., Farkas, K., Cooper, D., Malham, S. K., and Jones, D. L. (2019) Viral dispersal in the coastal zone: A method to quantify water quality risk. Environment International, 126, 430–442. [online] https://www.scopus.com/inward/record.uri?eid=2-s2.0-85062216772&amp;doi=10.1016%2fj.envint.2019.02.042&amp;partnerID=40&amp;md5=72fcd9a789a4b4dd475a16a0e31978dc.</w:t>
      </w:r>
    </w:p>
    <w:p w14:paraId="7902D4E3" w14:textId="77777777" w:rsidR="00B36791" w:rsidRDefault="00B36791" w:rsidP="00B36791">
      <w:pPr>
        <w:spacing w:line="240" w:lineRule="auto"/>
        <w:ind w:left="720" w:hanging="720"/>
      </w:pPr>
      <w:r>
        <w:t>Russo, G. S., Eftim, S. E., Goldstone, A. E., Dufour, A. P., Nappier, S. P., and Wade, T. J. (2020) Evaluating health risks associated with exposure to ambient surface waters during recreational activities: A systematic review and meta-analysis. Water Research, 176. [online] https://www.scopus.com/inward/record.uri?eid=2-s2.0-85082875333&amp;doi=10.1016%2fj.watres.2020.115729&amp;partnerID=40&amp;md5=b8d28f8b8576aa1d50ad124e4649f95f.</w:t>
      </w:r>
    </w:p>
    <w:p w14:paraId="7CAE0C8F" w14:textId="77777777" w:rsidR="00B36791" w:rsidRDefault="00B36791" w:rsidP="00B36791">
      <w:pPr>
        <w:spacing w:line="240" w:lineRule="auto"/>
        <w:ind w:left="720" w:hanging="720"/>
      </w:pPr>
      <w:r>
        <w:t>Ryan, R. and Hill, S. (2016) How to GRADE the quality of the evidence. Cochrane Consumers and Communication Group. Version 3.0 December 2016, [online] http://cccrg.cochrane.org/author-resources.</w:t>
      </w:r>
    </w:p>
    <w:p w14:paraId="3C24D325" w14:textId="77777777" w:rsidR="00B36791" w:rsidRDefault="00B36791" w:rsidP="00B36791">
      <w:pPr>
        <w:spacing w:line="240" w:lineRule="auto"/>
        <w:ind w:left="720" w:hanging="720"/>
      </w:pPr>
      <w:r>
        <w:t>Schoen, M. E., Boehm, A. B., Soller, J., and Shanks, O. C. (2020) Contamination scenario matters when using viral and bacterial human-associated genetic markers as indicators of health risk in untreated sewage-impacted recreational waters. Environmental Science &amp; Technology. [online] http://www.ncbi.nlm.nih.gov/pubmed/32969642.</w:t>
      </w:r>
    </w:p>
    <w:p w14:paraId="6BC4FC65" w14:textId="77777777" w:rsidR="00B36791" w:rsidRDefault="00B36791" w:rsidP="00B36791">
      <w:pPr>
        <w:spacing w:line="240" w:lineRule="auto"/>
        <w:ind w:left="720" w:hanging="720"/>
      </w:pPr>
      <w:r>
        <w:t>Shrestha, A. and Dorevitch, S. (2019) Evaluation of rapid qPCR method for quantification of E. coli at non-point source impacted Lake Michigan beaches. Water Research, 156, 395–403. [online] https://www.scopus.com/inward/record.uri?eid=2-s2.0-85063941252&amp;doi=10.1016%2fj.watres.2019.03.034&amp;partnerID=40&amp;md5=8d0a3a8e1bd9c65175f11c60ca03b025.</w:t>
      </w:r>
    </w:p>
    <w:p w14:paraId="7F13933E" w14:textId="77777777" w:rsidR="00B36791" w:rsidRDefault="00B36791" w:rsidP="00B36791">
      <w:pPr>
        <w:spacing w:line="240" w:lineRule="auto"/>
        <w:ind w:left="720" w:hanging="720"/>
      </w:pPr>
      <w:r>
        <w:t>US EPA (2012) Recreational Water Quality Criteria, Washington, DC, United States, US Environmental Protection Agency, Office of Water, Office of Science and Technology. [online] https://www.epa.gov/sites/production/files/2015-10/documents/rwqc2012.pdf.</w:t>
      </w:r>
    </w:p>
    <w:p w14:paraId="2D04A8BC" w14:textId="77777777" w:rsidR="00B36791" w:rsidRDefault="00B36791" w:rsidP="00B36791">
      <w:pPr>
        <w:spacing w:line="240" w:lineRule="auto"/>
        <w:ind w:left="720" w:hanging="720"/>
      </w:pPr>
      <w:r>
        <w:t>US EPA (2017) 2017 Five-Year Review of the 2012 Recreational Water Quality Criteria, Washington, DC, United States, US Environmental Protection Agency, Office of Water, Office of Science and Technology. [online] https://www.epa.gov/sites/production/files/2018-05/documents/2017-5year-review-rwqc.pdf.</w:t>
      </w:r>
    </w:p>
    <w:p w14:paraId="26CA0DD7" w14:textId="77777777" w:rsidR="00B36791" w:rsidRDefault="00B36791" w:rsidP="00B36791">
      <w:pPr>
        <w:spacing w:line="240" w:lineRule="auto"/>
        <w:ind w:left="720" w:hanging="720"/>
      </w:pPr>
      <w:r>
        <w:t>WHO (2016) Quantitative Microbial Risk Assessment: Application for Water Safety Management, Geneva, World Health Organization.</w:t>
      </w:r>
    </w:p>
    <w:p w14:paraId="3081A6E8" w14:textId="77777777" w:rsidR="00B36791" w:rsidRDefault="00B36791" w:rsidP="00B36791">
      <w:pPr>
        <w:spacing w:line="240" w:lineRule="auto"/>
        <w:ind w:left="720" w:hanging="720"/>
      </w:pPr>
      <w:r>
        <w:t>WHO (2018) WHO recommendations on scientific, analytical and epidemiological developments relevant to the parameters for bathing water quality in the Bathing Water Directive (2006/7/EC): Recommendations, World Health Organization. [online] https://www.who.int/water_sanitation_health/publications/who-recommendations-to-european-water-directive/en/.</w:t>
      </w:r>
    </w:p>
    <w:p w14:paraId="4AE700B5" w14:textId="1B12EF41" w:rsidR="00B36791" w:rsidRDefault="00B36791" w:rsidP="00B36791"/>
    <w:p w14:paraId="40715FBD" w14:textId="77777777" w:rsidR="00B36791" w:rsidRPr="004846ED" w:rsidRDefault="00B36791" w:rsidP="00B36791"/>
    <w:sectPr w:rsidR="00B36791" w:rsidRPr="004846ED" w:rsidSect="00C246CB">
      <w:headerReference w:type="default" r:id="rId42"/>
      <w:pgSz w:w="11906" w:h="16838"/>
      <w:pgMar w:top="1588" w:right="1418" w:bottom="1418" w:left="2835"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74563" w14:textId="77777777" w:rsidR="006344D4" w:rsidRDefault="006344D4">
      <w:pPr>
        <w:spacing w:before="0" w:after="0" w:line="240" w:lineRule="auto"/>
      </w:pPr>
      <w:r>
        <w:separator/>
      </w:r>
    </w:p>
  </w:endnote>
  <w:endnote w:type="continuationSeparator" w:id="0">
    <w:p w14:paraId="42FB9086" w14:textId="77777777" w:rsidR="006344D4" w:rsidRDefault="006344D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eta Plus Normal">
    <w:altName w:val="Cambria"/>
    <w:panose1 w:val="00000000000000000000"/>
    <w:charset w:val="00"/>
    <w:family w:val="roman"/>
    <w:notTrueType/>
    <w:pitch w:val="default"/>
    <w:sig w:usb0="00000003" w:usb1="00000000" w:usb2="00000000" w:usb3="00000000" w:csb0="00000001" w:csb1="00000000"/>
  </w:font>
  <w:font w:name="Script">
    <w:altName w:val="Calibri"/>
    <w:panose1 w:val="00000000000000000000"/>
    <w:charset w:val="FF"/>
    <w:family w:val="script"/>
    <w:notTrueType/>
    <w:pitch w:val="variable"/>
    <w:sig w:usb0="00000003"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74EEF" w14:textId="3A632D46" w:rsidR="00355A2A" w:rsidRPr="0069013B" w:rsidRDefault="00171C91" w:rsidP="005B747F">
    <w:pPr>
      <w:pStyle w:val="Footer"/>
      <w:ind w:right="360"/>
      <w:rPr>
        <w:b/>
      </w:rPr>
    </w:pPr>
    <w:r>
      <w:br/>
    </w:r>
    <w:r w:rsidRPr="005B747F">
      <w:rPr>
        <w:b/>
      </w:rPr>
      <w:t xml:space="preserve">Evidence Evaluation </w:t>
    </w:r>
    <w:r w:rsidRPr="00F47F81">
      <w:rPr>
        <w:b/>
      </w:rPr>
      <w:t xml:space="preserve">Report </w:t>
    </w:r>
    <w:r>
      <w:rPr>
        <w:b/>
      </w:rPr>
      <w:t>for Narrative Review in support of NHMRC Recreational Water Quality Guidelines: Microbial Risks</w:t>
    </w:r>
  </w:p>
  <w:p w14:paraId="04CBF714" w14:textId="77777777" w:rsidR="00355A2A" w:rsidRPr="0069013B" w:rsidRDefault="00171C91" w:rsidP="005B747F">
    <w:pPr>
      <w:pStyle w:val="Footer"/>
      <w:ind w:right="360"/>
    </w:pPr>
    <w:r w:rsidRPr="0069013B">
      <w:t xml:space="preserve">Ecos Environmental Consulting Pty Ltd </w:t>
    </w:r>
  </w:p>
  <w:p w14:paraId="400C6ECB" w14:textId="72EECCD9" w:rsidR="00355A2A" w:rsidRDefault="00171C91" w:rsidP="005B747F">
    <w:pPr>
      <w:pStyle w:val="Footer"/>
    </w:pPr>
    <w:r w:rsidRPr="0069013B">
      <w:t>13</w:t>
    </w:r>
    <w:r>
      <w:t>44</w:t>
    </w:r>
    <w:r w:rsidRPr="0069013B">
      <w:t>-20</w:t>
    </w:r>
    <w:r>
      <w:t>2</w:t>
    </w:r>
    <w:r w:rsidR="00F73E17">
      <w:t>2</w:t>
    </w:r>
    <w:r w:rsidRPr="0069013B">
      <w:tab/>
    </w:r>
    <w:r w:rsidRPr="0069013B">
      <w:tab/>
    </w:r>
    <w:r w:rsidRPr="0069013B">
      <w:rPr>
        <w:noProof w:val="0"/>
      </w:rPr>
      <w:fldChar w:fldCharType="begin"/>
    </w:r>
    <w:r w:rsidRPr="0069013B">
      <w:instrText xml:space="preserve"> PAGE   \* MERGEFORMAT </w:instrText>
    </w:r>
    <w:r w:rsidRPr="0069013B">
      <w:rPr>
        <w:noProof w:val="0"/>
      </w:rPr>
      <w:fldChar w:fldCharType="separate"/>
    </w:r>
    <w:r w:rsidR="00B56CA7">
      <w:t>92</w:t>
    </w:r>
    <w:r w:rsidRPr="0069013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33F44" w14:textId="77777777" w:rsidR="00136181" w:rsidRDefault="001361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E742C" w14:textId="77777777" w:rsidR="00CE6913" w:rsidRPr="0069013B" w:rsidRDefault="00CE6913" w:rsidP="005B747F">
    <w:pPr>
      <w:pStyle w:val="Footer"/>
      <w:ind w:right="360"/>
      <w:rPr>
        <w:b/>
      </w:rPr>
    </w:pPr>
    <w:r>
      <w:br/>
    </w:r>
    <w:r w:rsidRPr="005B747F">
      <w:rPr>
        <w:b/>
      </w:rPr>
      <w:t xml:space="preserve">Evidence Evaluation </w:t>
    </w:r>
    <w:r w:rsidRPr="00F47F81">
      <w:rPr>
        <w:b/>
      </w:rPr>
      <w:t xml:space="preserve">Report </w:t>
    </w:r>
    <w:r>
      <w:rPr>
        <w:b/>
      </w:rPr>
      <w:t>for Narrative Review in support of NHMRC Recreational Water Quality Guidelines: Microbial Risks</w:t>
    </w:r>
  </w:p>
  <w:p w14:paraId="0D2B7F46" w14:textId="77777777" w:rsidR="00CE6913" w:rsidRPr="0069013B" w:rsidRDefault="00CE6913" w:rsidP="005B747F">
    <w:pPr>
      <w:pStyle w:val="Footer"/>
      <w:ind w:right="360"/>
    </w:pPr>
    <w:r w:rsidRPr="0069013B">
      <w:t xml:space="preserve">Ecos Environmental Consulting Pty Ltd </w:t>
    </w:r>
  </w:p>
  <w:p w14:paraId="58BE5840" w14:textId="7ACBA3E0" w:rsidR="00CE6913" w:rsidRDefault="00CE6913" w:rsidP="005B747F">
    <w:pPr>
      <w:pStyle w:val="Footer"/>
    </w:pPr>
    <w:r w:rsidRPr="0069013B">
      <w:t>13</w:t>
    </w:r>
    <w:r>
      <w:t>44</w:t>
    </w:r>
    <w:r w:rsidRPr="0069013B">
      <w:t>-20</w:t>
    </w:r>
    <w:r>
      <w:t>2</w:t>
    </w:r>
    <w:r w:rsidR="00F73E17">
      <w:t>2</w:t>
    </w:r>
    <w:r w:rsidRPr="0069013B">
      <w:tab/>
    </w:r>
    <w:r w:rsidRPr="0069013B">
      <w:tab/>
    </w:r>
    <w:r w:rsidRPr="0069013B">
      <w:rPr>
        <w:noProof w:val="0"/>
      </w:rPr>
      <w:fldChar w:fldCharType="begin"/>
    </w:r>
    <w:r w:rsidRPr="0069013B">
      <w:instrText xml:space="preserve"> PAGE   \* MERGEFORMAT </w:instrText>
    </w:r>
    <w:r w:rsidRPr="0069013B">
      <w:rPr>
        <w:noProof w:val="0"/>
      </w:rPr>
      <w:fldChar w:fldCharType="separate"/>
    </w:r>
    <w:r>
      <w:t>92</w:t>
    </w:r>
    <w:r w:rsidRPr="0069013B">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12370" w14:textId="77777777" w:rsidR="00136181" w:rsidRDefault="0013618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2E792" w14:textId="194C7574" w:rsidR="00136181" w:rsidRPr="0069013B" w:rsidRDefault="00171C91" w:rsidP="005B747F">
    <w:pPr>
      <w:pStyle w:val="Footer"/>
      <w:ind w:right="360"/>
      <w:rPr>
        <w:b/>
      </w:rPr>
    </w:pPr>
    <w:r>
      <w:br/>
    </w:r>
    <w:r w:rsidRPr="005B747F">
      <w:rPr>
        <w:b/>
      </w:rPr>
      <w:t xml:space="preserve">Evidence Evaluation </w:t>
    </w:r>
    <w:r w:rsidRPr="00F47F81">
      <w:rPr>
        <w:b/>
      </w:rPr>
      <w:t xml:space="preserve">Report </w:t>
    </w:r>
    <w:r>
      <w:rPr>
        <w:b/>
      </w:rPr>
      <w:t>for Narrative Review in support of NHMRC Recreational Water Quality Guidelines: Microbial Risks</w:t>
    </w:r>
  </w:p>
  <w:p w14:paraId="6DEAB430" w14:textId="77777777" w:rsidR="00136181" w:rsidRPr="0069013B" w:rsidRDefault="00171C91" w:rsidP="005B747F">
    <w:pPr>
      <w:pStyle w:val="Footer"/>
      <w:ind w:right="360"/>
    </w:pPr>
    <w:r w:rsidRPr="0069013B">
      <w:t xml:space="preserve">Ecos Environmental Consulting Pty Ltd </w:t>
    </w:r>
  </w:p>
  <w:p w14:paraId="600F81B5" w14:textId="4143D94E" w:rsidR="00136181" w:rsidRDefault="00171C91" w:rsidP="005B747F">
    <w:pPr>
      <w:pStyle w:val="Footer"/>
    </w:pPr>
    <w:r w:rsidRPr="0069013B">
      <w:t>13</w:t>
    </w:r>
    <w:r>
      <w:t>44</w:t>
    </w:r>
    <w:r w:rsidRPr="0069013B">
      <w:t>-20</w:t>
    </w:r>
    <w:r>
      <w:t>2</w:t>
    </w:r>
    <w:r w:rsidR="00F73E17">
      <w:t>2</w:t>
    </w:r>
    <w:r w:rsidRPr="0069013B">
      <w:tab/>
    </w:r>
    <w:r w:rsidRPr="0069013B">
      <w:tab/>
    </w:r>
    <w:r w:rsidRPr="0069013B">
      <w:rPr>
        <w:noProof w:val="0"/>
      </w:rPr>
      <w:fldChar w:fldCharType="begin"/>
    </w:r>
    <w:r w:rsidRPr="0069013B">
      <w:instrText xml:space="preserve"> PAGE   \* MERGEFORMAT </w:instrText>
    </w:r>
    <w:r w:rsidRPr="0069013B">
      <w:rPr>
        <w:noProof w:val="0"/>
      </w:rPr>
      <w:fldChar w:fldCharType="separate"/>
    </w:r>
    <w:r>
      <w:t>92</w:t>
    </w:r>
    <w:r w:rsidRPr="0069013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1E587" w14:textId="77777777" w:rsidR="006344D4" w:rsidRDefault="006344D4">
      <w:r>
        <w:separator/>
      </w:r>
    </w:p>
  </w:footnote>
  <w:footnote w:type="continuationSeparator" w:id="0">
    <w:p w14:paraId="3CD818E3" w14:textId="77777777" w:rsidR="006344D4" w:rsidRDefault="006344D4">
      <w:r>
        <w:continuationSeparator/>
      </w:r>
    </w:p>
  </w:footnote>
  <w:footnote w:id="1">
    <w:p w14:paraId="5C0F1425" w14:textId="77777777" w:rsidR="00355A2A" w:rsidRPr="00EC374D" w:rsidRDefault="00171C91" w:rsidP="006A0DF9">
      <w:pPr>
        <w:pStyle w:val="FootnoteText"/>
        <w:rPr>
          <w:lang w:val="en-AU"/>
        </w:rPr>
      </w:pPr>
      <w:r>
        <w:rPr>
          <w:rStyle w:val="FootnoteReference"/>
        </w:rPr>
        <w:footnoteRef/>
      </w:r>
      <w:r>
        <w:t xml:space="preserve"> </w:t>
      </w:r>
      <w:r w:rsidRPr="00EC374D">
        <w:rPr>
          <w:rFonts w:asciiTheme="minorHAnsi" w:hAnsiTheme="minorHAnsi" w:cstheme="minorHAnsi"/>
          <w:sz w:val="18"/>
          <w:szCs w:val="18"/>
          <w:lang w:val="en-AU"/>
        </w:rPr>
        <w:t>For further information on each CASP checklist see https://casp-uk.net/casp-tools-checklists/</w:t>
      </w:r>
    </w:p>
  </w:footnote>
  <w:footnote w:id="2">
    <w:p w14:paraId="37FE4388" w14:textId="0C5D49AA" w:rsidR="00355A2A" w:rsidRPr="00306A8F" w:rsidRDefault="00171C91" w:rsidP="000341EC">
      <w:pPr>
        <w:pStyle w:val="FootnoteText"/>
        <w:rPr>
          <w:rFonts w:asciiTheme="minorHAnsi" w:hAnsiTheme="minorHAnsi" w:cstheme="minorHAnsi"/>
          <w:lang w:val="en-AU"/>
        </w:rPr>
      </w:pPr>
      <w:r w:rsidRPr="00306A8F">
        <w:rPr>
          <w:rStyle w:val="FootnoteReference"/>
          <w:rFonts w:asciiTheme="minorHAnsi" w:hAnsiTheme="minorHAnsi" w:cstheme="minorHAnsi"/>
          <w:sz w:val="18"/>
          <w:szCs w:val="18"/>
        </w:rPr>
        <w:footnoteRef/>
      </w:r>
      <w:r w:rsidRPr="00306A8F">
        <w:rPr>
          <w:rFonts w:asciiTheme="minorHAnsi" w:hAnsiTheme="minorHAnsi" w:cstheme="minorHAnsi"/>
          <w:sz w:val="18"/>
          <w:szCs w:val="18"/>
        </w:rPr>
        <w:t xml:space="preserve"> </w:t>
      </w:r>
      <w:r>
        <w:rPr>
          <w:rFonts w:asciiTheme="minorHAnsi" w:hAnsiTheme="minorHAnsi" w:cstheme="minorHAnsi"/>
          <w:sz w:val="18"/>
          <w:szCs w:val="18"/>
        </w:rPr>
        <w:t>S</w:t>
      </w:r>
      <w:r w:rsidRPr="00306A8F">
        <w:rPr>
          <w:rFonts w:asciiTheme="minorHAnsi" w:hAnsiTheme="minorHAnsi" w:cstheme="minorHAnsi"/>
          <w:sz w:val="18"/>
          <w:szCs w:val="18"/>
        </w:rPr>
        <w:t>ee Technical Report</w:t>
      </w:r>
      <w:r>
        <w:rPr>
          <w:rFonts w:asciiTheme="minorHAnsi" w:hAnsiTheme="minorHAnsi" w:cstheme="minorHAnsi"/>
          <w:sz w:val="18"/>
          <w:szCs w:val="18"/>
        </w:rPr>
        <w:t xml:space="preserve"> (O’Connor 202</w:t>
      </w:r>
      <w:r w:rsidR="00AC1476">
        <w:rPr>
          <w:rFonts w:asciiTheme="minorHAnsi" w:hAnsiTheme="minorHAnsi" w:cstheme="minorHAnsi"/>
          <w:sz w:val="18"/>
          <w:szCs w:val="18"/>
        </w:rPr>
        <w:t>2</w:t>
      </w:r>
      <w:r>
        <w:rPr>
          <w:rFonts w:asciiTheme="minorHAnsi" w:hAnsiTheme="minorHAnsi" w:cstheme="minorHAnsi"/>
          <w:sz w:val="18"/>
          <w:szCs w:val="18"/>
        </w:rPr>
        <w:t>), Section 2,</w:t>
      </w:r>
      <w:r w:rsidRPr="00306A8F">
        <w:rPr>
          <w:rFonts w:asciiTheme="minorHAnsi" w:hAnsiTheme="minorHAnsi" w:cstheme="minorHAnsi"/>
          <w:sz w:val="18"/>
          <w:szCs w:val="18"/>
        </w:rPr>
        <w:t xml:space="preserve"> for method</w:t>
      </w:r>
      <w:r>
        <w:rPr>
          <w:rFonts w:asciiTheme="minorHAnsi" w:hAnsiTheme="minorHAnsi" w:cstheme="minorHAnsi"/>
          <w:sz w:val="18"/>
          <w:szCs w:val="18"/>
        </w:rPr>
        <w:t>.</w:t>
      </w:r>
    </w:p>
  </w:footnote>
  <w:footnote w:id="3">
    <w:p w14:paraId="0CAFB166" w14:textId="4CF63070" w:rsidR="00355A2A" w:rsidRPr="009F6665" w:rsidRDefault="00171C91">
      <w:pPr>
        <w:pStyle w:val="FootnoteText"/>
        <w:rPr>
          <w:lang w:val="en-AU"/>
        </w:rPr>
      </w:pPr>
      <w:r>
        <w:rPr>
          <w:rStyle w:val="FootnoteReference"/>
        </w:rPr>
        <w:footnoteRef/>
      </w:r>
      <w:r>
        <w:t xml:space="preserve"> </w:t>
      </w:r>
      <w:r w:rsidRPr="009F6665">
        <w:rPr>
          <w:rFonts w:asciiTheme="minorHAnsi" w:hAnsiTheme="minorHAnsi" w:cstheme="minorHAnsi"/>
          <w:sz w:val="16"/>
          <w:szCs w:val="16"/>
        </w:rPr>
        <w:t xml:space="preserve">Reviewers comment:  A </w:t>
      </w:r>
      <w:r>
        <w:rPr>
          <w:rFonts w:asciiTheme="minorHAnsi" w:hAnsiTheme="minorHAnsi" w:cstheme="minorHAnsi"/>
          <w:sz w:val="16"/>
          <w:szCs w:val="16"/>
        </w:rPr>
        <w:t xml:space="preserve">draft </w:t>
      </w:r>
      <w:r w:rsidRPr="009F6665">
        <w:rPr>
          <w:rFonts w:asciiTheme="minorHAnsi" w:hAnsiTheme="minorHAnsi" w:cstheme="minorHAnsi"/>
          <w:sz w:val="16"/>
          <w:szCs w:val="16"/>
        </w:rPr>
        <w:t xml:space="preserve">version of this study dated 2019 was supplied to the reviewer by the </w:t>
      </w:r>
      <w:r w:rsidRPr="00E441DE">
        <w:rPr>
          <w:rFonts w:asciiTheme="minorHAnsi" w:hAnsiTheme="minorHAnsi" w:cstheme="minorHAnsi"/>
          <w:sz w:val="16"/>
          <w:szCs w:val="16"/>
        </w:rPr>
        <w:t>Committee</w:t>
      </w:r>
      <w:r w:rsidRPr="009F6665">
        <w:rPr>
          <w:rFonts w:asciiTheme="minorHAnsi" w:hAnsiTheme="minorHAnsi" w:cstheme="minorHAnsi"/>
          <w:sz w:val="16"/>
          <w:szCs w:val="16"/>
        </w:rPr>
        <w:t>.  However a later</w:t>
      </w:r>
      <w:r>
        <w:rPr>
          <w:rFonts w:asciiTheme="minorHAnsi" w:hAnsiTheme="minorHAnsi" w:cstheme="minorHAnsi"/>
          <w:sz w:val="16"/>
          <w:szCs w:val="16"/>
        </w:rPr>
        <w:t xml:space="preserve"> final and</w:t>
      </w:r>
      <w:r w:rsidRPr="009F6665">
        <w:rPr>
          <w:rFonts w:asciiTheme="minorHAnsi" w:hAnsiTheme="minorHAnsi" w:cstheme="minorHAnsi"/>
          <w:sz w:val="16"/>
          <w:szCs w:val="16"/>
        </w:rPr>
        <w:t xml:space="preserve"> </w:t>
      </w:r>
      <w:r>
        <w:rPr>
          <w:rFonts w:asciiTheme="minorHAnsi" w:hAnsiTheme="minorHAnsi" w:cstheme="minorHAnsi"/>
          <w:sz w:val="16"/>
          <w:szCs w:val="16"/>
        </w:rPr>
        <w:t xml:space="preserve">almost identical </w:t>
      </w:r>
      <w:r w:rsidRPr="009F6665">
        <w:rPr>
          <w:rFonts w:asciiTheme="minorHAnsi" w:hAnsiTheme="minorHAnsi" w:cstheme="minorHAnsi"/>
          <w:sz w:val="16"/>
          <w:szCs w:val="16"/>
        </w:rPr>
        <w:t>version of the same document was published on the Victorian EPA website in early 2021 after the late 2020 cutoff. Since it was essentially the same document and published as the review process was beginning, it was the version used for this review.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5E094" w14:textId="77777777" w:rsidR="00355A2A" w:rsidRDefault="00171C91">
    <w:pPr>
      <w:pStyle w:val="Header"/>
    </w:pPr>
    <w:r>
      <w:drawing>
        <wp:anchor distT="0" distB="0" distL="114300" distR="114300" simplePos="0" relativeHeight="251658240" behindDoc="0" locked="0" layoutInCell="1" allowOverlap="1" wp14:anchorId="19231465" wp14:editId="71D2196A">
          <wp:simplePos x="0" y="0"/>
          <wp:positionH relativeFrom="column">
            <wp:posOffset>-111760</wp:posOffset>
          </wp:positionH>
          <wp:positionV relativeFrom="paragraph">
            <wp:posOffset>-341674</wp:posOffset>
          </wp:positionV>
          <wp:extent cx="5829300" cy="868680"/>
          <wp:effectExtent l="0" t="0" r="0" b="7620"/>
          <wp:wrapNone/>
          <wp:docPr id="1" name="Picture 1"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85AE2" w14:textId="77777777" w:rsidR="00355A2A" w:rsidRDefault="00171C91">
    <w:pPr>
      <w:pStyle w:val="Header"/>
    </w:pPr>
    <w:r>
      <w:drawing>
        <wp:anchor distT="0" distB="0" distL="114300" distR="114300" simplePos="0" relativeHeight="251659264" behindDoc="0" locked="0" layoutInCell="1" allowOverlap="1" wp14:anchorId="685125BF" wp14:editId="0C2204E7">
          <wp:simplePos x="0" y="0"/>
          <wp:positionH relativeFrom="column">
            <wp:posOffset>3876040</wp:posOffset>
          </wp:positionH>
          <wp:positionV relativeFrom="paragraph">
            <wp:posOffset>-316230</wp:posOffset>
          </wp:positionV>
          <wp:extent cx="5829300" cy="868680"/>
          <wp:effectExtent l="0" t="0" r="0" b="7620"/>
          <wp:wrapNone/>
          <wp:docPr id="14" name="Picture 14"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99998" w14:textId="77777777" w:rsidR="00355A2A" w:rsidRDefault="00355A2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3A5C5" w14:textId="77777777" w:rsidR="00355A2A" w:rsidRDefault="00171C91">
    <w:pPr>
      <w:pStyle w:val="Header"/>
    </w:pPr>
    <w:r>
      <w:drawing>
        <wp:anchor distT="0" distB="0" distL="114300" distR="114300" simplePos="0" relativeHeight="251663360" behindDoc="0" locked="0" layoutInCell="1" allowOverlap="1" wp14:anchorId="1022D6B5" wp14:editId="2393877E">
          <wp:simplePos x="0" y="0"/>
          <wp:positionH relativeFrom="column">
            <wp:posOffset>662940</wp:posOffset>
          </wp:positionH>
          <wp:positionV relativeFrom="paragraph">
            <wp:posOffset>-367030</wp:posOffset>
          </wp:positionV>
          <wp:extent cx="5829300" cy="868680"/>
          <wp:effectExtent l="0" t="0" r="0" b="7620"/>
          <wp:wrapNone/>
          <wp:docPr id="15" name="Picture 15"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44E6C" w14:textId="77777777" w:rsidR="00355A2A" w:rsidRDefault="00171C91">
    <w:pPr>
      <w:pStyle w:val="Header"/>
    </w:pPr>
    <w:r>
      <w:drawing>
        <wp:anchor distT="0" distB="0" distL="114300" distR="114300" simplePos="0" relativeHeight="251664384" behindDoc="0" locked="0" layoutInCell="1" allowOverlap="1" wp14:anchorId="6DC1A6EA" wp14:editId="392D5D6A">
          <wp:simplePos x="0" y="0"/>
          <wp:positionH relativeFrom="column">
            <wp:posOffset>3876040</wp:posOffset>
          </wp:positionH>
          <wp:positionV relativeFrom="paragraph">
            <wp:posOffset>-316230</wp:posOffset>
          </wp:positionV>
          <wp:extent cx="5829300" cy="868680"/>
          <wp:effectExtent l="0" t="0" r="0" b="7620"/>
          <wp:wrapNone/>
          <wp:docPr id="16" name="Picture 16"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A74C7" w14:textId="77777777" w:rsidR="00355A2A" w:rsidRDefault="00171C91">
    <w:pPr>
      <w:pStyle w:val="Header"/>
    </w:pPr>
    <w:r>
      <w:drawing>
        <wp:anchor distT="0" distB="0" distL="114300" distR="114300" simplePos="0" relativeHeight="251660288" behindDoc="0" locked="0" layoutInCell="1" allowOverlap="1" wp14:anchorId="1C656F78" wp14:editId="7A721EC4">
          <wp:simplePos x="0" y="0"/>
          <wp:positionH relativeFrom="column">
            <wp:posOffset>-111973</wp:posOffset>
          </wp:positionH>
          <wp:positionV relativeFrom="paragraph">
            <wp:posOffset>-316230</wp:posOffset>
          </wp:positionV>
          <wp:extent cx="5829300" cy="868680"/>
          <wp:effectExtent l="0" t="0" r="0" b="7620"/>
          <wp:wrapNone/>
          <wp:docPr id="17" name="Picture 17"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95E6" w14:textId="77777777" w:rsidR="00355A2A" w:rsidRDefault="00355A2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24269" w14:textId="77777777" w:rsidR="00355A2A" w:rsidRDefault="00171C91">
    <w:pPr>
      <w:pStyle w:val="Header"/>
    </w:pPr>
    <w:r>
      <w:drawing>
        <wp:anchor distT="0" distB="0" distL="114300" distR="114300" simplePos="0" relativeHeight="251661312" behindDoc="0" locked="0" layoutInCell="1" allowOverlap="1" wp14:anchorId="07132CAF" wp14:editId="05A5E336">
          <wp:simplePos x="0" y="0"/>
          <wp:positionH relativeFrom="column">
            <wp:posOffset>3895090</wp:posOffset>
          </wp:positionH>
          <wp:positionV relativeFrom="paragraph">
            <wp:posOffset>-316230</wp:posOffset>
          </wp:positionV>
          <wp:extent cx="5829300" cy="868680"/>
          <wp:effectExtent l="0" t="0" r="0" b="7620"/>
          <wp:wrapNone/>
          <wp:docPr id="18" name="Picture 18"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4ABC0" w14:textId="77777777" w:rsidR="00355A2A" w:rsidRDefault="00171C91">
    <w:pPr>
      <w:pStyle w:val="Header"/>
    </w:pPr>
    <w:r>
      <w:drawing>
        <wp:anchor distT="0" distB="0" distL="114300" distR="114300" simplePos="0" relativeHeight="251662336" behindDoc="0" locked="0" layoutInCell="1" allowOverlap="1" wp14:anchorId="480A337B" wp14:editId="4A65DD9C">
          <wp:simplePos x="0" y="0"/>
          <wp:positionH relativeFrom="column">
            <wp:posOffset>-111973</wp:posOffset>
          </wp:positionH>
          <wp:positionV relativeFrom="paragraph">
            <wp:posOffset>-316230</wp:posOffset>
          </wp:positionV>
          <wp:extent cx="5829300" cy="868680"/>
          <wp:effectExtent l="0" t="0" r="0" b="7620"/>
          <wp:wrapNone/>
          <wp:docPr id="10" name="Picture 10"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79F62" w14:textId="77777777" w:rsidR="00DB34A4" w:rsidRDefault="00DB34A4">
    <w:pPr>
      <w:pStyle w:val="Header"/>
    </w:pPr>
    <w:r>
      <w:drawing>
        <wp:anchor distT="0" distB="0" distL="114300" distR="114300" simplePos="0" relativeHeight="251668480" behindDoc="0" locked="0" layoutInCell="1" allowOverlap="1" wp14:anchorId="7F4A2F71" wp14:editId="020E30A0">
          <wp:simplePos x="0" y="0"/>
          <wp:positionH relativeFrom="column">
            <wp:posOffset>3924663</wp:posOffset>
          </wp:positionH>
          <wp:positionV relativeFrom="paragraph">
            <wp:posOffset>-387350</wp:posOffset>
          </wp:positionV>
          <wp:extent cx="5829300" cy="868680"/>
          <wp:effectExtent l="0" t="0" r="0" b="7620"/>
          <wp:wrapNone/>
          <wp:docPr id="4" name="Picture 4"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CC0C3" w14:textId="77777777" w:rsidR="00136181" w:rsidRDefault="001361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AAE0" w14:textId="77777777" w:rsidR="00DB34A4" w:rsidRDefault="00DB34A4">
    <w:pPr>
      <w:pStyle w:val="Header"/>
    </w:pPr>
    <w:r>
      <w:drawing>
        <wp:anchor distT="0" distB="0" distL="114300" distR="114300" simplePos="0" relativeHeight="251670528" behindDoc="0" locked="0" layoutInCell="1" allowOverlap="1" wp14:anchorId="59D32B6A" wp14:editId="15356BC2">
          <wp:simplePos x="0" y="0"/>
          <wp:positionH relativeFrom="column">
            <wp:posOffset>-111760</wp:posOffset>
          </wp:positionH>
          <wp:positionV relativeFrom="paragraph">
            <wp:posOffset>-341674</wp:posOffset>
          </wp:positionV>
          <wp:extent cx="5829300" cy="868680"/>
          <wp:effectExtent l="0" t="0" r="0" b="7620"/>
          <wp:wrapNone/>
          <wp:docPr id="5" name="Picture 5"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200A4" w14:textId="77777777" w:rsidR="00136181" w:rsidRDefault="0013618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8AE0E" w14:textId="77777777" w:rsidR="00355A2A" w:rsidRDefault="00171C91">
    <w:pPr>
      <w:pStyle w:val="Header"/>
    </w:pPr>
    <w:r>
      <w:drawing>
        <wp:anchor distT="0" distB="0" distL="114300" distR="114300" simplePos="0" relativeHeight="251666432" behindDoc="0" locked="0" layoutInCell="1" allowOverlap="1" wp14:anchorId="2425F697" wp14:editId="5F71B4BA">
          <wp:simplePos x="0" y="0"/>
          <wp:positionH relativeFrom="column">
            <wp:posOffset>3910443</wp:posOffset>
          </wp:positionH>
          <wp:positionV relativeFrom="paragraph">
            <wp:posOffset>-306906</wp:posOffset>
          </wp:positionV>
          <wp:extent cx="5829300" cy="868680"/>
          <wp:effectExtent l="0" t="0" r="0" b="7620"/>
          <wp:wrapNone/>
          <wp:docPr id="8" name="Picture 8"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B92C1" w14:textId="77777777" w:rsidR="00355A2A" w:rsidRDefault="00355A2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15787" w14:textId="77777777" w:rsidR="00355A2A" w:rsidRDefault="00171C91">
    <w:pPr>
      <w:pStyle w:val="Header"/>
    </w:pPr>
    <w:r>
      <w:drawing>
        <wp:anchor distT="0" distB="0" distL="114300" distR="114300" simplePos="0" relativeHeight="251665408" behindDoc="0" locked="0" layoutInCell="1" allowOverlap="1" wp14:anchorId="282F346A" wp14:editId="35FA8F1D">
          <wp:simplePos x="0" y="0"/>
          <wp:positionH relativeFrom="column">
            <wp:posOffset>-111760</wp:posOffset>
          </wp:positionH>
          <wp:positionV relativeFrom="paragraph">
            <wp:posOffset>-341674</wp:posOffset>
          </wp:positionV>
          <wp:extent cx="5829300" cy="868680"/>
          <wp:effectExtent l="0" t="0" r="0" b="7620"/>
          <wp:wrapNone/>
          <wp:docPr id="13" name="Picture 13"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4DB89" w14:textId="77777777" w:rsidR="00355A2A" w:rsidRDefault="00355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31A21CC"/>
    <w:lvl w:ilvl="0">
      <w:numFmt w:val="decimal"/>
      <w:pStyle w:val="CommentSubject"/>
      <w:lvlText w:val="*"/>
      <w:lvlJc w:val="left"/>
    </w:lvl>
  </w:abstractNum>
  <w:abstractNum w:abstractNumId="1" w15:restartNumberingAfterBreak="0">
    <w:nsid w:val="0196174A"/>
    <w:multiLevelType w:val="hybridMultilevel"/>
    <w:tmpl w:val="746E4084"/>
    <w:lvl w:ilvl="0" w:tplc="FE362062">
      <w:start w:val="1"/>
      <w:numFmt w:val="lowerRoman"/>
      <w:lvlText w:val="(%1)."/>
      <w:lvlJc w:val="center"/>
      <w:pPr>
        <w:ind w:left="720" w:hanging="360"/>
      </w:pPr>
      <w:rPr>
        <w:rFonts w:hint="default"/>
      </w:rPr>
    </w:lvl>
    <w:lvl w:ilvl="1" w:tplc="ADA8829C" w:tentative="1">
      <w:start w:val="1"/>
      <w:numFmt w:val="lowerLetter"/>
      <w:lvlText w:val="%2."/>
      <w:lvlJc w:val="left"/>
      <w:pPr>
        <w:ind w:left="1440" w:hanging="360"/>
      </w:pPr>
    </w:lvl>
    <w:lvl w:ilvl="2" w:tplc="F9FE2376" w:tentative="1">
      <w:start w:val="1"/>
      <w:numFmt w:val="lowerRoman"/>
      <w:lvlText w:val="%3."/>
      <w:lvlJc w:val="right"/>
      <w:pPr>
        <w:ind w:left="2160" w:hanging="180"/>
      </w:pPr>
    </w:lvl>
    <w:lvl w:ilvl="3" w:tplc="E28CA82C" w:tentative="1">
      <w:start w:val="1"/>
      <w:numFmt w:val="decimal"/>
      <w:lvlText w:val="%4."/>
      <w:lvlJc w:val="left"/>
      <w:pPr>
        <w:ind w:left="2880" w:hanging="360"/>
      </w:pPr>
    </w:lvl>
    <w:lvl w:ilvl="4" w:tplc="3F8408B0" w:tentative="1">
      <w:start w:val="1"/>
      <w:numFmt w:val="lowerLetter"/>
      <w:lvlText w:val="%5."/>
      <w:lvlJc w:val="left"/>
      <w:pPr>
        <w:ind w:left="3600" w:hanging="360"/>
      </w:pPr>
    </w:lvl>
    <w:lvl w:ilvl="5" w:tplc="9DD47AE8" w:tentative="1">
      <w:start w:val="1"/>
      <w:numFmt w:val="lowerRoman"/>
      <w:lvlText w:val="%6."/>
      <w:lvlJc w:val="right"/>
      <w:pPr>
        <w:ind w:left="4320" w:hanging="180"/>
      </w:pPr>
    </w:lvl>
    <w:lvl w:ilvl="6" w:tplc="7B9C9F44" w:tentative="1">
      <w:start w:val="1"/>
      <w:numFmt w:val="decimal"/>
      <w:lvlText w:val="%7."/>
      <w:lvlJc w:val="left"/>
      <w:pPr>
        <w:ind w:left="5040" w:hanging="360"/>
      </w:pPr>
    </w:lvl>
    <w:lvl w:ilvl="7" w:tplc="99A6F3EE" w:tentative="1">
      <w:start w:val="1"/>
      <w:numFmt w:val="lowerLetter"/>
      <w:lvlText w:val="%8."/>
      <w:lvlJc w:val="left"/>
      <w:pPr>
        <w:ind w:left="5760" w:hanging="360"/>
      </w:pPr>
    </w:lvl>
    <w:lvl w:ilvl="8" w:tplc="B7F81A78" w:tentative="1">
      <w:start w:val="1"/>
      <w:numFmt w:val="lowerRoman"/>
      <w:lvlText w:val="%9."/>
      <w:lvlJc w:val="right"/>
      <w:pPr>
        <w:ind w:left="6480" w:hanging="180"/>
      </w:pPr>
    </w:lvl>
  </w:abstractNum>
  <w:abstractNum w:abstractNumId="2" w15:restartNumberingAfterBreak="0">
    <w:nsid w:val="01E13347"/>
    <w:multiLevelType w:val="hybridMultilevel"/>
    <w:tmpl w:val="E99A706A"/>
    <w:lvl w:ilvl="0" w:tplc="1D301CB0">
      <w:start w:val="1"/>
      <w:numFmt w:val="bullet"/>
      <w:lvlText w:val=""/>
      <w:lvlJc w:val="left"/>
      <w:pPr>
        <w:ind w:left="720" w:hanging="360"/>
      </w:pPr>
      <w:rPr>
        <w:rFonts w:ascii="Symbol" w:hAnsi="Symbol" w:hint="default"/>
      </w:rPr>
    </w:lvl>
    <w:lvl w:ilvl="1" w:tplc="F990D058" w:tentative="1">
      <w:start w:val="1"/>
      <w:numFmt w:val="bullet"/>
      <w:lvlText w:val="o"/>
      <w:lvlJc w:val="left"/>
      <w:pPr>
        <w:ind w:left="1440" w:hanging="360"/>
      </w:pPr>
      <w:rPr>
        <w:rFonts w:ascii="Courier New" w:hAnsi="Courier New" w:cs="Courier New" w:hint="default"/>
      </w:rPr>
    </w:lvl>
    <w:lvl w:ilvl="2" w:tplc="3F3EA8DE" w:tentative="1">
      <w:start w:val="1"/>
      <w:numFmt w:val="bullet"/>
      <w:lvlText w:val=""/>
      <w:lvlJc w:val="left"/>
      <w:pPr>
        <w:ind w:left="2160" w:hanging="360"/>
      </w:pPr>
      <w:rPr>
        <w:rFonts w:ascii="Wingdings" w:hAnsi="Wingdings" w:hint="default"/>
      </w:rPr>
    </w:lvl>
    <w:lvl w:ilvl="3" w:tplc="ECD8B87E" w:tentative="1">
      <w:start w:val="1"/>
      <w:numFmt w:val="bullet"/>
      <w:lvlText w:val=""/>
      <w:lvlJc w:val="left"/>
      <w:pPr>
        <w:ind w:left="2880" w:hanging="360"/>
      </w:pPr>
      <w:rPr>
        <w:rFonts w:ascii="Symbol" w:hAnsi="Symbol" w:hint="default"/>
      </w:rPr>
    </w:lvl>
    <w:lvl w:ilvl="4" w:tplc="3D40477A" w:tentative="1">
      <w:start w:val="1"/>
      <w:numFmt w:val="bullet"/>
      <w:lvlText w:val="o"/>
      <w:lvlJc w:val="left"/>
      <w:pPr>
        <w:ind w:left="3600" w:hanging="360"/>
      </w:pPr>
      <w:rPr>
        <w:rFonts w:ascii="Courier New" w:hAnsi="Courier New" w:cs="Courier New" w:hint="default"/>
      </w:rPr>
    </w:lvl>
    <w:lvl w:ilvl="5" w:tplc="98742E30" w:tentative="1">
      <w:start w:val="1"/>
      <w:numFmt w:val="bullet"/>
      <w:lvlText w:val=""/>
      <w:lvlJc w:val="left"/>
      <w:pPr>
        <w:ind w:left="4320" w:hanging="360"/>
      </w:pPr>
      <w:rPr>
        <w:rFonts w:ascii="Wingdings" w:hAnsi="Wingdings" w:hint="default"/>
      </w:rPr>
    </w:lvl>
    <w:lvl w:ilvl="6" w:tplc="4A1A1B98" w:tentative="1">
      <w:start w:val="1"/>
      <w:numFmt w:val="bullet"/>
      <w:lvlText w:val=""/>
      <w:lvlJc w:val="left"/>
      <w:pPr>
        <w:ind w:left="5040" w:hanging="360"/>
      </w:pPr>
      <w:rPr>
        <w:rFonts w:ascii="Symbol" w:hAnsi="Symbol" w:hint="default"/>
      </w:rPr>
    </w:lvl>
    <w:lvl w:ilvl="7" w:tplc="0E44A904" w:tentative="1">
      <w:start w:val="1"/>
      <w:numFmt w:val="bullet"/>
      <w:lvlText w:val="o"/>
      <w:lvlJc w:val="left"/>
      <w:pPr>
        <w:ind w:left="5760" w:hanging="360"/>
      </w:pPr>
      <w:rPr>
        <w:rFonts w:ascii="Courier New" w:hAnsi="Courier New" w:cs="Courier New" w:hint="default"/>
      </w:rPr>
    </w:lvl>
    <w:lvl w:ilvl="8" w:tplc="93D036F0" w:tentative="1">
      <w:start w:val="1"/>
      <w:numFmt w:val="bullet"/>
      <w:lvlText w:val=""/>
      <w:lvlJc w:val="left"/>
      <w:pPr>
        <w:ind w:left="6480" w:hanging="360"/>
      </w:pPr>
      <w:rPr>
        <w:rFonts w:ascii="Wingdings" w:hAnsi="Wingdings" w:hint="default"/>
      </w:rPr>
    </w:lvl>
  </w:abstractNum>
  <w:abstractNum w:abstractNumId="3" w15:restartNumberingAfterBreak="0">
    <w:nsid w:val="062D0FDC"/>
    <w:multiLevelType w:val="hybridMultilevel"/>
    <w:tmpl w:val="16CC1534"/>
    <w:lvl w:ilvl="0" w:tplc="9ACCFF64">
      <w:start w:val="1"/>
      <w:numFmt w:val="bullet"/>
      <w:pStyle w:val="BulletDPS1"/>
      <w:lvlText w:val=""/>
      <w:lvlJc w:val="left"/>
      <w:pPr>
        <w:ind w:left="1080" w:hanging="360"/>
      </w:pPr>
      <w:rPr>
        <w:rFonts w:ascii="Symbol" w:hAnsi="Symbol" w:hint="default"/>
      </w:rPr>
    </w:lvl>
    <w:lvl w:ilvl="1" w:tplc="3EF6E072" w:tentative="1">
      <w:start w:val="1"/>
      <w:numFmt w:val="bullet"/>
      <w:lvlText w:val="o"/>
      <w:lvlJc w:val="left"/>
      <w:pPr>
        <w:ind w:left="1800" w:hanging="360"/>
      </w:pPr>
      <w:rPr>
        <w:rFonts w:ascii="Courier New" w:hAnsi="Courier New" w:cs="Courier New" w:hint="default"/>
      </w:rPr>
    </w:lvl>
    <w:lvl w:ilvl="2" w:tplc="336E7D2E" w:tentative="1">
      <w:start w:val="1"/>
      <w:numFmt w:val="bullet"/>
      <w:lvlText w:val=""/>
      <w:lvlJc w:val="left"/>
      <w:pPr>
        <w:ind w:left="2520" w:hanging="360"/>
      </w:pPr>
      <w:rPr>
        <w:rFonts w:ascii="Wingdings" w:hAnsi="Wingdings" w:hint="default"/>
      </w:rPr>
    </w:lvl>
    <w:lvl w:ilvl="3" w:tplc="AF32A212" w:tentative="1">
      <w:start w:val="1"/>
      <w:numFmt w:val="bullet"/>
      <w:lvlText w:val=""/>
      <w:lvlJc w:val="left"/>
      <w:pPr>
        <w:ind w:left="3240" w:hanging="360"/>
      </w:pPr>
      <w:rPr>
        <w:rFonts w:ascii="Symbol" w:hAnsi="Symbol" w:hint="default"/>
      </w:rPr>
    </w:lvl>
    <w:lvl w:ilvl="4" w:tplc="22020130" w:tentative="1">
      <w:start w:val="1"/>
      <w:numFmt w:val="bullet"/>
      <w:lvlText w:val="o"/>
      <w:lvlJc w:val="left"/>
      <w:pPr>
        <w:ind w:left="3960" w:hanging="360"/>
      </w:pPr>
      <w:rPr>
        <w:rFonts w:ascii="Courier New" w:hAnsi="Courier New" w:cs="Courier New" w:hint="default"/>
      </w:rPr>
    </w:lvl>
    <w:lvl w:ilvl="5" w:tplc="E6AE28D4" w:tentative="1">
      <w:start w:val="1"/>
      <w:numFmt w:val="bullet"/>
      <w:lvlText w:val=""/>
      <w:lvlJc w:val="left"/>
      <w:pPr>
        <w:ind w:left="4680" w:hanging="360"/>
      </w:pPr>
      <w:rPr>
        <w:rFonts w:ascii="Wingdings" w:hAnsi="Wingdings" w:hint="default"/>
      </w:rPr>
    </w:lvl>
    <w:lvl w:ilvl="6" w:tplc="C0D65362" w:tentative="1">
      <w:start w:val="1"/>
      <w:numFmt w:val="bullet"/>
      <w:lvlText w:val=""/>
      <w:lvlJc w:val="left"/>
      <w:pPr>
        <w:ind w:left="5400" w:hanging="360"/>
      </w:pPr>
      <w:rPr>
        <w:rFonts w:ascii="Symbol" w:hAnsi="Symbol" w:hint="default"/>
      </w:rPr>
    </w:lvl>
    <w:lvl w:ilvl="7" w:tplc="36F0FC4E" w:tentative="1">
      <w:start w:val="1"/>
      <w:numFmt w:val="bullet"/>
      <w:lvlText w:val="o"/>
      <w:lvlJc w:val="left"/>
      <w:pPr>
        <w:ind w:left="6120" w:hanging="360"/>
      </w:pPr>
      <w:rPr>
        <w:rFonts w:ascii="Courier New" w:hAnsi="Courier New" w:cs="Courier New" w:hint="default"/>
      </w:rPr>
    </w:lvl>
    <w:lvl w:ilvl="8" w:tplc="E7C4EFD4" w:tentative="1">
      <w:start w:val="1"/>
      <w:numFmt w:val="bullet"/>
      <w:lvlText w:val=""/>
      <w:lvlJc w:val="left"/>
      <w:pPr>
        <w:ind w:left="6840" w:hanging="360"/>
      </w:pPr>
      <w:rPr>
        <w:rFonts w:ascii="Wingdings" w:hAnsi="Wingdings" w:hint="default"/>
      </w:rPr>
    </w:lvl>
  </w:abstractNum>
  <w:abstractNum w:abstractNumId="4" w15:restartNumberingAfterBreak="0">
    <w:nsid w:val="09EC45F9"/>
    <w:multiLevelType w:val="hybridMultilevel"/>
    <w:tmpl w:val="4EE40340"/>
    <w:lvl w:ilvl="0" w:tplc="B7EC4C80">
      <w:start w:val="1"/>
      <w:numFmt w:val="bullet"/>
      <w:lvlText w:val=""/>
      <w:lvlJc w:val="left"/>
      <w:pPr>
        <w:ind w:left="720" w:hanging="360"/>
      </w:pPr>
      <w:rPr>
        <w:rFonts w:ascii="Symbol" w:hAnsi="Symbol" w:hint="default"/>
      </w:rPr>
    </w:lvl>
    <w:lvl w:ilvl="1" w:tplc="5B984BF8" w:tentative="1">
      <w:start w:val="1"/>
      <w:numFmt w:val="bullet"/>
      <w:lvlText w:val="o"/>
      <w:lvlJc w:val="left"/>
      <w:pPr>
        <w:ind w:left="1440" w:hanging="360"/>
      </w:pPr>
      <w:rPr>
        <w:rFonts w:ascii="Courier New" w:hAnsi="Courier New" w:cs="Courier New" w:hint="default"/>
      </w:rPr>
    </w:lvl>
    <w:lvl w:ilvl="2" w:tplc="C6961E8A" w:tentative="1">
      <w:start w:val="1"/>
      <w:numFmt w:val="bullet"/>
      <w:lvlText w:val=""/>
      <w:lvlJc w:val="left"/>
      <w:pPr>
        <w:ind w:left="2160" w:hanging="360"/>
      </w:pPr>
      <w:rPr>
        <w:rFonts w:ascii="Wingdings" w:hAnsi="Wingdings" w:hint="default"/>
      </w:rPr>
    </w:lvl>
    <w:lvl w:ilvl="3" w:tplc="18329AF6" w:tentative="1">
      <w:start w:val="1"/>
      <w:numFmt w:val="bullet"/>
      <w:lvlText w:val=""/>
      <w:lvlJc w:val="left"/>
      <w:pPr>
        <w:ind w:left="2880" w:hanging="360"/>
      </w:pPr>
      <w:rPr>
        <w:rFonts w:ascii="Symbol" w:hAnsi="Symbol" w:hint="default"/>
      </w:rPr>
    </w:lvl>
    <w:lvl w:ilvl="4" w:tplc="6D6C54AA" w:tentative="1">
      <w:start w:val="1"/>
      <w:numFmt w:val="bullet"/>
      <w:lvlText w:val="o"/>
      <w:lvlJc w:val="left"/>
      <w:pPr>
        <w:ind w:left="3600" w:hanging="360"/>
      </w:pPr>
      <w:rPr>
        <w:rFonts w:ascii="Courier New" w:hAnsi="Courier New" w:cs="Courier New" w:hint="default"/>
      </w:rPr>
    </w:lvl>
    <w:lvl w:ilvl="5" w:tplc="73503878" w:tentative="1">
      <w:start w:val="1"/>
      <w:numFmt w:val="bullet"/>
      <w:lvlText w:val=""/>
      <w:lvlJc w:val="left"/>
      <w:pPr>
        <w:ind w:left="4320" w:hanging="360"/>
      </w:pPr>
      <w:rPr>
        <w:rFonts w:ascii="Wingdings" w:hAnsi="Wingdings" w:hint="default"/>
      </w:rPr>
    </w:lvl>
    <w:lvl w:ilvl="6" w:tplc="BDA61FCC" w:tentative="1">
      <w:start w:val="1"/>
      <w:numFmt w:val="bullet"/>
      <w:lvlText w:val=""/>
      <w:lvlJc w:val="left"/>
      <w:pPr>
        <w:ind w:left="5040" w:hanging="360"/>
      </w:pPr>
      <w:rPr>
        <w:rFonts w:ascii="Symbol" w:hAnsi="Symbol" w:hint="default"/>
      </w:rPr>
    </w:lvl>
    <w:lvl w:ilvl="7" w:tplc="2430CF98" w:tentative="1">
      <w:start w:val="1"/>
      <w:numFmt w:val="bullet"/>
      <w:lvlText w:val="o"/>
      <w:lvlJc w:val="left"/>
      <w:pPr>
        <w:ind w:left="5760" w:hanging="360"/>
      </w:pPr>
      <w:rPr>
        <w:rFonts w:ascii="Courier New" w:hAnsi="Courier New" w:cs="Courier New" w:hint="default"/>
      </w:rPr>
    </w:lvl>
    <w:lvl w:ilvl="8" w:tplc="8D86B638" w:tentative="1">
      <w:start w:val="1"/>
      <w:numFmt w:val="bullet"/>
      <w:lvlText w:val=""/>
      <w:lvlJc w:val="left"/>
      <w:pPr>
        <w:ind w:left="6480" w:hanging="360"/>
      </w:pPr>
      <w:rPr>
        <w:rFonts w:ascii="Wingdings" w:hAnsi="Wingdings" w:hint="default"/>
      </w:rPr>
    </w:lvl>
  </w:abstractNum>
  <w:abstractNum w:abstractNumId="5" w15:restartNumberingAfterBreak="0">
    <w:nsid w:val="0A7C78C6"/>
    <w:multiLevelType w:val="hybridMultilevel"/>
    <w:tmpl w:val="8E76DCEE"/>
    <w:lvl w:ilvl="0" w:tplc="06DC8D9E">
      <w:start w:val="1"/>
      <w:numFmt w:val="lowerRoman"/>
      <w:lvlText w:val="(%1)."/>
      <w:lvlJc w:val="left"/>
      <w:rPr>
        <w:rFonts w:hint="default"/>
      </w:rPr>
    </w:lvl>
    <w:lvl w:ilvl="1" w:tplc="55FAC3BE">
      <w:start w:val="1"/>
      <w:numFmt w:val="decimal"/>
      <w:lvlText w:val="%2."/>
      <w:lvlJc w:val="left"/>
      <w:pPr>
        <w:ind w:left="2260" w:hanging="720"/>
      </w:pPr>
      <w:rPr>
        <w:rFonts w:hint="default"/>
      </w:rPr>
    </w:lvl>
    <w:lvl w:ilvl="2" w:tplc="C9987294" w:tentative="1">
      <w:start w:val="1"/>
      <w:numFmt w:val="lowerRoman"/>
      <w:lvlText w:val="%3."/>
      <w:lvlJc w:val="right"/>
      <w:pPr>
        <w:ind w:left="2620" w:hanging="180"/>
      </w:pPr>
    </w:lvl>
    <w:lvl w:ilvl="3" w:tplc="08B46156" w:tentative="1">
      <w:start w:val="1"/>
      <w:numFmt w:val="decimal"/>
      <w:lvlText w:val="%4."/>
      <w:lvlJc w:val="left"/>
      <w:pPr>
        <w:ind w:left="3340" w:hanging="360"/>
      </w:pPr>
    </w:lvl>
    <w:lvl w:ilvl="4" w:tplc="84D4258A" w:tentative="1">
      <w:start w:val="1"/>
      <w:numFmt w:val="lowerLetter"/>
      <w:lvlText w:val="%5."/>
      <w:lvlJc w:val="left"/>
      <w:pPr>
        <w:ind w:left="4060" w:hanging="360"/>
      </w:pPr>
    </w:lvl>
    <w:lvl w:ilvl="5" w:tplc="829AE874" w:tentative="1">
      <w:start w:val="1"/>
      <w:numFmt w:val="lowerRoman"/>
      <w:lvlText w:val="%6."/>
      <w:lvlJc w:val="right"/>
      <w:pPr>
        <w:ind w:left="4780" w:hanging="180"/>
      </w:pPr>
    </w:lvl>
    <w:lvl w:ilvl="6" w:tplc="367EFD46" w:tentative="1">
      <w:start w:val="1"/>
      <w:numFmt w:val="decimal"/>
      <w:lvlText w:val="%7."/>
      <w:lvlJc w:val="left"/>
      <w:pPr>
        <w:ind w:left="5500" w:hanging="360"/>
      </w:pPr>
    </w:lvl>
    <w:lvl w:ilvl="7" w:tplc="076C308E" w:tentative="1">
      <w:start w:val="1"/>
      <w:numFmt w:val="lowerLetter"/>
      <w:lvlText w:val="%8."/>
      <w:lvlJc w:val="left"/>
      <w:pPr>
        <w:ind w:left="6220" w:hanging="360"/>
      </w:pPr>
    </w:lvl>
    <w:lvl w:ilvl="8" w:tplc="FF029C18" w:tentative="1">
      <w:start w:val="1"/>
      <w:numFmt w:val="lowerRoman"/>
      <w:lvlText w:val="%9."/>
      <w:lvlJc w:val="right"/>
      <w:pPr>
        <w:ind w:left="6940" w:hanging="180"/>
      </w:pPr>
    </w:lvl>
  </w:abstractNum>
  <w:abstractNum w:abstractNumId="6" w15:restartNumberingAfterBreak="0">
    <w:nsid w:val="0B9D44D0"/>
    <w:multiLevelType w:val="hybridMultilevel"/>
    <w:tmpl w:val="2BD02B60"/>
    <w:lvl w:ilvl="0" w:tplc="26B428E6">
      <w:start w:val="1"/>
      <w:numFmt w:val="bullet"/>
      <w:lvlText w:val=""/>
      <w:lvlJc w:val="left"/>
      <w:pPr>
        <w:ind w:left="720" w:hanging="360"/>
      </w:pPr>
      <w:rPr>
        <w:rFonts w:ascii="Symbol" w:hAnsi="Symbol" w:hint="default"/>
      </w:rPr>
    </w:lvl>
    <w:lvl w:ilvl="1" w:tplc="7FA6782E">
      <w:start w:val="1"/>
      <w:numFmt w:val="bullet"/>
      <w:lvlText w:val="o"/>
      <w:lvlJc w:val="left"/>
      <w:pPr>
        <w:ind w:left="1440" w:hanging="360"/>
      </w:pPr>
      <w:rPr>
        <w:rFonts w:ascii="Courier New" w:hAnsi="Courier New" w:cs="Courier New" w:hint="default"/>
      </w:rPr>
    </w:lvl>
    <w:lvl w:ilvl="2" w:tplc="200E3E6E">
      <w:start w:val="1"/>
      <w:numFmt w:val="bullet"/>
      <w:lvlText w:val=""/>
      <w:lvlJc w:val="left"/>
      <w:pPr>
        <w:ind w:left="2160" w:hanging="360"/>
      </w:pPr>
      <w:rPr>
        <w:rFonts w:ascii="Wingdings" w:hAnsi="Wingdings" w:hint="default"/>
      </w:rPr>
    </w:lvl>
    <w:lvl w:ilvl="3" w:tplc="8D6CE512">
      <w:start w:val="1"/>
      <w:numFmt w:val="bullet"/>
      <w:lvlText w:val=""/>
      <w:lvlJc w:val="left"/>
      <w:pPr>
        <w:ind w:left="2880" w:hanging="360"/>
      </w:pPr>
      <w:rPr>
        <w:rFonts w:ascii="Symbol" w:hAnsi="Symbol" w:hint="default"/>
      </w:rPr>
    </w:lvl>
    <w:lvl w:ilvl="4" w:tplc="86B66392">
      <w:start w:val="1"/>
      <w:numFmt w:val="bullet"/>
      <w:lvlText w:val="o"/>
      <w:lvlJc w:val="left"/>
      <w:pPr>
        <w:ind w:left="3600" w:hanging="360"/>
      </w:pPr>
      <w:rPr>
        <w:rFonts w:ascii="Courier New" w:hAnsi="Courier New" w:cs="Courier New" w:hint="default"/>
      </w:rPr>
    </w:lvl>
    <w:lvl w:ilvl="5" w:tplc="60C4ACBA">
      <w:start w:val="1"/>
      <w:numFmt w:val="bullet"/>
      <w:lvlText w:val=""/>
      <w:lvlJc w:val="left"/>
      <w:pPr>
        <w:ind w:left="4320" w:hanging="360"/>
      </w:pPr>
      <w:rPr>
        <w:rFonts w:ascii="Wingdings" w:hAnsi="Wingdings" w:hint="default"/>
      </w:rPr>
    </w:lvl>
    <w:lvl w:ilvl="6" w:tplc="FA5AE84E">
      <w:start w:val="1"/>
      <w:numFmt w:val="bullet"/>
      <w:lvlText w:val=""/>
      <w:lvlJc w:val="left"/>
      <w:pPr>
        <w:ind w:left="5040" w:hanging="360"/>
      </w:pPr>
      <w:rPr>
        <w:rFonts w:ascii="Symbol" w:hAnsi="Symbol" w:hint="default"/>
      </w:rPr>
    </w:lvl>
    <w:lvl w:ilvl="7" w:tplc="AC1AD3AE">
      <w:start w:val="1"/>
      <w:numFmt w:val="bullet"/>
      <w:lvlText w:val="o"/>
      <w:lvlJc w:val="left"/>
      <w:pPr>
        <w:ind w:left="5760" w:hanging="360"/>
      </w:pPr>
      <w:rPr>
        <w:rFonts w:ascii="Courier New" w:hAnsi="Courier New" w:cs="Courier New" w:hint="default"/>
      </w:rPr>
    </w:lvl>
    <w:lvl w:ilvl="8" w:tplc="46AC9F12">
      <w:start w:val="1"/>
      <w:numFmt w:val="bullet"/>
      <w:lvlText w:val=""/>
      <w:lvlJc w:val="left"/>
      <w:pPr>
        <w:ind w:left="6480" w:hanging="360"/>
      </w:pPr>
      <w:rPr>
        <w:rFonts w:ascii="Wingdings" w:hAnsi="Wingdings" w:hint="default"/>
      </w:rPr>
    </w:lvl>
  </w:abstractNum>
  <w:abstractNum w:abstractNumId="7" w15:restartNumberingAfterBreak="0">
    <w:nsid w:val="0D41395E"/>
    <w:multiLevelType w:val="hybridMultilevel"/>
    <w:tmpl w:val="3822F6D6"/>
    <w:lvl w:ilvl="0" w:tplc="01E85D78">
      <w:start w:val="1"/>
      <w:numFmt w:val="bullet"/>
      <w:lvlText w:val=""/>
      <w:lvlJc w:val="left"/>
      <w:pPr>
        <w:ind w:left="720" w:hanging="360"/>
      </w:pPr>
      <w:rPr>
        <w:rFonts w:ascii="Symbol" w:hAnsi="Symbol" w:hint="default"/>
      </w:rPr>
    </w:lvl>
    <w:lvl w:ilvl="1" w:tplc="1DD01C56" w:tentative="1">
      <w:start w:val="1"/>
      <w:numFmt w:val="bullet"/>
      <w:lvlText w:val="o"/>
      <w:lvlJc w:val="left"/>
      <w:pPr>
        <w:ind w:left="1440" w:hanging="360"/>
      </w:pPr>
      <w:rPr>
        <w:rFonts w:ascii="Courier New" w:hAnsi="Courier New" w:cs="Courier New" w:hint="default"/>
      </w:rPr>
    </w:lvl>
    <w:lvl w:ilvl="2" w:tplc="7A6282CC" w:tentative="1">
      <w:start w:val="1"/>
      <w:numFmt w:val="bullet"/>
      <w:lvlText w:val=""/>
      <w:lvlJc w:val="left"/>
      <w:pPr>
        <w:ind w:left="2160" w:hanging="360"/>
      </w:pPr>
      <w:rPr>
        <w:rFonts w:ascii="Wingdings" w:hAnsi="Wingdings" w:hint="default"/>
      </w:rPr>
    </w:lvl>
    <w:lvl w:ilvl="3" w:tplc="71BEE456" w:tentative="1">
      <w:start w:val="1"/>
      <w:numFmt w:val="bullet"/>
      <w:lvlText w:val=""/>
      <w:lvlJc w:val="left"/>
      <w:pPr>
        <w:ind w:left="2880" w:hanging="360"/>
      </w:pPr>
      <w:rPr>
        <w:rFonts w:ascii="Symbol" w:hAnsi="Symbol" w:hint="default"/>
      </w:rPr>
    </w:lvl>
    <w:lvl w:ilvl="4" w:tplc="624429D4" w:tentative="1">
      <w:start w:val="1"/>
      <w:numFmt w:val="bullet"/>
      <w:lvlText w:val="o"/>
      <w:lvlJc w:val="left"/>
      <w:pPr>
        <w:ind w:left="3600" w:hanging="360"/>
      </w:pPr>
      <w:rPr>
        <w:rFonts w:ascii="Courier New" w:hAnsi="Courier New" w:cs="Courier New" w:hint="default"/>
      </w:rPr>
    </w:lvl>
    <w:lvl w:ilvl="5" w:tplc="F896575A" w:tentative="1">
      <w:start w:val="1"/>
      <w:numFmt w:val="bullet"/>
      <w:lvlText w:val=""/>
      <w:lvlJc w:val="left"/>
      <w:pPr>
        <w:ind w:left="4320" w:hanging="360"/>
      </w:pPr>
      <w:rPr>
        <w:rFonts w:ascii="Wingdings" w:hAnsi="Wingdings" w:hint="default"/>
      </w:rPr>
    </w:lvl>
    <w:lvl w:ilvl="6" w:tplc="AA8C4C46" w:tentative="1">
      <w:start w:val="1"/>
      <w:numFmt w:val="bullet"/>
      <w:lvlText w:val=""/>
      <w:lvlJc w:val="left"/>
      <w:pPr>
        <w:ind w:left="5040" w:hanging="360"/>
      </w:pPr>
      <w:rPr>
        <w:rFonts w:ascii="Symbol" w:hAnsi="Symbol" w:hint="default"/>
      </w:rPr>
    </w:lvl>
    <w:lvl w:ilvl="7" w:tplc="8FC2ABEE" w:tentative="1">
      <w:start w:val="1"/>
      <w:numFmt w:val="bullet"/>
      <w:lvlText w:val="o"/>
      <w:lvlJc w:val="left"/>
      <w:pPr>
        <w:ind w:left="5760" w:hanging="360"/>
      </w:pPr>
      <w:rPr>
        <w:rFonts w:ascii="Courier New" w:hAnsi="Courier New" w:cs="Courier New" w:hint="default"/>
      </w:rPr>
    </w:lvl>
    <w:lvl w:ilvl="8" w:tplc="3392C6BC" w:tentative="1">
      <w:start w:val="1"/>
      <w:numFmt w:val="bullet"/>
      <w:lvlText w:val=""/>
      <w:lvlJc w:val="left"/>
      <w:pPr>
        <w:ind w:left="6480" w:hanging="360"/>
      </w:pPr>
      <w:rPr>
        <w:rFonts w:ascii="Wingdings" w:hAnsi="Wingdings" w:hint="default"/>
      </w:rPr>
    </w:lvl>
  </w:abstractNum>
  <w:abstractNum w:abstractNumId="8" w15:restartNumberingAfterBreak="0">
    <w:nsid w:val="10567471"/>
    <w:multiLevelType w:val="hybridMultilevel"/>
    <w:tmpl w:val="CA186FC4"/>
    <w:lvl w:ilvl="0" w:tplc="789C5EB4">
      <w:start w:val="1"/>
      <w:numFmt w:val="bullet"/>
      <w:lvlText w:val=""/>
      <w:lvlJc w:val="left"/>
      <w:rPr>
        <w:rFonts w:ascii="Symbol" w:hAnsi="Symbol" w:hint="default"/>
        <w:sz w:val="20"/>
      </w:rPr>
    </w:lvl>
    <w:lvl w:ilvl="1" w:tplc="AF305992" w:tentative="1">
      <w:start w:val="1"/>
      <w:numFmt w:val="bullet"/>
      <w:lvlText w:val="o"/>
      <w:lvlJc w:val="left"/>
      <w:pPr>
        <w:ind w:left="720" w:hanging="360"/>
      </w:pPr>
      <w:rPr>
        <w:rFonts w:ascii="Courier New" w:hAnsi="Courier New" w:cs="Courier New" w:hint="default"/>
      </w:rPr>
    </w:lvl>
    <w:lvl w:ilvl="2" w:tplc="BE705B70" w:tentative="1">
      <w:start w:val="1"/>
      <w:numFmt w:val="bullet"/>
      <w:lvlText w:val=""/>
      <w:lvlJc w:val="left"/>
      <w:pPr>
        <w:ind w:left="1440" w:hanging="360"/>
      </w:pPr>
      <w:rPr>
        <w:rFonts w:ascii="Wingdings" w:hAnsi="Wingdings" w:hint="default"/>
      </w:rPr>
    </w:lvl>
    <w:lvl w:ilvl="3" w:tplc="365E2876" w:tentative="1">
      <w:start w:val="1"/>
      <w:numFmt w:val="bullet"/>
      <w:lvlText w:val=""/>
      <w:lvlJc w:val="left"/>
      <w:pPr>
        <w:ind w:left="2160" w:hanging="360"/>
      </w:pPr>
      <w:rPr>
        <w:rFonts w:ascii="Symbol" w:hAnsi="Symbol" w:hint="default"/>
      </w:rPr>
    </w:lvl>
    <w:lvl w:ilvl="4" w:tplc="9E582DFC" w:tentative="1">
      <w:start w:val="1"/>
      <w:numFmt w:val="bullet"/>
      <w:lvlText w:val="o"/>
      <w:lvlJc w:val="left"/>
      <w:pPr>
        <w:ind w:left="2880" w:hanging="360"/>
      </w:pPr>
      <w:rPr>
        <w:rFonts w:ascii="Courier New" w:hAnsi="Courier New" w:cs="Courier New" w:hint="default"/>
      </w:rPr>
    </w:lvl>
    <w:lvl w:ilvl="5" w:tplc="A88CA4D4" w:tentative="1">
      <w:start w:val="1"/>
      <w:numFmt w:val="bullet"/>
      <w:lvlText w:val=""/>
      <w:lvlJc w:val="left"/>
      <w:pPr>
        <w:ind w:left="3600" w:hanging="360"/>
      </w:pPr>
      <w:rPr>
        <w:rFonts w:ascii="Wingdings" w:hAnsi="Wingdings" w:hint="default"/>
      </w:rPr>
    </w:lvl>
    <w:lvl w:ilvl="6" w:tplc="0B3A0338" w:tentative="1">
      <w:start w:val="1"/>
      <w:numFmt w:val="bullet"/>
      <w:lvlText w:val=""/>
      <w:lvlJc w:val="left"/>
      <w:pPr>
        <w:ind w:left="4320" w:hanging="360"/>
      </w:pPr>
      <w:rPr>
        <w:rFonts w:ascii="Symbol" w:hAnsi="Symbol" w:hint="default"/>
      </w:rPr>
    </w:lvl>
    <w:lvl w:ilvl="7" w:tplc="C84A3FA8" w:tentative="1">
      <w:start w:val="1"/>
      <w:numFmt w:val="bullet"/>
      <w:lvlText w:val="o"/>
      <w:lvlJc w:val="left"/>
      <w:pPr>
        <w:ind w:left="5040" w:hanging="360"/>
      </w:pPr>
      <w:rPr>
        <w:rFonts w:ascii="Courier New" w:hAnsi="Courier New" w:cs="Courier New" w:hint="default"/>
      </w:rPr>
    </w:lvl>
    <w:lvl w:ilvl="8" w:tplc="62BAEF0A" w:tentative="1">
      <w:start w:val="1"/>
      <w:numFmt w:val="bullet"/>
      <w:lvlText w:val=""/>
      <w:lvlJc w:val="left"/>
      <w:pPr>
        <w:ind w:left="5760" w:hanging="360"/>
      </w:pPr>
      <w:rPr>
        <w:rFonts w:ascii="Wingdings" w:hAnsi="Wingdings" w:hint="default"/>
      </w:rPr>
    </w:lvl>
  </w:abstractNum>
  <w:abstractNum w:abstractNumId="9" w15:restartNumberingAfterBreak="0">
    <w:nsid w:val="14216FA6"/>
    <w:multiLevelType w:val="multilevel"/>
    <w:tmpl w:val="0C09001D"/>
    <w:styleLink w:val="ListStyle"/>
    <w:lvl w:ilvl="0">
      <w:start w:val="1"/>
      <w:numFmt w:val="lowerLetter"/>
      <w:lvlText w:val="%1)"/>
      <w:lvlJc w:val="left"/>
      <w:pPr>
        <w:tabs>
          <w:tab w:val="num" w:pos="360"/>
        </w:tabs>
        <w:ind w:left="360" w:hanging="360"/>
      </w:pPr>
      <w:rPr>
        <w:rFonts w:ascii="Arial" w:hAnsi="Arial"/>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77D4BB9"/>
    <w:multiLevelType w:val="hybridMultilevel"/>
    <w:tmpl w:val="96329A84"/>
    <w:lvl w:ilvl="0" w:tplc="4BE89326">
      <w:start w:val="1"/>
      <w:numFmt w:val="bullet"/>
      <w:lvlText w:val=""/>
      <w:lvlJc w:val="left"/>
      <w:pPr>
        <w:ind w:left="720" w:hanging="360"/>
      </w:pPr>
      <w:rPr>
        <w:rFonts w:ascii="Symbol" w:hAnsi="Symbol" w:hint="default"/>
      </w:rPr>
    </w:lvl>
    <w:lvl w:ilvl="1" w:tplc="99000EFC">
      <w:start w:val="1"/>
      <w:numFmt w:val="bullet"/>
      <w:lvlText w:val="o"/>
      <w:lvlJc w:val="left"/>
      <w:pPr>
        <w:ind w:left="1440" w:hanging="360"/>
      </w:pPr>
      <w:rPr>
        <w:rFonts w:ascii="Courier New" w:hAnsi="Courier New" w:cs="Courier New" w:hint="default"/>
      </w:rPr>
    </w:lvl>
    <w:lvl w:ilvl="2" w:tplc="35B606BC" w:tentative="1">
      <w:start w:val="1"/>
      <w:numFmt w:val="bullet"/>
      <w:lvlText w:val=""/>
      <w:lvlJc w:val="left"/>
      <w:pPr>
        <w:ind w:left="2160" w:hanging="360"/>
      </w:pPr>
      <w:rPr>
        <w:rFonts w:ascii="Wingdings" w:hAnsi="Wingdings" w:hint="default"/>
      </w:rPr>
    </w:lvl>
    <w:lvl w:ilvl="3" w:tplc="AFD6475E" w:tentative="1">
      <w:start w:val="1"/>
      <w:numFmt w:val="bullet"/>
      <w:lvlText w:val=""/>
      <w:lvlJc w:val="left"/>
      <w:pPr>
        <w:ind w:left="2880" w:hanging="360"/>
      </w:pPr>
      <w:rPr>
        <w:rFonts w:ascii="Symbol" w:hAnsi="Symbol" w:hint="default"/>
      </w:rPr>
    </w:lvl>
    <w:lvl w:ilvl="4" w:tplc="65389302" w:tentative="1">
      <w:start w:val="1"/>
      <w:numFmt w:val="bullet"/>
      <w:lvlText w:val="o"/>
      <w:lvlJc w:val="left"/>
      <w:pPr>
        <w:ind w:left="3600" w:hanging="360"/>
      </w:pPr>
      <w:rPr>
        <w:rFonts w:ascii="Courier New" w:hAnsi="Courier New" w:cs="Courier New" w:hint="default"/>
      </w:rPr>
    </w:lvl>
    <w:lvl w:ilvl="5" w:tplc="624086F0" w:tentative="1">
      <w:start w:val="1"/>
      <w:numFmt w:val="bullet"/>
      <w:lvlText w:val=""/>
      <w:lvlJc w:val="left"/>
      <w:pPr>
        <w:ind w:left="4320" w:hanging="360"/>
      </w:pPr>
      <w:rPr>
        <w:rFonts w:ascii="Wingdings" w:hAnsi="Wingdings" w:hint="default"/>
      </w:rPr>
    </w:lvl>
    <w:lvl w:ilvl="6" w:tplc="34505378" w:tentative="1">
      <w:start w:val="1"/>
      <w:numFmt w:val="bullet"/>
      <w:lvlText w:val=""/>
      <w:lvlJc w:val="left"/>
      <w:pPr>
        <w:ind w:left="5040" w:hanging="360"/>
      </w:pPr>
      <w:rPr>
        <w:rFonts w:ascii="Symbol" w:hAnsi="Symbol" w:hint="default"/>
      </w:rPr>
    </w:lvl>
    <w:lvl w:ilvl="7" w:tplc="A8729F26" w:tentative="1">
      <w:start w:val="1"/>
      <w:numFmt w:val="bullet"/>
      <w:lvlText w:val="o"/>
      <w:lvlJc w:val="left"/>
      <w:pPr>
        <w:ind w:left="5760" w:hanging="360"/>
      </w:pPr>
      <w:rPr>
        <w:rFonts w:ascii="Courier New" w:hAnsi="Courier New" w:cs="Courier New" w:hint="default"/>
      </w:rPr>
    </w:lvl>
    <w:lvl w:ilvl="8" w:tplc="07102B10" w:tentative="1">
      <w:start w:val="1"/>
      <w:numFmt w:val="bullet"/>
      <w:lvlText w:val=""/>
      <w:lvlJc w:val="left"/>
      <w:pPr>
        <w:ind w:left="6480" w:hanging="360"/>
      </w:pPr>
      <w:rPr>
        <w:rFonts w:ascii="Wingdings" w:hAnsi="Wingdings" w:hint="default"/>
      </w:rPr>
    </w:lvl>
  </w:abstractNum>
  <w:abstractNum w:abstractNumId="11" w15:restartNumberingAfterBreak="0">
    <w:nsid w:val="192856CD"/>
    <w:multiLevelType w:val="hybridMultilevel"/>
    <w:tmpl w:val="26943E14"/>
    <w:lvl w:ilvl="0" w:tplc="F180722A">
      <w:start w:val="1"/>
      <w:numFmt w:val="lowerRoman"/>
      <w:lvlText w:val="(%1)"/>
      <w:lvlJc w:val="left"/>
      <w:pPr>
        <w:ind w:left="1080" w:hanging="720"/>
      </w:pPr>
      <w:rPr>
        <w:rFonts w:hint="default"/>
      </w:rPr>
    </w:lvl>
    <w:lvl w:ilvl="1" w:tplc="4F3401BE" w:tentative="1">
      <w:start w:val="1"/>
      <w:numFmt w:val="lowerLetter"/>
      <w:lvlText w:val="%2."/>
      <w:lvlJc w:val="left"/>
      <w:pPr>
        <w:ind w:left="1440" w:hanging="360"/>
      </w:pPr>
    </w:lvl>
    <w:lvl w:ilvl="2" w:tplc="17266066" w:tentative="1">
      <w:start w:val="1"/>
      <w:numFmt w:val="lowerRoman"/>
      <w:lvlText w:val="%3."/>
      <w:lvlJc w:val="right"/>
      <w:pPr>
        <w:ind w:left="2160" w:hanging="180"/>
      </w:pPr>
    </w:lvl>
    <w:lvl w:ilvl="3" w:tplc="9E0E2726" w:tentative="1">
      <w:start w:val="1"/>
      <w:numFmt w:val="decimal"/>
      <w:lvlText w:val="%4."/>
      <w:lvlJc w:val="left"/>
      <w:pPr>
        <w:ind w:left="2880" w:hanging="360"/>
      </w:pPr>
    </w:lvl>
    <w:lvl w:ilvl="4" w:tplc="2F8EBBCC" w:tentative="1">
      <w:start w:val="1"/>
      <w:numFmt w:val="lowerLetter"/>
      <w:lvlText w:val="%5."/>
      <w:lvlJc w:val="left"/>
      <w:pPr>
        <w:ind w:left="3600" w:hanging="360"/>
      </w:pPr>
    </w:lvl>
    <w:lvl w:ilvl="5" w:tplc="2D98AF1E" w:tentative="1">
      <w:start w:val="1"/>
      <w:numFmt w:val="lowerRoman"/>
      <w:lvlText w:val="%6."/>
      <w:lvlJc w:val="right"/>
      <w:pPr>
        <w:ind w:left="4320" w:hanging="180"/>
      </w:pPr>
    </w:lvl>
    <w:lvl w:ilvl="6" w:tplc="B9C8CE6C" w:tentative="1">
      <w:start w:val="1"/>
      <w:numFmt w:val="decimal"/>
      <w:lvlText w:val="%7."/>
      <w:lvlJc w:val="left"/>
      <w:pPr>
        <w:ind w:left="5040" w:hanging="360"/>
      </w:pPr>
    </w:lvl>
    <w:lvl w:ilvl="7" w:tplc="AA003A06" w:tentative="1">
      <w:start w:val="1"/>
      <w:numFmt w:val="lowerLetter"/>
      <w:lvlText w:val="%8."/>
      <w:lvlJc w:val="left"/>
      <w:pPr>
        <w:ind w:left="5760" w:hanging="360"/>
      </w:pPr>
    </w:lvl>
    <w:lvl w:ilvl="8" w:tplc="6A360E56" w:tentative="1">
      <w:start w:val="1"/>
      <w:numFmt w:val="lowerRoman"/>
      <w:lvlText w:val="%9."/>
      <w:lvlJc w:val="right"/>
      <w:pPr>
        <w:ind w:left="6480" w:hanging="180"/>
      </w:pPr>
    </w:lvl>
  </w:abstractNum>
  <w:abstractNum w:abstractNumId="12" w15:restartNumberingAfterBreak="0">
    <w:nsid w:val="1DAB5FF6"/>
    <w:multiLevelType w:val="hybridMultilevel"/>
    <w:tmpl w:val="413CE73E"/>
    <w:lvl w:ilvl="0" w:tplc="56D8308C">
      <w:start w:val="1"/>
      <w:numFmt w:val="lowerRoman"/>
      <w:lvlText w:val="(%1)."/>
      <w:lvlJc w:val="center"/>
      <w:pPr>
        <w:ind w:left="720" w:hanging="360"/>
      </w:pPr>
      <w:rPr>
        <w:rFonts w:hint="default"/>
      </w:rPr>
    </w:lvl>
    <w:lvl w:ilvl="1" w:tplc="BD0050FA" w:tentative="1">
      <w:start w:val="1"/>
      <w:numFmt w:val="lowerLetter"/>
      <w:lvlText w:val="%2."/>
      <w:lvlJc w:val="left"/>
      <w:pPr>
        <w:ind w:left="1440" w:hanging="360"/>
      </w:pPr>
    </w:lvl>
    <w:lvl w:ilvl="2" w:tplc="E954F854" w:tentative="1">
      <w:start w:val="1"/>
      <w:numFmt w:val="lowerRoman"/>
      <w:lvlText w:val="%3."/>
      <w:lvlJc w:val="right"/>
      <w:pPr>
        <w:ind w:left="2160" w:hanging="180"/>
      </w:pPr>
    </w:lvl>
    <w:lvl w:ilvl="3" w:tplc="7660C374" w:tentative="1">
      <w:start w:val="1"/>
      <w:numFmt w:val="decimal"/>
      <w:lvlText w:val="%4."/>
      <w:lvlJc w:val="left"/>
      <w:pPr>
        <w:ind w:left="2880" w:hanging="360"/>
      </w:pPr>
    </w:lvl>
    <w:lvl w:ilvl="4" w:tplc="E22AFBF8" w:tentative="1">
      <w:start w:val="1"/>
      <w:numFmt w:val="lowerLetter"/>
      <w:lvlText w:val="%5."/>
      <w:lvlJc w:val="left"/>
      <w:pPr>
        <w:ind w:left="3600" w:hanging="360"/>
      </w:pPr>
    </w:lvl>
    <w:lvl w:ilvl="5" w:tplc="0F92C8D4" w:tentative="1">
      <w:start w:val="1"/>
      <w:numFmt w:val="lowerRoman"/>
      <w:lvlText w:val="%6."/>
      <w:lvlJc w:val="right"/>
      <w:pPr>
        <w:ind w:left="4320" w:hanging="180"/>
      </w:pPr>
    </w:lvl>
    <w:lvl w:ilvl="6" w:tplc="E7FE9ED8" w:tentative="1">
      <w:start w:val="1"/>
      <w:numFmt w:val="decimal"/>
      <w:lvlText w:val="%7."/>
      <w:lvlJc w:val="left"/>
      <w:pPr>
        <w:ind w:left="5040" w:hanging="360"/>
      </w:pPr>
    </w:lvl>
    <w:lvl w:ilvl="7" w:tplc="52D636C2" w:tentative="1">
      <w:start w:val="1"/>
      <w:numFmt w:val="lowerLetter"/>
      <w:lvlText w:val="%8."/>
      <w:lvlJc w:val="left"/>
      <w:pPr>
        <w:ind w:left="5760" w:hanging="360"/>
      </w:pPr>
    </w:lvl>
    <w:lvl w:ilvl="8" w:tplc="0BF8647A" w:tentative="1">
      <w:start w:val="1"/>
      <w:numFmt w:val="lowerRoman"/>
      <w:lvlText w:val="%9."/>
      <w:lvlJc w:val="right"/>
      <w:pPr>
        <w:ind w:left="6480" w:hanging="180"/>
      </w:pPr>
    </w:lvl>
  </w:abstractNum>
  <w:abstractNum w:abstractNumId="13" w15:restartNumberingAfterBreak="0">
    <w:nsid w:val="219C0917"/>
    <w:multiLevelType w:val="hybridMultilevel"/>
    <w:tmpl w:val="BA527832"/>
    <w:lvl w:ilvl="0" w:tplc="18C6E94E">
      <w:start w:val="1"/>
      <w:numFmt w:val="bullet"/>
      <w:lvlText w:val=""/>
      <w:lvlJc w:val="left"/>
      <w:pPr>
        <w:ind w:left="720" w:hanging="360"/>
      </w:pPr>
      <w:rPr>
        <w:rFonts w:ascii="Symbol" w:hAnsi="Symbol" w:hint="default"/>
      </w:rPr>
    </w:lvl>
    <w:lvl w:ilvl="1" w:tplc="14767438">
      <w:start w:val="1"/>
      <w:numFmt w:val="bullet"/>
      <w:lvlText w:val="o"/>
      <w:lvlJc w:val="left"/>
      <w:pPr>
        <w:ind w:left="1440" w:hanging="360"/>
      </w:pPr>
      <w:rPr>
        <w:rFonts w:ascii="Courier New" w:hAnsi="Courier New" w:cs="Courier New" w:hint="default"/>
      </w:rPr>
    </w:lvl>
    <w:lvl w:ilvl="2" w:tplc="06707628" w:tentative="1">
      <w:start w:val="1"/>
      <w:numFmt w:val="bullet"/>
      <w:lvlText w:val=""/>
      <w:lvlJc w:val="left"/>
      <w:pPr>
        <w:ind w:left="2160" w:hanging="360"/>
      </w:pPr>
      <w:rPr>
        <w:rFonts w:ascii="Wingdings" w:hAnsi="Wingdings" w:hint="default"/>
      </w:rPr>
    </w:lvl>
    <w:lvl w:ilvl="3" w:tplc="75A24F8E" w:tentative="1">
      <w:start w:val="1"/>
      <w:numFmt w:val="bullet"/>
      <w:lvlText w:val=""/>
      <w:lvlJc w:val="left"/>
      <w:pPr>
        <w:ind w:left="2880" w:hanging="360"/>
      </w:pPr>
      <w:rPr>
        <w:rFonts w:ascii="Symbol" w:hAnsi="Symbol" w:hint="default"/>
      </w:rPr>
    </w:lvl>
    <w:lvl w:ilvl="4" w:tplc="8B282174" w:tentative="1">
      <w:start w:val="1"/>
      <w:numFmt w:val="bullet"/>
      <w:lvlText w:val="o"/>
      <w:lvlJc w:val="left"/>
      <w:pPr>
        <w:ind w:left="3600" w:hanging="360"/>
      </w:pPr>
      <w:rPr>
        <w:rFonts w:ascii="Courier New" w:hAnsi="Courier New" w:cs="Courier New" w:hint="default"/>
      </w:rPr>
    </w:lvl>
    <w:lvl w:ilvl="5" w:tplc="EAE6FBF6" w:tentative="1">
      <w:start w:val="1"/>
      <w:numFmt w:val="bullet"/>
      <w:lvlText w:val=""/>
      <w:lvlJc w:val="left"/>
      <w:pPr>
        <w:ind w:left="4320" w:hanging="360"/>
      </w:pPr>
      <w:rPr>
        <w:rFonts w:ascii="Wingdings" w:hAnsi="Wingdings" w:hint="default"/>
      </w:rPr>
    </w:lvl>
    <w:lvl w:ilvl="6" w:tplc="CF22D040" w:tentative="1">
      <w:start w:val="1"/>
      <w:numFmt w:val="bullet"/>
      <w:lvlText w:val=""/>
      <w:lvlJc w:val="left"/>
      <w:pPr>
        <w:ind w:left="5040" w:hanging="360"/>
      </w:pPr>
      <w:rPr>
        <w:rFonts w:ascii="Symbol" w:hAnsi="Symbol" w:hint="default"/>
      </w:rPr>
    </w:lvl>
    <w:lvl w:ilvl="7" w:tplc="E70AF72A" w:tentative="1">
      <w:start w:val="1"/>
      <w:numFmt w:val="bullet"/>
      <w:lvlText w:val="o"/>
      <w:lvlJc w:val="left"/>
      <w:pPr>
        <w:ind w:left="5760" w:hanging="360"/>
      </w:pPr>
      <w:rPr>
        <w:rFonts w:ascii="Courier New" w:hAnsi="Courier New" w:cs="Courier New" w:hint="default"/>
      </w:rPr>
    </w:lvl>
    <w:lvl w:ilvl="8" w:tplc="A4143074" w:tentative="1">
      <w:start w:val="1"/>
      <w:numFmt w:val="bullet"/>
      <w:lvlText w:val=""/>
      <w:lvlJc w:val="left"/>
      <w:pPr>
        <w:ind w:left="6480" w:hanging="360"/>
      </w:pPr>
      <w:rPr>
        <w:rFonts w:ascii="Wingdings" w:hAnsi="Wingdings" w:hint="default"/>
      </w:rPr>
    </w:lvl>
  </w:abstractNum>
  <w:abstractNum w:abstractNumId="14" w15:restartNumberingAfterBreak="0">
    <w:nsid w:val="22C514BD"/>
    <w:multiLevelType w:val="hybridMultilevel"/>
    <w:tmpl w:val="97A66132"/>
    <w:lvl w:ilvl="0" w:tplc="91D2A56E">
      <w:start w:val="1"/>
      <w:numFmt w:val="bullet"/>
      <w:lvlText w:val=""/>
      <w:lvlJc w:val="left"/>
      <w:pPr>
        <w:ind w:left="720" w:hanging="360"/>
      </w:pPr>
      <w:rPr>
        <w:rFonts w:ascii="Symbol" w:hAnsi="Symbol" w:hint="default"/>
      </w:rPr>
    </w:lvl>
    <w:lvl w:ilvl="1" w:tplc="1136BE06" w:tentative="1">
      <w:start w:val="1"/>
      <w:numFmt w:val="bullet"/>
      <w:lvlText w:val="o"/>
      <w:lvlJc w:val="left"/>
      <w:pPr>
        <w:ind w:left="1440" w:hanging="360"/>
      </w:pPr>
      <w:rPr>
        <w:rFonts w:ascii="Courier New" w:hAnsi="Courier New" w:cs="Courier New" w:hint="default"/>
      </w:rPr>
    </w:lvl>
    <w:lvl w:ilvl="2" w:tplc="6888C5C0" w:tentative="1">
      <w:start w:val="1"/>
      <w:numFmt w:val="bullet"/>
      <w:lvlText w:val=""/>
      <w:lvlJc w:val="left"/>
      <w:pPr>
        <w:ind w:left="2160" w:hanging="360"/>
      </w:pPr>
      <w:rPr>
        <w:rFonts w:ascii="Wingdings" w:hAnsi="Wingdings" w:hint="default"/>
      </w:rPr>
    </w:lvl>
    <w:lvl w:ilvl="3" w:tplc="02D61D50" w:tentative="1">
      <w:start w:val="1"/>
      <w:numFmt w:val="bullet"/>
      <w:lvlText w:val=""/>
      <w:lvlJc w:val="left"/>
      <w:pPr>
        <w:ind w:left="2880" w:hanging="360"/>
      </w:pPr>
      <w:rPr>
        <w:rFonts w:ascii="Symbol" w:hAnsi="Symbol" w:hint="default"/>
      </w:rPr>
    </w:lvl>
    <w:lvl w:ilvl="4" w:tplc="C6CC04C6" w:tentative="1">
      <w:start w:val="1"/>
      <w:numFmt w:val="bullet"/>
      <w:lvlText w:val="o"/>
      <w:lvlJc w:val="left"/>
      <w:pPr>
        <w:ind w:left="3600" w:hanging="360"/>
      </w:pPr>
      <w:rPr>
        <w:rFonts w:ascii="Courier New" w:hAnsi="Courier New" w:cs="Courier New" w:hint="default"/>
      </w:rPr>
    </w:lvl>
    <w:lvl w:ilvl="5" w:tplc="8AA4429A" w:tentative="1">
      <w:start w:val="1"/>
      <w:numFmt w:val="bullet"/>
      <w:lvlText w:val=""/>
      <w:lvlJc w:val="left"/>
      <w:pPr>
        <w:ind w:left="4320" w:hanging="360"/>
      </w:pPr>
      <w:rPr>
        <w:rFonts w:ascii="Wingdings" w:hAnsi="Wingdings" w:hint="default"/>
      </w:rPr>
    </w:lvl>
    <w:lvl w:ilvl="6" w:tplc="8B64F84C" w:tentative="1">
      <w:start w:val="1"/>
      <w:numFmt w:val="bullet"/>
      <w:lvlText w:val=""/>
      <w:lvlJc w:val="left"/>
      <w:pPr>
        <w:ind w:left="5040" w:hanging="360"/>
      </w:pPr>
      <w:rPr>
        <w:rFonts w:ascii="Symbol" w:hAnsi="Symbol" w:hint="default"/>
      </w:rPr>
    </w:lvl>
    <w:lvl w:ilvl="7" w:tplc="366296DC" w:tentative="1">
      <w:start w:val="1"/>
      <w:numFmt w:val="bullet"/>
      <w:lvlText w:val="o"/>
      <w:lvlJc w:val="left"/>
      <w:pPr>
        <w:ind w:left="5760" w:hanging="360"/>
      </w:pPr>
      <w:rPr>
        <w:rFonts w:ascii="Courier New" w:hAnsi="Courier New" w:cs="Courier New" w:hint="default"/>
      </w:rPr>
    </w:lvl>
    <w:lvl w:ilvl="8" w:tplc="2536E4C6" w:tentative="1">
      <w:start w:val="1"/>
      <w:numFmt w:val="bullet"/>
      <w:lvlText w:val=""/>
      <w:lvlJc w:val="left"/>
      <w:pPr>
        <w:ind w:left="6480" w:hanging="360"/>
      </w:pPr>
      <w:rPr>
        <w:rFonts w:ascii="Wingdings" w:hAnsi="Wingdings" w:hint="default"/>
      </w:rPr>
    </w:lvl>
  </w:abstractNum>
  <w:abstractNum w:abstractNumId="15" w15:restartNumberingAfterBreak="0">
    <w:nsid w:val="289C24C1"/>
    <w:multiLevelType w:val="hybridMultilevel"/>
    <w:tmpl w:val="51465952"/>
    <w:lvl w:ilvl="0" w:tplc="740A1C88">
      <w:start w:val="1"/>
      <w:numFmt w:val="bullet"/>
      <w:lvlText w:val=""/>
      <w:lvlJc w:val="left"/>
      <w:pPr>
        <w:ind w:left="720" w:hanging="360"/>
      </w:pPr>
      <w:rPr>
        <w:rFonts w:ascii="Symbol" w:hAnsi="Symbol" w:hint="default"/>
      </w:rPr>
    </w:lvl>
    <w:lvl w:ilvl="1" w:tplc="0D4A3B28">
      <w:start w:val="1"/>
      <w:numFmt w:val="bullet"/>
      <w:lvlText w:val=""/>
      <w:lvlJc w:val="left"/>
      <w:pPr>
        <w:ind w:left="1440" w:hanging="360"/>
      </w:pPr>
      <w:rPr>
        <w:rFonts w:ascii="Symbol" w:hAnsi="Symbol" w:hint="default"/>
      </w:rPr>
    </w:lvl>
    <w:lvl w:ilvl="2" w:tplc="DC8C667C">
      <w:start w:val="1"/>
      <w:numFmt w:val="bullet"/>
      <w:lvlText w:val=""/>
      <w:lvlJc w:val="left"/>
      <w:pPr>
        <w:ind w:left="2160" w:hanging="360"/>
      </w:pPr>
      <w:rPr>
        <w:rFonts w:ascii="Wingdings" w:hAnsi="Wingdings" w:hint="default"/>
      </w:rPr>
    </w:lvl>
    <w:lvl w:ilvl="3" w:tplc="FC46D780">
      <w:start w:val="1"/>
      <w:numFmt w:val="bullet"/>
      <w:lvlText w:val=""/>
      <w:lvlJc w:val="left"/>
      <w:pPr>
        <w:ind w:left="2880" w:hanging="360"/>
      </w:pPr>
      <w:rPr>
        <w:rFonts w:ascii="Symbol" w:hAnsi="Symbol" w:hint="default"/>
      </w:rPr>
    </w:lvl>
    <w:lvl w:ilvl="4" w:tplc="D576A58E">
      <w:start w:val="1"/>
      <w:numFmt w:val="bullet"/>
      <w:lvlText w:val="o"/>
      <w:lvlJc w:val="left"/>
      <w:pPr>
        <w:ind w:left="3600" w:hanging="360"/>
      </w:pPr>
      <w:rPr>
        <w:rFonts w:ascii="Courier New" w:hAnsi="Courier New" w:cs="Courier New" w:hint="default"/>
      </w:rPr>
    </w:lvl>
    <w:lvl w:ilvl="5" w:tplc="D0721D92">
      <w:start w:val="1"/>
      <w:numFmt w:val="bullet"/>
      <w:lvlText w:val=""/>
      <w:lvlJc w:val="left"/>
      <w:pPr>
        <w:ind w:left="4320" w:hanging="360"/>
      </w:pPr>
      <w:rPr>
        <w:rFonts w:ascii="Wingdings" w:hAnsi="Wingdings" w:hint="default"/>
      </w:rPr>
    </w:lvl>
    <w:lvl w:ilvl="6" w:tplc="BCB635E6">
      <w:start w:val="1"/>
      <w:numFmt w:val="bullet"/>
      <w:lvlText w:val=""/>
      <w:lvlJc w:val="left"/>
      <w:pPr>
        <w:ind w:left="5040" w:hanging="360"/>
      </w:pPr>
      <w:rPr>
        <w:rFonts w:ascii="Symbol" w:hAnsi="Symbol" w:hint="default"/>
      </w:rPr>
    </w:lvl>
    <w:lvl w:ilvl="7" w:tplc="19485ABC">
      <w:start w:val="1"/>
      <w:numFmt w:val="bullet"/>
      <w:lvlText w:val="o"/>
      <w:lvlJc w:val="left"/>
      <w:pPr>
        <w:ind w:left="5760" w:hanging="360"/>
      </w:pPr>
      <w:rPr>
        <w:rFonts w:ascii="Courier New" w:hAnsi="Courier New" w:cs="Courier New" w:hint="default"/>
      </w:rPr>
    </w:lvl>
    <w:lvl w:ilvl="8" w:tplc="6C321F2C">
      <w:start w:val="1"/>
      <w:numFmt w:val="bullet"/>
      <w:lvlText w:val=""/>
      <w:lvlJc w:val="left"/>
      <w:pPr>
        <w:ind w:left="6480" w:hanging="360"/>
      </w:pPr>
      <w:rPr>
        <w:rFonts w:ascii="Wingdings" w:hAnsi="Wingdings" w:hint="default"/>
      </w:rPr>
    </w:lvl>
  </w:abstractNum>
  <w:abstractNum w:abstractNumId="16" w15:restartNumberingAfterBreak="0">
    <w:nsid w:val="2BF64784"/>
    <w:multiLevelType w:val="hybridMultilevel"/>
    <w:tmpl w:val="B6383A52"/>
    <w:lvl w:ilvl="0" w:tplc="60F6583A">
      <w:start w:val="1"/>
      <w:numFmt w:val="decimal"/>
      <w:lvlText w:val="%1."/>
      <w:lvlJc w:val="left"/>
      <w:rPr>
        <w:rFonts w:hint="default"/>
      </w:rPr>
    </w:lvl>
    <w:lvl w:ilvl="1" w:tplc="FC222AFC">
      <w:start w:val="1"/>
      <w:numFmt w:val="decimal"/>
      <w:lvlText w:val="%2."/>
      <w:lvlJc w:val="left"/>
      <w:pPr>
        <w:ind w:left="2260" w:hanging="720"/>
      </w:pPr>
      <w:rPr>
        <w:rFonts w:hint="default"/>
      </w:rPr>
    </w:lvl>
    <w:lvl w:ilvl="2" w:tplc="5B38107C" w:tentative="1">
      <w:start w:val="1"/>
      <w:numFmt w:val="lowerRoman"/>
      <w:lvlText w:val="%3."/>
      <w:lvlJc w:val="right"/>
      <w:pPr>
        <w:ind w:left="2620" w:hanging="180"/>
      </w:pPr>
    </w:lvl>
    <w:lvl w:ilvl="3" w:tplc="EB863224" w:tentative="1">
      <w:start w:val="1"/>
      <w:numFmt w:val="decimal"/>
      <w:lvlText w:val="%4."/>
      <w:lvlJc w:val="left"/>
      <w:pPr>
        <w:ind w:left="3340" w:hanging="360"/>
      </w:pPr>
    </w:lvl>
    <w:lvl w:ilvl="4" w:tplc="FF2270F0" w:tentative="1">
      <w:start w:val="1"/>
      <w:numFmt w:val="lowerLetter"/>
      <w:lvlText w:val="%5."/>
      <w:lvlJc w:val="left"/>
      <w:pPr>
        <w:ind w:left="4060" w:hanging="360"/>
      </w:pPr>
    </w:lvl>
    <w:lvl w:ilvl="5" w:tplc="41EA3EE2" w:tentative="1">
      <w:start w:val="1"/>
      <w:numFmt w:val="lowerRoman"/>
      <w:lvlText w:val="%6."/>
      <w:lvlJc w:val="right"/>
      <w:pPr>
        <w:ind w:left="4780" w:hanging="180"/>
      </w:pPr>
    </w:lvl>
    <w:lvl w:ilvl="6" w:tplc="AD7854B6" w:tentative="1">
      <w:start w:val="1"/>
      <w:numFmt w:val="decimal"/>
      <w:lvlText w:val="%7."/>
      <w:lvlJc w:val="left"/>
      <w:pPr>
        <w:ind w:left="5500" w:hanging="360"/>
      </w:pPr>
    </w:lvl>
    <w:lvl w:ilvl="7" w:tplc="44C0F252" w:tentative="1">
      <w:start w:val="1"/>
      <w:numFmt w:val="lowerLetter"/>
      <w:lvlText w:val="%8."/>
      <w:lvlJc w:val="left"/>
      <w:pPr>
        <w:ind w:left="6220" w:hanging="360"/>
      </w:pPr>
    </w:lvl>
    <w:lvl w:ilvl="8" w:tplc="EB468A22" w:tentative="1">
      <w:start w:val="1"/>
      <w:numFmt w:val="lowerRoman"/>
      <w:lvlText w:val="%9."/>
      <w:lvlJc w:val="right"/>
      <w:pPr>
        <w:ind w:left="6940" w:hanging="180"/>
      </w:pPr>
    </w:lvl>
  </w:abstractNum>
  <w:abstractNum w:abstractNumId="17" w15:restartNumberingAfterBreak="0">
    <w:nsid w:val="31EC6363"/>
    <w:multiLevelType w:val="hybridMultilevel"/>
    <w:tmpl w:val="445022F6"/>
    <w:lvl w:ilvl="0" w:tplc="7556E2F0">
      <w:start w:val="1"/>
      <w:numFmt w:val="lowerRoman"/>
      <w:lvlText w:val="(%1)"/>
      <w:lvlJc w:val="center"/>
      <w:pPr>
        <w:ind w:left="720" w:hanging="360"/>
      </w:pPr>
      <w:rPr>
        <w:rFonts w:hint="default"/>
      </w:rPr>
    </w:lvl>
    <w:lvl w:ilvl="1" w:tplc="96E66514" w:tentative="1">
      <w:start w:val="1"/>
      <w:numFmt w:val="bullet"/>
      <w:lvlText w:val="o"/>
      <w:lvlJc w:val="left"/>
      <w:pPr>
        <w:ind w:left="1440" w:hanging="360"/>
      </w:pPr>
      <w:rPr>
        <w:rFonts w:ascii="Courier New" w:hAnsi="Courier New" w:cs="Courier New" w:hint="default"/>
      </w:rPr>
    </w:lvl>
    <w:lvl w:ilvl="2" w:tplc="074AEF80" w:tentative="1">
      <w:start w:val="1"/>
      <w:numFmt w:val="bullet"/>
      <w:lvlText w:val=""/>
      <w:lvlJc w:val="left"/>
      <w:pPr>
        <w:ind w:left="2160" w:hanging="360"/>
      </w:pPr>
      <w:rPr>
        <w:rFonts w:ascii="Wingdings" w:hAnsi="Wingdings" w:hint="default"/>
      </w:rPr>
    </w:lvl>
    <w:lvl w:ilvl="3" w:tplc="C6A2D64C" w:tentative="1">
      <w:start w:val="1"/>
      <w:numFmt w:val="bullet"/>
      <w:lvlText w:val=""/>
      <w:lvlJc w:val="left"/>
      <w:pPr>
        <w:ind w:left="2880" w:hanging="360"/>
      </w:pPr>
      <w:rPr>
        <w:rFonts w:ascii="Symbol" w:hAnsi="Symbol" w:hint="default"/>
      </w:rPr>
    </w:lvl>
    <w:lvl w:ilvl="4" w:tplc="CEAC59B0" w:tentative="1">
      <w:start w:val="1"/>
      <w:numFmt w:val="bullet"/>
      <w:lvlText w:val="o"/>
      <w:lvlJc w:val="left"/>
      <w:pPr>
        <w:ind w:left="3600" w:hanging="360"/>
      </w:pPr>
      <w:rPr>
        <w:rFonts w:ascii="Courier New" w:hAnsi="Courier New" w:cs="Courier New" w:hint="default"/>
      </w:rPr>
    </w:lvl>
    <w:lvl w:ilvl="5" w:tplc="0EFC42D6" w:tentative="1">
      <w:start w:val="1"/>
      <w:numFmt w:val="bullet"/>
      <w:lvlText w:val=""/>
      <w:lvlJc w:val="left"/>
      <w:pPr>
        <w:ind w:left="4320" w:hanging="360"/>
      </w:pPr>
      <w:rPr>
        <w:rFonts w:ascii="Wingdings" w:hAnsi="Wingdings" w:hint="default"/>
      </w:rPr>
    </w:lvl>
    <w:lvl w:ilvl="6" w:tplc="5778FEF0" w:tentative="1">
      <w:start w:val="1"/>
      <w:numFmt w:val="bullet"/>
      <w:lvlText w:val=""/>
      <w:lvlJc w:val="left"/>
      <w:pPr>
        <w:ind w:left="5040" w:hanging="360"/>
      </w:pPr>
      <w:rPr>
        <w:rFonts w:ascii="Symbol" w:hAnsi="Symbol" w:hint="default"/>
      </w:rPr>
    </w:lvl>
    <w:lvl w:ilvl="7" w:tplc="FD90302E" w:tentative="1">
      <w:start w:val="1"/>
      <w:numFmt w:val="bullet"/>
      <w:lvlText w:val="o"/>
      <w:lvlJc w:val="left"/>
      <w:pPr>
        <w:ind w:left="5760" w:hanging="360"/>
      </w:pPr>
      <w:rPr>
        <w:rFonts w:ascii="Courier New" w:hAnsi="Courier New" w:cs="Courier New" w:hint="default"/>
      </w:rPr>
    </w:lvl>
    <w:lvl w:ilvl="8" w:tplc="DAA4559A" w:tentative="1">
      <w:start w:val="1"/>
      <w:numFmt w:val="bullet"/>
      <w:lvlText w:val=""/>
      <w:lvlJc w:val="left"/>
      <w:pPr>
        <w:ind w:left="6480" w:hanging="360"/>
      </w:pPr>
      <w:rPr>
        <w:rFonts w:ascii="Wingdings" w:hAnsi="Wingdings" w:hint="default"/>
      </w:rPr>
    </w:lvl>
  </w:abstractNum>
  <w:abstractNum w:abstractNumId="18" w15:restartNumberingAfterBreak="0">
    <w:nsid w:val="32256189"/>
    <w:multiLevelType w:val="multilevel"/>
    <w:tmpl w:val="2DC2CB7E"/>
    <w:lvl w:ilvl="0">
      <w:start w:val="1"/>
      <w:numFmt w:val="decimal"/>
      <w:pStyle w:val="Heading1"/>
      <w:lvlText w:val="%1"/>
      <w:lvlJc w:val="left"/>
      <w:pPr>
        <w:tabs>
          <w:tab w:val="num" w:pos="142"/>
        </w:tabs>
        <w:ind w:left="142" w:firstLine="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pStyle w:val="Heading3"/>
      <w:lvlText w:val="%1.%2.%3."/>
      <w:lvlJc w:val="left"/>
      <w:pPr>
        <w:tabs>
          <w:tab w:val="num" w:pos="0"/>
        </w:tabs>
        <w:ind w:left="0" w:firstLine="0"/>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9" w15:restartNumberingAfterBreak="0">
    <w:nsid w:val="329E1114"/>
    <w:multiLevelType w:val="hybridMultilevel"/>
    <w:tmpl w:val="59465EE4"/>
    <w:lvl w:ilvl="0" w:tplc="FDE86BA0">
      <w:start w:val="1"/>
      <w:numFmt w:val="decimal"/>
      <w:lvlText w:val="%1."/>
      <w:lvlJc w:val="left"/>
      <w:rPr>
        <w:rFonts w:hint="default"/>
      </w:rPr>
    </w:lvl>
    <w:lvl w:ilvl="1" w:tplc="6ACED3F4">
      <w:start w:val="1"/>
      <w:numFmt w:val="decimal"/>
      <w:lvlText w:val="%2."/>
      <w:lvlJc w:val="left"/>
      <w:pPr>
        <w:ind w:left="2260" w:hanging="720"/>
      </w:pPr>
      <w:rPr>
        <w:rFonts w:hint="default"/>
      </w:rPr>
    </w:lvl>
    <w:lvl w:ilvl="2" w:tplc="C3E6E68E">
      <w:start w:val="3"/>
      <w:numFmt w:val="bullet"/>
      <w:lvlText w:val="•"/>
      <w:lvlJc w:val="left"/>
      <w:pPr>
        <w:ind w:left="2800" w:hanging="360"/>
      </w:pPr>
      <w:rPr>
        <w:rFonts w:ascii="Arial" w:eastAsia="Times New Roman" w:hAnsi="Arial" w:cs="Arial" w:hint="default"/>
      </w:rPr>
    </w:lvl>
    <w:lvl w:ilvl="3" w:tplc="9C3AF60E">
      <w:numFmt w:val="bullet"/>
      <w:lvlText w:val="-"/>
      <w:lvlJc w:val="left"/>
      <w:pPr>
        <w:ind w:left="3340" w:hanging="360"/>
      </w:pPr>
      <w:rPr>
        <w:rFonts w:ascii="Arial" w:eastAsia="Times New Roman" w:hAnsi="Arial" w:cs="Arial" w:hint="default"/>
      </w:rPr>
    </w:lvl>
    <w:lvl w:ilvl="4" w:tplc="0D084AFA">
      <w:start w:val="1"/>
      <w:numFmt w:val="decimal"/>
      <w:lvlText w:val="%5)"/>
      <w:lvlJc w:val="left"/>
      <w:pPr>
        <w:ind w:left="4060" w:hanging="360"/>
      </w:pPr>
      <w:rPr>
        <w:rFonts w:hint="default"/>
      </w:rPr>
    </w:lvl>
    <w:lvl w:ilvl="5" w:tplc="CCC42C36" w:tentative="1">
      <w:start w:val="1"/>
      <w:numFmt w:val="lowerRoman"/>
      <w:lvlText w:val="%6."/>
      <w:lvlJc w:val="right"/>
      <w:pPr>
        <w:ind w:left="4780" w:hanging="180"/>
      </w:pPr>
    </w:lvl>
    <w:lvl w:ilvl="6" w:tplc="95FA0A74" w:tentative="1">
      <w:start w:val="1"/>
      <w:numFmt w:val="decimal"/>
      <w:lvlText w:val="%7."/>
      <w:lvlJc w:val="left"/>
      <w:pPr>
        <w:ind w:left="5500" w:hanging="360"/>
      </w:pPr>
    </w:lvl>
    <w:lvl w:ilvl="7" w:tplc="6EDA440C" w:tentative="1">
      <w:start w:val="1"/>
      <w:numFmt w:val="lowerLetter"/>
      <w:lvlText w:val="%8."/>
      <w:lvlJc w:val="left"/>
      <w:pPr>
        <w:ind w:left="6220" w:hanging="360"/>
      </w:pPr>
    </w:lvl>
    <w:lvl w:ilvl="8" w:tplc="FE7CA1F8" w:tentative="1">
      <w:start w:val="1"/>
      <w:numFmt w:val="lowerRoman"/>
      <w:lvlText w:val="%9."/>
      <w:lvlJc w:val="right"/>
      <w:pPr>
        <w:ind w:left="6940" w:hanging="180"/>
      </w:pPr>
    </w:lvl>
  </w:abstractNum>
  <w:abstractNum w:abstractNumId="20" w15:restartNumberingAfterBreak="0">
    <w:nsid w:val="345B3D65"/>
    <w:multiLevelType w:val="hybridMultilevel"/>
    <w:tmpl w:val="33640F34"/>
    <w:lvl w:ilvl="0" w:tplc="12D02A9E">
      <w:start w:val="1"/>
      <w:numFmt w:val="lowerRoman"/>
      <w:lvlText w:val="(%1)."/>
      <w:lvlJc w:val="center"/>
      <w:pPr>
        <w:ind w:left="720" w:hanging="360"/>
      </w:pPr>
      <w:rPr>
        <w:rFonts w:hint="default"/>
      </w:rPr>
    </w:lvl>
    <w:lvl w:ilvl="1" w:tplc="3E328F92" w:tentative="1">
      <w:start w:val="1"/>
      <w:numFmt w:val="lowerLetter"/>
      <w:lvlText w:val="%2."/>
      <w:lvlJc w:val="left"/>
      <w:pPr>
        <w:ind w:left="1440" w:hanging="360"/>
      </w:pPr>
    </w:lvl>
    <w:lvl w:ilvl="2" w:tplc="5C6E43F2" w:tentative="1">
      <w:start w:val="1"/>
      <w:numFmt w:val="lowerRoman"/>
      <w:lvlText w:val="%3."/>
      <w:lvlJc w:val="right"/>
      <w:pPr>
        <w:ind w:left="2160" w:hanging="180"/>
      </w:pPr>
    </w:lvl>
    <w:lvl w:ilvl="3" w:tplc="126042E8" w:tentative="1">
      <w:start w:val="1"/>
      <w:numFmt w:val="decimal"/>
      <w:lvlText w:val="%4."/>
      <w:lvlJc w:val="left"/>
      <w:pPr>
        <w:ind w:left="2880" w:hanging="360"/>
      </w:pPr>
    </w:lvl>
    <w:lvl w:ilvl="4" w:tplc="3E9EC3A2" w:tentative="1">
      <w:start w:val="1"/>
      <w:numFmt w:val="lowerLetter"/>
      <w:lvlText w:val="%5."/>
      <w:lvlJc w:val="left"/>
      <w:pPr>
        <w:ind w:left="3600" w:hanging="360"/>
      </w:pPr>
    </w:lvl>
    <w:lvl w:ilvl="5" w:tplc="D4A8B680" w:tentative="1">
      <w:start w:val="1"/>
      <w:numFmt w:val="lowerRoman"/>
      <w:lvlText w:val="%6."/>
      <w:lvlJc w:val="right"/>
      <w:pPr>
        <w:ind w:left="4320" w:hanging="180"/>
      </w:pPr>
    </w:lvl>
    <w:lvl w:ilvl="6" w:tplc="D1A8B5A0" w:tentative="1">
      <w:start w:val="1"/>
      <w:numFmt w:val="decimal"/>
      <w:lvlText w:val="%7."/>
      <w:lvlJc w:val="left"/>
      <w:pPr>
        <w:ind w:left="5040" w:hanging="360"/>
      </w:pPr>
    </w:lvl>
    <w:lvl w:ilvl="7" w:tplc="3CA4ECD6" w:tentative="1">
      <w:start w:val="1"/>
      <w:numFmt w:val="lowerLetter"/>
      <w:lvlText w:val="%8."/>
      <w:lvlJc w:val="left"/>
      <w:pPr>
        <w:ind w:left="5760" w:hanging="360"/>
      </w:pPr>
    </w:lvl>
    <w:lvl w:ilvl="8" w:tplc="6CE409F0" w:tentative="1">
      <w:start w:val="1"/>
      <w:numFmt w:val="lowerRoman"/>
      <w:lvlText w:val="%9."/>
      <w:lvlJc w:val="right"/>
      <w:pPr>
        <w:ind w:left="6480" w:hanging="180"/>
      </w:pPr>
    </w:lvl>
  </w:abstractNum>
  <w:abstractNum w:abstractNumId="21" w15:restartNumberingAfterBreak="0">
    <w:nsid w:val="39581BE9"/>
    <w:multiLevelType w:val="hybridMultilevel"/>
    <w:tmpl w:val="14BE05C2"/>
    <w:lvl w:ilvl="0" w:tplc="1B285520">
      <w:start w:val="1"/>
      <w:numFmt w:val="bullet"/>
      <w:lvlText w:val=""/>
      <w:lvlJc w:val="left"/>
      <w:pPr>
        <w:ind w:left="720" w:hanging="360"/>
      </w:pPr>
      <w:rPr>
        <w:rFonts w:ascii="Symbol" w:hAnsi="Symbol" w:hint="default"/>
      </w:rPr>
    </w:lvl>
    <w:lvl w:ilvl="1" w:tplc="28D83D6E">
      <w:start w:val="1"/>
      <w:numFmt w:val="bullet"/>
      <w:lvlText w:val="o"/>
      <w:lvlJc w:val="left"/>
      <w:pPr>
        <w:ind w:left="1440" w:hanging="360"/>
      </w:pPr>
      <w:rPr>
        <w:rFonts w:ascii="Courier New" w:hAnsi="Courier New" w:cs="Courier New" w:hint="default"/>
      </w:rPr>
    </w:lvl>
    <w:lvl w:ilvl="2" w:tplc="233AC0EE" w:tentative="1">
      <w:start w:val="1"/>
      <w:numFmt w:val="bullet"/>
      <w:lvlText w:val=""/>
      <w:lvlJc w:val="left"/>
      <w:pPr>
        <w:ind w:left="2160" w:hanging="360"/>
      </w:pPr>
      <w:rPr>
        <w:rFonts w:ascii="Wingdings" w:hAnsi="Wingdings" w:hint="default"/>
      </w:rPr>
    </w:lvl>
    <w:lvl w:ilvl="3" w:tplc="0ED0BEF8" w:tentative="1">
      <w:start w:val="1"/>
      <w:numFmt w:val="bullet"/>
      <w:lvlText w:val=""/>
      <w:lvlJc w:val="left"/>
      <w:pPr>
        <w:ind w:left="2880" w:hanging="360"/>
      </w:pPr>
      <w:rPr>
        <w:rFonts w:ascii="Symbol" w:hAnsi="Symbol" w:hint="default"/>
      </w:rPr>
    </w:lvl>
    <w:lvl w:ilvl="4" w:tplc="BD7CC016" w:tentative="1">
      <w:start w:val="1"/>
      <w:numFmt w:val="bullet"/>
      <w:lvlText w:val="o"/>
      <w:lvlJc w:val="left"/>
      <w:pPr>
        <w:ind w:left="3600" w:hanging="360"/>
      </w:pPr>
      <w:rPr>
        <w:rFonts w:ascii="Courier New" w:hAnsi="Courier New" w:cs="Courier New" w:hint="default"/>
      </w:rPr>
    </w:lvl>
    <w:lvl w:ilvl="5" w:tplc="B3EC17B4" w:tentative="1">
      <w:start w:val="1"/>
      <w:numFmt w:val="bullet"/>
      <w:lvlText w:val=""/>
      <w:lvlJc w:val="left"/>
      <w:pPr>
        <w:ind w:left="4320" w:hanging="360"/>
      </w:pPr>
      <w:rPr>
        <w:rFonts w:ascii="Wingdings" w:hAnsi="Wingdings" w:hint="default"/>
      </w:rPr>
    </w:lvl>
    <w:lvl w:ilvl="6" w:tplc="D19CF176" w:tentative="1">
      <w:start w:val="1"/>
      <w:numFmt w:val="bullet"/>
      <w:lvlText w:val=""/>
      <w:lvlJc w:val="left"/>
      <w:pPr>
        <w:ind w:left="5040" w:hanging="360"/>
      </w:pPr>
      <w:rPr>
        <w:rFonts w:ascii="Symbol" w:hAnsi="Symbol" w:hint="default"/>
      </w:rPr>
    </w:lvl>
    <w:lvl w:ilvl="7" w:tplc="C15C9778" w:tentative="1">
      <w:start w:val="1"/>
      <w:numFmt w:val="bullet"/>
      <w:lvlText w:val="o"/>
      <w:lvlJc w:val="left"/>
      <w:pPr>
        <w:ind w:left="5760" w:hanging="360"/>
      </w:pPr>
      <w:rPr>
        <w:rFonts w:ascii="Courier New" w:hAnsi="Courier New" w:cs="Courier New" w:hint="default"/>
      </w:rPr>
    </w:lvl>
    <w:lvl w:ilvl="8" w:tplc="3F2616D2" w:tentative="1">
      <w:start w:val="1"/>
      <w:numFmt w:val="bullet"/>
      <w:lvlText w:val=""/>
      <w:lvlJc w:val="left"/>
      <w:pPr>
        <w:ind w:left="6480" w:hanging="360"/>
      </w:pPr>
      <w:rPr>
        <w:rFonts w:ascii="Wingdings" w:hAnsi="Wingdings" w:hint="default"/>
      </w:rPr>
    </w:lvl>
  </w:abstractNum>
  <w:abstractNum w:abstractNumId="22" w15:restartNumberingAfterBreak="0">
    <w:nsid w:val="39E542D4"/>
    <w:multiLevelType w:val="hybridMultilevel"/>
    <w:tmpl w:val="17185266"/>
    <w:lvl w:ilvl="0" w:tplc="FC76E588">
      <w:start w:val="1"/>
      <w:numFmt w:val="bullet"/>
      <w:lvlText w:val=""/>
      <w:lvlJc w:val="left"/>
      <w:pPr>
        <w:ind w:left="720" w:hanging="360"/>
      </w:pPr>
      <w:rPr>
        <w:rFonts w:ascii="Symbol" w:hAnsi="Symbol" w:hint="default"/>
      </w:rPr>
    </w:lvl>
    <w:lvl w:ilvl="1" w:tplc="447A606A" w:tentative="1">
      <w:start w:val="1"/>
      <w:numFmt w:val="bullet"/>
      <w:lvlText w:val="o"/>
      <w:lvlJc w:val="left"/>
      <w:pPr>
        <w:ind w:left="1440" w:hanging="360"/>
      </w:pPr>
      <w:rPr>
        <w:rFonts w:ascii="Courier New" w:hAnsi="Courier New" w:cs="Courier New" w:hint="default"/>
      </w:rPr>
    </w:lvl>
    <w:lvl w:ilvl="2" w:tplc="442833BA" w:tentative="1">
      <w:start w:val="1"/>
      <w:numFmt w:val="bullet"/>
      <w:lvlText w:val=""/>
      <w:lvlJc w:val="left"/>
      <w:pPr>
        <w:ind w:left="2160" w:hanging="360"/>
      </w:pPr>
      <w:rPr>
        <w:rFonts w:ascii="Wingdings" w:hAnsi="Wingdings" w:hint="default"/>
      </w:rPr>
    </w:lvl>
    <w:lvl w:ilvl="3" w:tplc="F6B8790A" w:tentative="1">
      <w:start w:val="1"/>
      <w:numFmt w:val="bullet"/>
      <w:lvlText w:val=""/>
      <w:lvlJc w:val="left"/>
      <w:pPr>
        <w:ind w:left="2880" w:hanging="360"/>
      </w:pPr>
      <w:rPr>
        <w:rFonts w:ascii="Symbol" w:hAnsi="Symbol" w:hint="default"/>
      </w:rPr>
    </w:lvl>
    <w:lvl w:ilvl="4" w:tplc="0FEE598A" w:tentative="1">
      <w:start w:val="1"/>
      <w:numFmt w:val="bullet"/>
      <w:lvlText w:val="o"/>
      <w:lvlJc w:val="left"/>
      <w:pPr>
        <w:ind w:left="3600" w:hanging="360"/>
      </w:pPr>
      <w:rPr>
        <w:rFonts w:ascii="Courier New" w:hAnsi="Courier New" w:cs="Courier New" w:hint="default"/>
      </w:rPr>
    </w:lvl>
    <w:lvl w:ilvl="5" w:tplc="6BF28F88" w:tentative="1">
      <w:start w:val="1"/>
      <w:numFmt w:val="bullet"/>
      <w:lvlText w:val=""/>
      <w:lvlJc w:val="left"/>
      <w:pPr>
        <w:ind w:left="4320" w:hanging="360"/>
      </w:pPr>
      <w:rPr>
        <w:rFonts w:ascii="Wingdings" w:hAnsi="Wingdings" w:hint="default"/>
      </w:rPr>
    </w:lvl>
    <w:lvl w:ilvl="6" w:tplc="C046AF98" w:tentative="1">
      <w:start w:val="1"/>
      <w:numFmt w:val="bullet"/>
      <w:lvlText w:val=""/>
      <w:lvlJc w:val="left"/>
      <w:pPr>
        <w:ind w:left="5040" w:hanging="360"/>
      </w:pPr>
      <w:rPr>
        <w:rFonts w:ascii="Symbol" w:hAnsi="Symbol" w:hint="default"/>
      </w:rPr>
    </w:lvl>
    <w:lvl w:ilvl="7" w:tplc="00786C3A" w:tentative="1">
      <w:start w:val="1"/>
      <w:numFmt w:val="bullet"/>
      <w:lvlText w:val="o"/>
      <w:lvlJc w:val="left"/>
      <w:pPr>
        <w:ind w:left="5760" w:hanging="360"/>
      </w:pPr>
      <w:rPr>
        <w:rFonts w:ascii="Courier New" w:hAnsi="Courier New" w:cs="Courier New" w:hint="default"/>
      </w:rPr>
    </w:lvl>
    <w:lvl w:ilvl="8" w:tplc="66F07928" w:tentative="1">
      <w:start w:val="1"/>
      <w:numFmt w:val="bullet"/>
      <w:lvlText w:val=""/>
      <w:lvlJc w:val="left"/>
      <w:pPr>
        <w:ind w:left="6480" w:hanging="360"/>
      </w:pPr>
      <w:rPr>
        <w:rFonts w:ascii="Wingdings" w:hAnsi="Wingdings" w:hint="default"/>
      </w:rPr>
    </w:lvl>
  </w:abstractNum>
  <w:abstractNum w:abstractNumId="23" w15:restartNumberingAfterBreak="0">
    <w:nsid w:val="3AAB762D"/>
    <w:multiLevelType w:val="hybridMultilevel"/>
    <w:tmpl w:val="AAC863EC"/>
    <w:lvl w:ilvl="0" w:tplc="1FD22878">
      <w:start w:val="1"/>
      <w:numFmt w:val="lowerRoman"/>
      <w:lvlText w:val="(%1)"/>
      <w:lvlJc w:val="left"/>
      <w:pPr>
        <w:ind w:left="720" w:hanging="360"/>
      </w:pPr>
      <w:rPr>
        <w:rFonts w:hint="default"/>
      </w:rPr>
    </w:lvl>
    <w:lvl w:ilvl="1" w:tplc="F8743B06">
      <w:start w:val="1"/>
      <w:numFmt w:val="decimal"/>
      <w:lvlText w:val="%2."/>
      <w:lvlJc w:val="left"/>
      <w:pPr>
        <w:ind w:left="1800" w:hanging="720"/>
      </w:pPr>
      <w:rPr>
        <w:rFonts w:hint="default"/>
      </w:rPr>
    </w:lvl>
    <w:lvl w:ilvl="2" w:tplc="B70AB118" w:tentative="1">
      <w:start w:val="1"/>
      <w:numFmt w:val="lowerRoman"/>
      <w:lvlText w:val="%3."/>
      <w:lvlJc w:val="right"/>
      <w:pPr>
        <w:ind w:left="2160" w:hanging="180"/>
      </w:pPr>
    </w:lvl>
    <w:lvl w:ilvl="3" w:tplc="62D297FC" w:tentative="1">
      <w:start w:val="1"/>
      <w:numFmt w:val="decimal"/>
      <w:lvlText w:val="%4."/>
      <w:lvlJc w:val="left"/>
      <w:pPr>
        <w:ind w:left="2880" w:hanging="360"/>
      </w:pPr>
    </w:lvl>
    <w:lvl w:ilvl="4" w:tplc="32C406AC" w:tentative="1">
      <w:start w:val="1"/>
      <w:numFmt w:val="lowerLetter"/>
      <w:lvlText w:val="%5."/>
      <w:lvlJc w:val="left"/>
      <w:pPr>
        <w:ind w:left="3600" w:hanging="360"/>
      </w:pPr>
    </w:lvl>
    <w:lvl w:ilvl="5" w:tplc="72D6E358" w:tentative="1">
      <w:start w:val="1"/>
      <w:numFmt w:val="lowerRoman"/>
      <w:lvlText w:val="%6."/>
      <w:lvlJc w:val="right"/>
      <w:pPr>
        <w:ind w:left="4320" w:hanging="180"/>
      </w:pPr>
    </w:lvl>
    <w:lvl w:ilvl="6" w:tplc="3C8C4496" w:tentative="1">
      <w:start w:val="1"/>
      <w:numFmt w:val="decimal"/>
      <w:lvlText w:val="%7."/>
      <w:lvlJc w:val="left"/>
      <w:pPr>
        <w:ind w:left="5040" w:hanging="360"/>
      </w:pPr>
    </w:lvl>
    <w:lvl w:ilvl="7" w:tplc="B9FC697A" w:tentative="1">
      <w:start w:val="1"/>
      <w:numFmt w:val="lowerLetter"/>
      <w:lvlText w:val="%8."/>
      <w:lvlJc w:val="left"/>
      <w:pPr>
        <w:ind w:left="5760" w:hanging="360"/>
      </w:pPr>
    </w:lvl>
    <w:lvl w:ilvl="8" w:tplc="DFB0F9E0" w:tentative="1">
      <w:start w:val="1"/>
      <w:numFmt w:val="lowerRoman"/>
      <w:lvlText w:val="%9."/>
      <w:lvlJc w:val="right"/>
      <w:pPr>
        <w:ind w:left="6480" w:hanging="180"/>
      </w:pPr>
    </w:lvl>
  </w:abstractNum>
  <w:abstractNum w:abstractNumId="24" w15:restartNumberingAfterBreak="0">
    <w:nsid w:val="3F8343E8"/>
    <w:multiLevelType w:val="hybridMultilevel"/>
    <w:tmpl w:val="C608D0BE"/>
    <w:lvl w:ilvl="0" w:tplc="BF1AECFC">
      <w:start w:val="1"/>
      <w:numFmt w:val="bullet"/>
      <w:lvlText w:val=""/>
      <w:lvlJc w:val="left"/>
      <w:pPr>
        <w:ind w:left="720" w:hanging="360"/>
      </w:pPr>
      <w:rPr>
        <w:rFonts w:ascii="Symbol" w:hAnsi="Symbol" w:hint="default"/>
      </w:rPr>
    </w:lvl>
    <w:lvl w:ilvl="1" w:tplc="1EF2A8D6" w:tentative="1">
      <w:start w:val="1"/>
      <w:numFmt w:val="bullet"/>
      <w:lvlText w:val="o"/>
      <w:lvlJc w:val="left"/>
      <w:pPr>
        <w:ind w:left="1440" w:hanging="360"/>
      </w:pPr>
      <w:rPr>
        <w:rFonts w:ascii="Courier New" w:hAnsi="Courier New" w:cs="Courier New" w:hint="default"/>
      </w:rPr>
    </w:lvl>
    <w:lvl w:ilvl="2" w:tplc="C3B0BA18" w:tentative="1">
      <w:start w:val="1"/>
      <w:numFmt w:val="bullet"/>
      <w:lvlText w:val=""/>
      <w:lvlJc w:val="left"/>
      <w:pPr>
        <w:ind w:left="2160" w:hanging="360"/>
      </w:pPr>
      <w:rPr>
        <w:rFonts w:ascii="Wingdings" w:hAnsi="Wingdings" w:hint="default"/>
      </w:rPr>
    </w:lvl>
    <w:lvl w:ilvl="3" w:tplc="CFBCFEF2" w:tentative="1">
      <w:start w:val="1"/>
      <w:numFmt w:val="bullet"/>
      <w:lvlText w:val=""/>
      <w:lvlJc w:val="left"/>
      <w:pPr>
        <w:ind w:left="2880" w:hanging="360"/>
      </w:pPr>
      <w:rPr>
        <w:rFonts w:ascii="Symbol" w:hAnsi="Symbol" w:hint="default"/>
      </w:rPr>
    </w:lvl>
    <w:lvl w:ilvl="4" w:tplc="3F3434EC" w:tentative="1">
      <w:start w:val="1"/>
      <w:numFmt w:val="bullet"/>
      <w:lvlText w:val="o"/>
      <w:lvlJc w:val="left"/>
      <w:pPr>
        <w:ind w:left="3600" w:hanging="360"/>
      </w:pPr>
      <w:rPr>
        <w:rFonts w:ascii="Courier New" w:hAnsi="Courier New" w:cs="Courier New" w:hint="default"/>
      </w:rPr>
    </w:lvl>
    <w:lvl w:ilvl="5" w:tplc="AE9E567C" w:tentative="1">
      <w:start w:val="1"/>
      <w:numFmt w:val="bullet"/>
      <w:lvlText w:val=""/>
      <w:lvlJc w:val="left"/>
      <w:pPr>
        <w:ind w:left="4320" w:hanging="360"/>
      </w:pPr>
      <w:rPr>
        <w:rFonts w:ascii="Wingdings" w:hAnsi="Wingdings" w:hint="default"/>
      </w:rPr>
    </w:lvl>
    <w:lvl w:ilvl="6" w:tplc="6430173E" w:tentative="1">
      <w:start w:val="1"/>
      <w:numFmt w:val="bullet"/>
      <w:lvlText w:val=""/>
      <w:lvlJc w:val="left"/>
      <w:pPr>
        <w:ind w:left="5040" w:hanging="360"/>
      </w:pPr>
      <w:rPr>
        <w:rFonts w:ascii="Symbol" w:hAnsi="Symbol" w:hint="default"/>
      </w:rPr>
    </w:lvl>
    <w:lvl w:ilvl="7" w:tplc="20C80DFA" w:tentative="1">
      <w:start w:val="1"/>
      <w:numFmt w:val="bullet"/>
      <w:lvlText w:val="o"/>
      <w:lvlJc w:val="left"/>
      <w:pPr>
        <w:ind w:left="5760" w:hanging="360"/>
      </w:pPr>
      <w:rPr>
        <w:rFonts w:ascii="Courier New" w:hAnsi="Courier New" w:cs="Courier New" w:hint="default"/>
      </w:rPr>
    </w:lvl>
    <w:lvl w:ilvl="8" w:tplc="A3B00438" w:tentative="1">
      <w:start w:val="1"/>
      <w:numFmt w:val="bullet"/>
      <w:lvlText w:val=""/>
      <w:lvlJc w:val="left"/>
      <w:pPr>
        <w:ind w:left="6480" w:hanging="360"/>
      </w:pPr>
      <w:rPr>
        <w:rFonts w:ascii="Wingdings" w:hAnsi="Wingdings" w:hint="default"/>
      </w:rPr>
    </w:lvl>
  </w:abstractNum>
  <w:abstractNum w:abstractNumId="25" w15:restartNumberingAfterBreak="0">
    <w:nsid w:val="3FCD5869"/>
    <w:multiLevelType w:val="hybridMultilevel"/>
    <w:tmpl w:val="F5D8ECBA"/>
    <w:lvl w:ilvl="0" w:tplc="5AA61086">
      <w:start w:val="1"/>
      <w:numFmt w:val="lowerRoman"/>
      <w:lvlText w:val="(%1)."/>
      <w:lvlJc w:val="center"/>
      <w:rPr>
        <w:rFonts w:hint="default"/>
      </w:rPr>
    </w:lvl>
    <w:lvl w:ilvl="1" w:tplc="2C6CA88A">
      <w:start w:val="1"/>
      <w:numFmt w:val="lowerLetter"/>
      <w:lvlText w:val="(%2)"/>
      <w:lvlJc w:val="left"/>
      <w:pPr>
        <w:jc w:val="center"/>
      </w:pPr>
      <w:rPr>
        <w:rFonts w:hint="default"/>
      </w:rPr>
    </w:lvl>
    <w:lvl w:ilvl="2" w:tplc="4956E514" w:tentative="1">
      <w:start w:val="1"/>
      <w:numFmt w:val="lowerRoman"/>
      <w:lvlText w:val="%3."/>
      <w:lvlJc w:val="right"/>
      <w:pPr>
        <w:ind w:left="1440" w:hanging="180"/>
      </w:pPr>
    </w:lvl>
    <w:lvl w:ilvl="3" w:tplc="DFFC76A6" w:tentative="1">
      <w:start w:val="1"/>
      <w:numFmt w:val="decimal"/>
      <w:lvlText w:val="%4."/>
      <w:lvlJc w:val="left"/>
      <w:pPr>
        <w:ind w:left="2160" w:hanging="360"/>
      </w:pPr>
    </w:lvl>
    <w:lvl w:ilvl="4" w:tplc="581A4B5C" w:tentative="1">
      <w:start w:val="1"/>
      <w:numFmt w:val="lowerLetter"/>
      <w:lvlText w:val="%5."/>
      <w:lvlJc w:val="left"/>
      <w:pPr>
        <w:ind w:left="2880" w:hanging="360"/>
      </w:pPr>
    </w:lvl>
    <w:lvl w:ilvl="5" w:tplc="85F220FC" w:tentative="1">
      <w:start w:val="1"/>
      <w:numFmt w:val="lowerRoman"/>
      <w:lvlText w:val="%6."/>
      <w:lvlJc w:val="right"/>
      <w:pPr>
        <w:ind w:left="3600" w:hanging="180"/>
      </w:pPr>
    </w:lvl>
    <w:lvl w:ilvl="6" w:tplc="B6C67194" w:tentative="1">
      <w:start w:val="1"/>
      <w:numFmt w:val="decimal"/>
      <w:lvlText w:val="%7."/>
      <w:lvlJc w:val="left"/>
      <w:pPr>
        <w:ind w:left="4320" w:hanging="360"/>
      </w:pPr>
    </w:lvl>
    <w:lvl w:ilvl="7" w:tplc="C1429BD6" w:tentative="1">
      <w:start w:val="1"/>
      <w:numFmt w:val="lowerLetter"/>
      <w:lvlText w:val="%8."/>
      <w:lvlJc w:val="left"/>
      <w:pPr>
        <w:ind w:left="5040" w:hanging="360"/>
      </w:pPr>
    </w:lvl>
    <w:lvl w:ilvl="8" w:tplc="EB909660" w:tentative="1">
      <w:start w:val="1"/>
      <w:numFmt w:val="lowerRoman"/>
      <w:lvlText w:val="%9."/>
      <w:lvlJc w:val="right"/>
      <w:pPr>
        <w:ind w:left="5760" w:hanging="180"/>
      </w:pPr>
    </w:lvl>
  </w:abstractNum>
  <w:abstractNum w:abstractNumId="26" w15:restartNumberingAfterBreak="0">
    <w:nsid w:val="42AA2B2D"/>
    <w:multiLevelType w:val="hybridMultilevel"/>
    <w:tmpl w:val="341EC2D6"/>
    <w:lvl w:ilvl="0" w:tplc="CE44C0EA">
      <w:start w:val="1"/>
      <w:numFmt w:val="bullet"/>
      <w:lvlText w:val=""/>
      <w:lvlJc w:val="left"/>
      <w:pPr>
        <w:ind w:left="720" w:hanging="360"/>
      </w:pPr>
      <w:rPr>
        <w:rFonts w:ascii="Symbol" w:hAnsi="Symbol" w:hint="default"/>
      </w:rPr>
    </w:lvl>
    <w:lvl w:ilvl="1" w:tplc="75001202" w:tentative="1">
      <w:start w:val="1"/>
      <w:numFmt w:val="bullet"/>
      <w:lvlText w:val="o"/>
      <w:lvlJc w:val="left"/>
      <w:pPr>
        <w:ind w:left="1440" w:hanging="360"/>
      </w:pPr>
      <w:rPr>
        <w:rFonts w:ascii="Courier New" w:hAnsi="Courier New" w:cs="Courier New" w:hint="default"/>
      </w:rPr>
    </w:lvl>
    <w:lvl w:ilvl="2" w:tplc="30B61282" w:tentative="1">
      <w:start w:val="1"/>
      <w:numFmt w:val="bullet"/>
      <w:lvlText w:val=""/>
      <w:lvlJc w:val="left"/>
      <w:pPr>
        <w:ind w:left="2160" w:hanging="360"/>
      </w:pPr>
      <w:rPr>
        <w:rFonts w:ascii="Wingdings" w:hAnsi="Wingdings" w:hint="default"/>
      </w:rPr>
    </w:lvl>
    <w:lvl w:ilvl="3" w:tplc="753E67CE" w:tentative="1">
      <w:start w:val="1"/>
      <w:numFmt w:val="bullet"/>
      <w:lvlText w:val=""/>
      <w:lvlJc w:val="left"/>
      <w:pPr>
        <w:ind w:left="2880" w:hanging="360"/>
      </w:pPr>
      <w:rPr>
        <w:rFonts w:ascii="Symbol" w:hAnsi="Symbol" w:hint="default"/>
      </w:rPr>
    </w:lvl>
    <w:lvl w:ilvl="4" w:tplc="BA5008D2" w:tentative="1">
      <w:start w:val="1"/>
      <w:numFmt w:val="bullet"/>
      <w:lvlText w:val="o"/>
      <w:lvlJc w:val="left"/>
      <w:pPr>
        <w:ind w:left="3600" w:hanging="360"/>
      </w:pPr>
      <w:rPr>
        <w:rFonts w:ascii="Courier New" w:hAnsi="Courier New" w:cs="Courier New" w:hint="default"/>
      </w:rPr>
    </w:lvl>
    <w:lvl w:ilvl="5" w:tplc="B9349C6C" w:tentative="1">
      <w:start w:val="1"/>
      <w:numFmt w:val="bullet"/>
      <w:lvlText w:val=""/>
      <w:lvlJc w:val="left"/>
      <w:pPr>
        <w:ind w:left="4320" w:hanging="360"/>
      </w:pPr>
      <w:rPr>
        <w:rFonts w:ascii="Wingdings" w:hAnsi="Wingdings" w:hint="default"/>
      </w:rPr>
    </w:lvl>
    <w:lvl w:ilvl="6" w:tplc="5FDA99C4" w:tentative="1">
      <w:start w:val="1"/>
      <w:numFmt w:val="bullet"/>
      <w:lvlText w:val=""/>
      <w:lvlJc w:val="left"/>
      <w:pPr>
        <w:ind w:left="5040" w:hanging="360"/>
      </w:pPr>
      <w:rPr>
        <w:rFonts w:ascii="Symbol" w:hAnsi="Symbol" w:hint="default"/>
      </w:rPr>
    </w:lvl>
    <w:lvl w:ilvl="7" w:tplc="5CB62CA6" w:tentative="1">
      <w:start w:val="1"/>
      <w:numFmt w:val="bullet"/>
      <w:lvlText w:val="o"/>
      <w:lvlJc w:val="left"/>
      <w:pPr>
        <w:ind w:left="5760" w:hanging="360"/>
      </w:pPr>
      <w:rPr>
        <w:rFonts w:ascii="Courier New" w:hAnsi="Courier New" w:cs="Courier New" w:hint="default"/>
      </w:rPr>
    </w:lvl>
    <w:lvl w:ilvl="8" w:tplc="21E21C76" w:tentative="1">
      <w:start w:val="1"/>
      <w:numFmt w:val="bullet"/>
      <w:lvlText w:val=""/>
      <w:lvlJc w:val="left"/>
      <w:pPr>
        <w:ind w:left="6480" w:hanging="360"/>
      </w:pPr>
      <w:rPr>
        <w:rFonts w:ascii="Wingdings" w:hAnsi="Wingdings" w:hint="default"/>
      </w:rPr>
    </w:lvl>
  </w:abstractNum>
  <w:abstractNum w:abstractNumId="27" w15:restartNumberingAfterBreak="0">
    <w:nsid w:val="443B4FA9"/>
    <w:multiLevelType w:val="hybridMultilevel"/>
    <w:tmpl w:val="766808CE"/>
    <w:lvl w:ilvl="0" w:tplc="7D689396">
      <w:start w:val="1"/>
      <w:numFmt w:val="bullet"/>
      <w:lvlText w:val=""/>
      <w:lvlJc w:val="left"/>
      <w:pPr>
        <w:ind w:left="720" w:hanging="360"/>
      </w:pPr>
      <w:rPr>
        <w:rFonts w:ascii="Symbol" w:hAnsi="Symbol" w:hint="default"/>
      </w:rPr>
    </w:lvl>
    <w:lvl w:ilvl="1" w:tplc="801C17F4" w:tentative="1">
      <w:start w:val="1"/>
      <w:numFmt w:val="bullet"/>
      <w:lvlText w:val="o"/>
      <w:lvlJc w:val="left"/>
      <w:pPr>
        <w:ind w:left="1440" w:hanging="360"/>
      </w:pPr>
      <w:rPr>
        <w:rFonts w:ascii="Courier New" w:hAnsi="Courier New" w:cs="Courier New" w:hint="default"/>
      </w:rPr>
    </w:lvl>
    <w:lvl w:ilvl="2" w:tplc="2F2AA2AA" w:tentative="1">
      <w:start w:val="1"/>
      <w:numFmt w:val="bullet"/>
      <w:lvlText w:val=""/>
      <w:lvlJc w:val="left"/>
      <w:pPr>
        <w:ind w:left="2160" w:hanging="360"/>
      </w:pPr>
      <w:rPr>
        <w:rFonts w:ascii="Wingdings" w:hAnsi="Wingdings" w:hint="default"/>
      </w:rPr>
    </w:lvl>
    <w:lvl w:ilvl="3" w:tplc="C5C6DA06" w:tentative="1">
      <w:start w:val="1"/>
      <w:numFmt w:val="bullet"/>
      <w:lvlText w:val=""/>
      <w:lvlJc w:val="left"/>
      <w:pPr>
        <w:ind w:left="2880" w:hanging="360"/>
      </w:pPr>
      <w:rPr>
        <w:rFonts w:ascii="Symbol" w:hAnsi="Symbol" w:hint="default"/>
      </w:rPr>
    </w:lvl>
    <w:lvl w:ilvl="4" w:tplc="A592532A" w:tentative="1">
      <w:start w:val="1"/>
      <w:numFmt w:val="bullet"/>
      <w:lvlText w:val="o"/>
      <w:lvlJc w:val="left"/>
      <w:pPr>
        <w:ind w:left="3600" w:hanging="360"/>
      </w:pPr>
      <w:rPr>
        <w:rFonts w:ascii="Courier New" w:hAnsi="Courier New" w:cs="Courier New" w:hint="default"/>
      </w:rPr>
    </w:lvl>
    <w:lvl w:ilvl="5" w:tplc="D8AA9E3C" w:tentative="1">
      <w:start w:val="1"/>
      <w:numFmt w:val="bullet"/>
      <w:lvlText w:val=""/>
      <w:lvlJc w:val="left"/>
      <w:pPr>
        <w:ind w:left="4320" w:hanging="360"/>
      </w:pPr>
      <w:rPr>
        <w:rFonts w:ascii="Wingdings" w:hAnsi="Wingdings" w:hint="default"/>
      </w:rPr>
    </w:lvl>
    <w:lvl w:ilvl="6" w:tplc="0CA8D25A" w:tentative="1">
      <w:start w:val="1"/>
      <w:numFmt w:val="bullet"/>
      <w:lvlText w:val=""/>
      <w:lvlJc w:val="left"/>
      <w:pPr>
        <w:ind w:left="5040" w:hanging="360"/>
      </w:pPr>
      <w:rPr>
        <w:rFonts w:ascii="Symbol" w:hAnsi="Symbol" w:hint="default"/>
      </w:rPr>
    </w:lvl>
    <w:lvl w:ilvl="7" w:tplc="4C385D02" w:tentative="1">
      <w:start w:val="1"/>
      <w:numFmt w:val="bullet"/>
      <w:lvlText w:val="o"/>
      <w:lvlJc w:val="left"/>
      <w:pPr>
        <w:ind w:left="5760" w:hanging="360"/>
      </w:pPr>
      <w:rPr>
        <w:rFonts w:ascii="Courier New" w:hAnsi="Courier New" w:cs="Courier New" w:hint="default"/>
      </w:rPr>
    </w:lvl>
    <w:lvl w:ilvl="8" w:tplc="9A9CBEAE" w:tentative="1">
      <w:start w:val="1"/>
      <w:numFmt w:val="bullet"/>
      <w:lvlText w:val=""/>
      <w:lvlJc w:val="left"/>
      <w:pPr>
        <w:ind w:left="6480" w:hanging="360"/>
      </w:pPr>
      <w:rPr>
        <w:rFonts w:ascii="Wingdings" w:hAnsi="Wingdings" w:hint="default"/>
      </w:rPr>
    </w:lvl>
  </w:abstractNum>
  <w:abstractNum w:abstractNumId="28" w15:restartNumberingAfterBreak="0">
    <w:nsid w:val="46FE4D22"/>
    <w:multiLevelType w:val="hybridMultilevel"/>
    <w:tmpl w:val="9B825B02"/>
    <w:lvl w:ilvl="0" w:tplc="56D47DF8">
      <w:start w:val="1"/>
      <w:numFmt w:val="lowerRoman"/>
      <w:lvlText w:val="(%1)"/>
      <w:lvlJc w:val="left"/>
      <w:pPr>
        <w:ind w:left="1080" w:hanging="720"/>
      </w:pPr>
      <w:rPr>
        <w:rFonts w:hint="default"/>
      </w:rPr>
    </w:lvl>
    <w:lvl w:ilvl="1" w:tplc="113A5136" w:tentative="1">
      <w:start w:val="1"/>
      <w:numFmt w:val="lowerLetter"/>
      <w:lvlText w:val="%2."/>
      <w:lvlJc w:val="left"/>
      <w:pPr>
        <w:ind w:left="1440" w:hanging="360"/>
      </w:pPr>
    </w:lvl>
    <w:lvl w:ilvl="2" w:tplc="15DA8AD6" w:tentative="1">
      <w:start w:val="1"/>
      <w:numFmt w:val="lowerRoman"/>
      <w:lvlText w:val="%3."/>
      <w:lvlJc w:val="right"/>
      <w:pPr>
        <w:ind w:left="2160" w:hanging="180"/>
      </w:pPr>
    </w:lvl>
    <w:lvl w:ilvl="3" w:tplc="BB30919C" w:tentative="1">
      <w:start w:val="1"/>
      <w:numFmt w:val="decimal"/>
      <w:lvlText w:val="%4."/>
      <w:lvlJc w:val="left"/>
      <w:pPr>
        <w:ind w:left="2880" w:hanging="360"/>
      </w:pPr>
    </w:lvl>
    <w:lvl w:ilvl="4" w:tplc="AB0204C8" w:tentative="1">
      <w:start w:val="1"/>
      <w:numFmt w:val="lowerLetter"/>
      <w:lvlText w:val="%5."/>
      <w:lvlJc w:val="left"/>
      <w:pPr>
        <w:ind w:left="3600" w:hanging="360"/>
      </w:pPr>
    </w:lvl>
    <w:lvl w:ilvl="5" w:tplc="EC60C80C" w:tentative="1">
      <w:start w:val="1"/>
      <w:numFmt w:val="lowerRoman"/>
      <w:lvlText w:val="%6."/>
      <w:lvlJc w:val="right"/>
      <w:pPr>
        <w:ind w:left="4320" w:hanging="180"/>
      </w:pPr>
    </w:lvl>
    <w:lvl w:ilvl="6" w:tplc="24DA1CC4" w:tentative="1">
      <w:start w:val="1"/>
      <w:numFmt w:val="decimal"/>
      <w:lvlText w:val="%7."/>
      <w:lvlJc w:val="left"/>
      <w:pPr>
        <w:ind w:left="5040" w:hanging="360"/>
      </w:pPr>
    </w:lvl>
    <w:lvl w:ilvl="7" w:tplc="D6F61FE6" w:tentative="1">
      <w:start w:val="1"/>
      <w:numFmt w:val="lowerLetter"/>
      <w:lvlText w:val="%8."/>
      <w:lvlJc w:val="left"/>
      <w:pPr>
        <w:ind w:left="5760" w:hanging="360"/>
      </w:pPr>
    </w:lvl>
    <w:lvl w:ilvl="8" w:tplc="FB5A535A" w:tentative="1">
      <w:start w:val="1"/>
      <w:numFmt w:val="lowerRoman"/>
      <w:lvlText w:val="%9."/>
      <w:lvlJc w:val="right"/>
      <w:pPr>
        <w:ind w:left="6480" w:hanging="180"/>
      </w:pPr>
    </w:lvl>
  </w:abstractNum>
  <w:abstractNum w:abstractNumId="29" w15:restartNumberingAfterBreak="0">
    <w:nsid w:val="4AC23895"/>
    <w:multiLevelType w:val="singleLevel"/>
    <w:tmpl w:val="477AAB7C"/>
    <w:lvl w:ilvl="0">
      <w:start w:val="1"/>
      <w:numFmt w:val="bullet"/>
      <w:pStyle w:val="BoxBullet"/>
      <w:lvlText w:val="–"/>
      <w:lvlJc w:val="left"/>
      <w:pPr>
        <w:tabs>
          <w:tab w:val="num" w:pos="576"/>
        </w:tabs>
        <w:ind w:left="432" w:hanging="216"/>
      </w:pPr>
      <w:rPr>
        <w:rFonts w:ascii="Times New Roman" w:hAnsi="Times New Roman" w:cs="Times New Roman" w:hint="default"/>
        <w:sz w:val="20"/>
      </w:rPr>
    </w:lvl>
  </w:abstractNum>
  <w:abstractNum w:abstractNumId="30" w15:restartNumberingAfterBreak="0">
    <w:nsid w:val="4D1F6235"/>
    <w:multiLevelType w:val="hybridMultilevel"/>
    <w:tmpl w:val="ADD445B8"/>
    <w:lvl w:ilvl="0" w:tplc="608089CE">
      <w:start w:val="1"/>
      <w:numFmt w:val="bullet"/>
      <w:lvlText w:val=""/>
      <w:lvlJc w:val="left"/>
      <w:rPr>
        <w:rFonts w:ascii="Symbol" w:hAnsi="Symbol" w:hint="default"/>
      </w:rPr>
    </w:lvl>
    <w:lvl w:ilvl="1" w:tplc="0B16B23E">
      <w:start w:val="1"/>
      <w:numFmt w:val="lowerLetter"/>
      <w:lvlText w:val="(%2)"/>
      <w:lvlJc w:val="left"/>
      <w:pPr>
        <w:ind w:left="1440" w:hanging="360"/>
      </w:pPr>
      <w:rPr>
        <w:rFonts w:hint="default"/>
      </w:rPr>
    </w:lvl>
    <w:lvl w:ilvl="2" w:tplc="6F5698E2">
      <w:start w:val="1"/>
      <w:numFmt w:val="decimal"/>
      <w:lvlText w:val="(%3)"/>
      <w:lvlJc w:val="left"/>
      <w:pPr>
        <w:ind w:left="2340" w:hanging="360"/>
      </w:pPr>
      <w:rPr>
        <w:rFonts w:hint="default"/>
      </w:rPr>
    </w:lvl>
    <w:lvl w:ilvl="3" w:tplc="8DF43816" w:tentative="1">
      <w:start w:val="1"/>
      <w:numFmt w:val="decimal"/>
      <w:lvlText w:val="%4."/>
      <w:lvlJc w:val="left"/>
      <w:pPr>
        <w:ind w:left="2880" w:hanging="360"/>
      </w:pPr>
    </w:lvl>
    <w:lvl w:ilvl="4" w:tplc="FFF85A14" w:tentative="1">
      <w:start w:val="1"/>
      <w:numFmt w:val="lowerLetter"/>
      <w:lvlText w:val="%5."/>
      <w:lvlJc w:val="left"/>
      <w:pPr>
        <w:ind w:left="3600" w:hanging="360"/>
      </w:pPr>
    </w:lvl>
    <w:lvl w:ilvl="5" w:tplc="2D08D558" w:tentative="1">
      <w:start w:val="1"/>
      <w:numFmt w:val="lowerRoman"/>
      <w:lvlText w:val="%6."/>
      <w:lvlJc w:val="right"/>
      <w:pPr>
        <w:ind w:left="4320" w:hanging="180"/>
      </w:pPr>
    </w:lvl>
    <w:lvl w:ilvl="6" w:tplc="121282EC" w:tentative="1">
      <w:start w:val="1"/>
      <w:numFmt w:val="decimal"/>
      <w:lvlText w:val="%7."/>
      <w:lvlJc w:val="left"/>
      <w:pPr>
        <w:ind w:left="5040" w:hanging="360"/>
      </w:pPr>
    </w:lvl>
    <w:lvl w:ilvl="7" w:tplc="1610DE18" w:tentative="1">
      <w:start w:val="1"/>
      <w:numFmt w:val="lowerLetter"/>
      <w:lvlText w:val="%8."/>
      <w:lvlJc w:val="left"/>
      <w:pPr>
        <w:ind w:left="5760" w:hanging="360"/>
      </w:pPr>
    </w:lvl>
    <w:lvl w:ilvl="8" w:tplc="D4E4C9D8" w:tentative="1">
      <w:start w:val="1"/>
      <w:numFmt w:val="lowerRoman"/>
      <w:lvlText w:val="%9."/>
      <w:lvlJc w:val="right"/>
      <w:pPr>
        <w:ind w:left="6480" w:hanging="180"/>
      </w:pPr>
    </w:lvl>
  </w:abstractNum>
  <w:abstractNum w:abstractNumId="31" w15:restartNumberingAfterBreak="0">
    <w:nsid w:val="4EDB7C22"/>
    <w:multiLevelType w:val="hybridMultilevel"/>
    <w:tmpl w:val="E97CE96E"/>
    <w:lvl w:ilvl="0" w:tplc="C6261314">
      <w:start w:val="1"/>
      <w:numFmt w:val="bullet"/>
      <w:lvlText w:val=""/>
      <w:lvlJc w:val="left"/>
      <w:pPr>
        <w:ind w:left="720" w:hanging="360"/>
      </w:pPr>
      <w:rPr>
        <w:rFonts w:ascii="Symbol" w:hAnsi="Symbol" w:hint="default"/>
      </w:rPr>
    </w:lvl>
    <w:lvl w:ilvl="1" w:tplc="6C5A29E2">
      <w:start w:val="1"/>
      <w:numFmt w:val="decimal"/>
      <w:lvlText w:val="%2."/>
      <w:lvlJc w:val="left"/>
      <w:rPr>
        <w:rFonts w:hint="default"/>
      </w:rPr>
    </w:lvl>
    <w:lvl w:ilvl="2" w:tplc="2C7E6116">
      <w:start w:val="1"/>
      <w:numFmt w:val="bullet"/>
      <w:lvlText w:val=""/>
      <w:lvlJc w:val="left"/>
      <w:pPr>
        <w:ind w:left="2160" w:hanging="360"/>
      </w:pPr>
      <w:rPr>
        <w:rFonts w:ascii="Wingdings" w:hAnsi="Wingdings" w:hint="default"/>
      </w:rPr>
    </w:lvl>
    <w:lvl w:ilvl="3" w:tplc="EC7AB3A4" w:tentative="1">
      <w:start w:val="1"/>
      <w:numFmt w:val="bullet"/>
      <w:lvlText w:val=""/>
      <w:lvlJc w:val="left"/>
      <w:pPr>
        <w:ind w:left="2880" w:hanging="360"/>
      </w:pPr>
      <w:rPr>
        <w:rFonts w:ascii="Symbol" w:hAnsi="Symbol" w:hint="default"/>
      </w:rPr>
    </w:lvl>
    <w:lvl w:ilvl="4" w:tplc="2D0EE116" w:tentative="1">
      <w:start w:val="1"/>
      <w:numFmt w:val="bullet"/>
      <w:lvlText w:val="o"/>
      <w:lvlJc w:val="left"/>
      <w:pPr>
        <w:ind w:left="3600" w:hanging="360"/>
      </w:pPr>
      <w:rPr>
        <w:rFonts w:ascii="Courier New" w:hAnsi="Courier New" w:cs="Courier New" w:hint="default"/>
      </w:rPr>
    </w:lvl>
    <w:lvl w:ilvl="5" w:tplc="AB94FF68" w:tentative="1">
      <w:start w:val="1"/>
      <w:numFmt w:val="bullet"/>
      <w:lvlText w:val=""/>
      <w:lvlJc w:val="left"/>
      <w:pPr>
        <w:ind w:left="4320" w:hanging="360"/>
      </w:pPr>
      <w:rPr>
        <w:rFonts w:ascii="Wingdings" w:hAnsi="Wingdings" w:hint="default"/>
      </w:rPr>
    </w:lvl>
    <w:lvl w:ilvl="6" w:tplc="ECBC79B8" w:tentative="1">
      <w:start w:val="1"/>
      <w:numFmt w:val="bullet"/>
      <w:lvlText w:val=""/>
      <w:lvlJc w:val="left"/>
      <w:pPr>
        <w:ind w:left="5040" w:hanging="360"/>
      </w:pPr>
      <w:rPr>
        <w:rFonts w:ascii="Symbol" w:hAnsi="Symbol" w:hint="default"/>
      </w:rPr>
    </w:lvl>
    <w:lvl w:ilvl="7" w:tplc="EDEE6300" w:tentative="1">
      <w:start w:val="1"/>
      <w:numFmt w:val="bullet"/>
      <w:lvlText w:val="o"/>
      <w:lvlJc w:val="left"/>
      <w:pPr>
        <w:ind w:left="5760" w:hanging="360"/>
      </w:pPr>
      <w:rPr>
        <w:rFonts w:ascii="Courier New" w:hAnsi="Courier New" w:cs="Courier New" w:hint="default"/>
      </w:rPr>
    </w:lvl>
    <w:lvl w:ilvl="8" w:tplc="611834F0" w:tentative="1">
      <w:start w:val="1"/>
      <w:numFmt w:val="bullet"/>
      <w:lvlText w:val=""/>
      <w:lvlJc w:val="left"/>
      <w:pPr>
        <w:ind w:left="6480" w:hanging="360"/>
      </w:pPr>
      <w:rPr>
        <w:rFonts w:ascii="Wingdings" w:hAnsi="Wingdings" w:hint="default"/>
      </w:rPr>
    </w:lvl>
  </w:abstractNum>
  <w:abstractNum w:abstractNumId="32" w15:restartNumberingAfterBreak="0">
    <w:nsid w:val="50646315"/>
    <w:multiLevelType w:val="hybridMultilevel"/>
    <w:tmpl w:val="AD82FBA8"/>
    <w:lvl w:ilvl="0" w:tplc="BF163680">
      <w:start w:val="1"/>
      <w:numFmt w:val="bullet"/>
      <w:lvlText w:val=""/>
      <w:lvlJc w:val="left"/>
      <w:pPr>
        <w:ind w:left="720" w:hanging="360"/>
      </w:pPr>
      <w:rPr>
        <w:rFonts w:ascii="Symbol" w:hAnsi="Symbol" w:hint="default"/>
      </w:rPr>
    </w:lvl>
    <w:lvl w:ilvl="1" w:tplc="41469056">
      <w:start w:val="1"/>
      <w:numFmt w:val="bullet"/>
      <w:lvlText w:val="o"/>
      <w:lvlJc w:val="left"/>
      <w:pPr>
        <w:ind w:left="1440" w:hanging="360"/>
      </w:pPr>
      <w:rPr>
        <w:rFonts w:ascii="Courier New" w:hAnsi="Courier New" w:cs="Courier New" w:hint="default"/>
      </w:rPr>
    </w:lvl>
    <w:lvl w:ilvl="2" w:tplc="D24AFA92" w:tentative="1">
      <w:start w:val="1"/>
      <w:numFmt w:val="bullet"/>
      <w:lvlText w:val=""/>
      <w:lvlJc w:val="left"/>
      <w:pPr>
        <w:ind w:left="2160" w:hanging="360"/>
      </w:pPr>
      <w:rPr>
        <w:rFonts w:ascii="Wingdings" w:hAnsi="Wingdings" w:hint="default"/>
      </w:rPr>
    </w:lvl>
    <w:lvl w:ilvl="3" w:tplc="7EECA51A" w:tentative="1">
      <w:start w:val="1"/>
      <w:numFmt w:val="bullet"/>
      <w:lvlText w:val=""/>
      <w:lvlJc w:val="left"/>
      <w:pPr>
        <w:ind w:left="2880" w:hanging="360"/>
      </w:pPr>
      <w:rPr>
        <w:rFonts w:ascii="Symbol" w:hAnsi="Symbol" w:hint="default"/>
      </w:rPr>
    </w:lvl>
    <w:lvl w:ilvl="4" w:tplc="471677D4" w:tentative="1">
      <w:start w:val="1"/>
      <w:numFmt w:val="bullet"/>
      <w:lvlText w:val="o"/>
      <w:lvlJc w:val="left"/>
      <w:pPr>
        <w:ind w:left="3600" w:hanging="360"/>
      </w:pPr>
      <w:rPr>
        <w:rFonts w:ascii="Courier New" w:hAnsi="Courier New" w:cs="Courier New" w:hint="default"/>
      </w:rPr>
    </w:lvl>
    <w:lvl w:ilvl="5" w:tplc="7AAA5846" w:tentative="1">
      <w:start w:val="1"/>
      <w:numFmt w:val="bullet"/>
      <w:lvlText w:val=""/>
      <w:lvlJc w:val="left"/>
      <w:pPr>
        <w:ind w:left="4320" w:hanging="360"/>
      </w:pPr>
      <w:rPr>
        <w:rFonts w:ascii="Wingdings" w:hAnsi="Wingdings" w:hint="default"/>
      </w:rPr>
    </w:lvl>
    <w:lvl w:ilvl="6" w:tplc="DE3C38E0" w:tentative="1">
      <w:start w:val="1"/>
      <w:numFmt w:val="bullet"/>
      <w:lvlText w:val=""/>
      <w:lvlJc w:val="left"/>
      <w:pPr>
        <w:ind w:left="5040" w:hanging="360"/>
      </w:pPr>
      <w:rPr>
        <w:rFonts w:ascii="Symbol" w:hAnsi="Symbol" w:hint="default"/>
      </w:rPr>
    </w:lvl>
    <w:lvl w:ilvl="7" w:tplc="3D86AE3E" w:tentative="1">
      <w:start w:val="1"/>
      <w:numFmt w:val="bullet"/>
      <w:lvlText w:val="o"/>
      <w:lvlJc w:val="left"/>
      <w:pPr>
        <w:ind w:left="5760" w:hanging="360"/>
      </w:pPr>
      <w:rPr>
        <w:rFonts w:ascii="Courier New" w:hAnsi="Courier New" w:cs="Courier New" w:hint="default"/>
      </w:rPr>
    </w:lvl>
    <w:lvl w:ilvl="8" w:tplc="1FB498EE" w:tentative="1">
      <w:start w:val="1"/>
      <w:numFmt w:val="bullet"/>
      <w:lvlText w:val=""/>
      <w:lvlJc w:val="left"/>
      <w:pPr>
        <w:ind w:left="6480" w:hanging="360"/>
      </w:pPr>
      <w:rPr>
        <w:rFonts w:ascii="Wingdings" w:hAnsi="Wingdings" w:hint="default"/>
      </w:rPr>
    </w:lvl>
  </w:abstractNum>
  <w:abstractNum w:abstractNumId="33" w15:restartNumberingAfterBreak="0">
    <w:nsid w:val="52612A34"/>
    <w:multiLevelType w:val="hybridMultilevel"/>
    <w:tmpl w:val="6F94DA0C"/>
    <w:lvl w:ilvl="0" w:tplc="11FC3230">
      <w:start w:val="1"/>
      <w:numFmt w:val="lowerRoman"/>
      <w:lvlText w:val="(%1)."/>
      <w:lvlJc w:val="center"/>
      <w:pPr>
        <w:ind w:left="720" w:hanging="360"/>
      </w:pPr>
      <w:rPr>
        <w:rFonts w:hint="default"/>
      </w:rPr>
    </w:lvl>
    <w:lvl w:ilvl="1" w:tplc="DF52D4D2">
      <w:start w:val="1"/>
      <w:numFmt w:val="bullet"/>
      <w:lvlText w:val="o"/>
      <w:lvlJc w:val="left"/>
      <w:pPr>
        <w:ind w:left="1440" w:hanging="360"/>
      </w:pPr>
      <w:rPr>
        <w:rFonts w:ascii="Courier New" w:hAnsi="Courier New" w:cs="Courier New" w:hint="default"/>
      </w:rPr>
    </w:lvl>
    <w:lvl w:ilvl="2" w:tplc="F64ED03E">
      <w:start w:val="1"/>
      <w:numFmt w:val="bullet"/>
      <w:lvlText w:val=""/>
      <w:lvlJc w:val="left"/>
      <w:pPr>
        <w:ind w:left="2160" w:hanging="360"/>
      </w:pPr>
      <w:rPr>
        <w:rFonts w:ascii="Wingdings" w:hAnsi="Wingdings" w:hint="default"/>
      </w:rPr>
    </w:lvl>
    <w:lvl w:ilvl="3" w:tplc="681EE34A">
      <w:start w:val="1"/>
      <w:numFmt w:val="bullet"/>
      <w:lvlText w:val=""/>
      <w:lvlJc w:val="left"/>
      <w:pPr>
        <w:ind w:left="2880" w:hanging="360"/>
      </w:pPr>
      <w:rPr>
        <w:rFonts w:ascii="Symbol" w:hAnsi="Symbol" w:hint="default"/>
      </w:rPr>
    </w:lvl>
    <w:lvl w:ilvl="4" w:tplc="2EA2769E">
      <w:start w:val="1"/>
      <w:numFmt w:val="bullet"/>
      <w:lvlText w:val="o"/>
      <w:lvlJc w:val="left"/>
      <w:pPr>
        <w:ind w:left="3600" w:hanging="360"/>
      </w:pPr>
      <w:rPr>
        <w:rFonts w:ascii="Courier New" w:hAnsi="Courier New" w:cs="Courier New" w:hint="default"/>
      </w:rPr>
    </w:lvl>
    <w:lvl w:ilvl="5" w:tplc="FD40105C">
      <w:start w:val="1"/>
      <w:numFmt w:val="bullet"/>
      <w:lvlText w:val=""/>
      <w:lvlJc w:val="left"/>
      <w:pPr>
        <w:ind w:left="4320" w:hanging="360"/>
      </w:pPr>
      <w:rPr>
        <w:rFonts w:ascii="Wingdings" w:hAnsi="Wingdings" w:hint="default"/>
      </w:rPr>
    </w:lvl>
    <w:lvl w:ilvl="6" w:tplc="F9C6EE34">
      <w:start w:val="1"/>
      <w:numFmt w:val="bullet"/>
      <w:lvlText w:val=""/>
      <w:lvlJc w:val="left"/>
      <w:pPr>
        <w:ind w:left="5040" w:hanging="360"/>
      </w:pPr>
      <w:rPr>
        <w:rFonts w:ascii="Symbol" w:hAnsi="Symbol" w:hint="default"/>
      </w:rPr>
    </w:lvl>
    <w:lvl w:ilvl="7" w:tplc="C5F613E8">
      <w:start w:val="1"/>
      <w:numFmt w:val="bullet"/>
      <w:lvlText w:val="o"/>
      <w:lvlJc w:val="left"/>
      <w:pPr>
        <w:ind w:left="5760" w:hanging="360"/>
      </w:pPr>
      <w:rPr>
        <w:rFonts w:ascii="Courier New" w:hAnsi="Courier New" w:cs="Courier New" w:hint="default"/>
      </w:rPr>
    </w:lvl>
    <w:lvl w:ilvl="8" w:tplc="F438B890">
      <w:start w:val="1"/>
      <w:numFmt w:val="bullet"/>
      <w:lvlText w:val=""/>
      <w:lvlJc w:val="left"/>
      <w:pPr>
        <w:ind w:left="6480" w:hanging="360"/>
      </w:pPr>
      <w:rPr>
        <w:rFonts w:ascii="Wingdings" w:hAnsi="Wingdings" w:hint="default"/>
      </w:rPr>
    </w:lvl>
  </w:abstractNum>
  <w:abstractNum w:abstractNumId="34" w15:restartNumberingAfterBreak="0">
    <w:nsid w:val="54337153"/>
    <w:multiLevelType w:val="hybridMultilevel"/>
    <w:tmpl w:val="80CEDF4A"/>
    <w:lvl w:ilvl="0" w:tplc="4B68410A">
      <w:start w:val="1"/>
      <w:numFmt w:val="bullet"/>
      <w:lvlText w:val=""/>
      <w:lvlJc w:val="left"/>
      <w:pPr>
        <w:ind w:left="720" w:hanging="360"/>
      </w:pPr>
      <w:rPr>
        <w:rFonts w:ascii="Symbol" w:hAnsi="Symbol" w:hint="default"/>
      </w:rPr>
    </w:lvl>
    <w:lvl w:ilvl="1" w:tplc="A66640B4">
      <w:start w:val="1"/>
      <w:numFmt w:val="bullet"/>
      <w:lvlText w:val="o"/>
      <w:lvlJc w:val="left"/>
      <w:pPr>
        <w:ind w:left="1440" w:hanging="360"/>
      </w:pPr>
      <w:rPr>
        <w:rFonts w:ascii="Courier New" w:hAnsi="Courier New" w:cs="Courier New" w:hint="default"/>
      </w:rPr>
    </w:lvl>
    <w:lvl w:ilvl="2" w:tplc="AF246E42">
      <w:start w:val="1"/>
      <w:numFmt w:val="bullet"/>
      <w:lvlText w:val=""/>
      <w:lvlJc w:val="left"/>
      <w:pPr>
        <w:ind w:left="2160" w:hanging="360"/>
      </w:pPr>
      <w:rPr>
        <w:rFonts w:ascii="Wingdings" w:hAnsi="Wingdings" w:hint="default"/>
      </w:rPr>
    </w:lvl>
    <w:lvl w:ilvl="3" w:tplc="48A8B946">
      <w:start w:val="1"/>
      <w:numFmt w:val="bullet"/>
      <w:lvlText w:val=""/>
      <w:lvlJc w:val="left"/>
      <w:pPr>
        <w:ind w:left="2880" w:hanging="360"/>
      </w:pPr>
      <w:rPr>
        <w:rFonts w:ascii="Symbol" w:hAnsi="Symbol" w:hint="default"/>
      </w:rPr>
    </w:lvl>
    <w:lvl w:ilvl="4" w:tplc="2EDC2B2C">
      <w:start w:val="1"/>
      <w:numFmt w:val="bullet"/>
      <w:lvlText w:val="o"/>
      <w:lvlJc w:val="left"/>
      <w:pPr>
        <w:ind w:left="3600" w:hanging="360"/>
      </w:pPr>
      <w:rPr>
        <w:rFonts w:ascii="Courier New" w:hAnsi="Courier New" w:cs="Courier New" w:hint="default"/>
      </w:rPr>
    </w:lvl>
    <w:lvl w:ilvl="5" w:tplc="8820A282">
      <w:start w:val="1"/>
      <w:numFmt w:val="bullet"/>
      <w:lvlText w:val=""/>
      <w:lvlJc w:val="left"/>
      <w:pPr>
        <w:ind w:left="4320" w:hanging="360"/>
      </w:pPr>
      <w:rPr>
        <w:rFonts w:ascii="Wingdings" w:hAnsi="Wingdings" w:hint="default"/>
      </w:rPr>
    </w:lvl>
    <w:lvl w:ilvl="6" w:tplc="E4C02B50">
      <w:start w:val="1"/>
      <w:numFmt w:val="bullet"/>
      <w:lvlText w:val=""/>
      <w:lvlJc w:val="left"/>
      <w:pPr>
        <w:ind w:left="5040" w:hanging="360"/>
      </w:pPr>
      <w:rPr>
        <w:rFonts w:ascii="Symbol" w:hAnsi="Symbol" w:hint="default"/>
      </w:rPr>
    </w:lvl>
    <w:lvl w:ilvl="7" w:tplc="23B653EA">
      <w:start w:val="1"/>
      <w:numFmt w:val="bullet"/>
      <w:lvlText w:val="o"/>
      <w:lvlJc w:val="left"/>
      <w:pPr>
        <w:ind w:left="5760" w:hanging="360"/>
      </w:pPr>
      <w:rPr>
        <w:rFonts w:ascii="Courier New" w:hAnsi="Courier New" w:cs="Courier New" w:hint="default"/>
      </w:rPr>
    </w:lvl>
    <w:lvl w:ilvl="8" w:tplc="B614B946">
      <w:start w:val="1"/>
      <w:numFmt w:val="bullet"/>
      <w:lvlText w:val=""/>
      <w:lvlJc w:val="left"/>
      <w:pPr>
        <w:ind w:left="6480" w:hanging="360"/>
      </w:pPr>
      <w:rPr>
        <w:rFonts w:ascii="Wingdings" w:hAnsi="Wingdings" w:hint="default"/>
      </w:rPr>
    </w:lvl>
  </w:abstractNum>
  <w:abstractNum w:abstractNumId="35" w15:restartNumberingAfterBreak="0">
    <w:nsid w:val="54EA57BF"/>
    <w:multiLevelType w:val="hybridMultilevel"/>
    <w:tmpl w:val="0818D5C4"/>
    <w:lvl w:ilvl="0" w:tplc="57D88788">
      <w:start w:val="1"/>
      <w:numFmt w:val="lowerRoman"/>
      <w:lvlText w:val="(%1)."/>
      <w:lvlJc w:val="center"/>
      <w:pPr>
        <w:ind w:left="720" w:hanging="360"/>
      </w:pPr>
      <w:rPr>
        <w:rFonts w:hint="default"/>
      </w:rPr>
    </w:lvl>
    <w:lvl w:ilvl="1" w:tplc="0F28E5F4" w:tentative="1">
      <w:start w:val="1"/>
      <w:numFmt w:val="lowerLetter"/>
      <w:lvlText w:val="%2."/>
      <w:lvlJc w:val="left"/>
      <w:pPr>
        <w:ind w:left="1440" w:hanging="360"/>
      </w:pPr>
    </w:lvl>
    <w:lvl w:ilvl="2" w:tplc="6E30AEC0" w:tentative="1">
      <w:start w:val="1"/>
      <w:numFmt w:val="lowerRoman"/>
      <w:lvlText w:val="%3."/>
      <w:lvlJc w:val="right"/>
      <w:pPr>
        <w:ind w:left="2160" w:hanging="180"/>
      </w:pPr>
    </w:lvl>
    <w:lvl w:ilvl="3" w:tplc="A2B6BDFC" w:tentative="1">
      <w:start w:val="1"/>
      <w:numFmt w:val="decimal"/>
      <w:lvlText w:val="%4."/>
      <w:lvlJc w:val="left"/>
      <w:pPr>
        <w:ind w:left="2880" w:hanging="360"/>
      </w:pPr>
    </w:lvl>
    <w:lvl w:ilvl="4" w:tplc="FCCCD3F2" w:tentative="1">
      <w:start w:val="1"/>
      <w:numFmt w:val="lowerLetter"/>
      <w:lvlText w:val="%5."/>
      <w:lvlJc w:val="left"/>
      <w:pPr>
        <w:ind w:left="3600" w:hanging="360"/>
      </w:pPr>
    </w:lvl>
    <w:lvl w:ilvl="5" w:tplc="6290939A" w:tentative="1">
      <w:start w:val="1"/>
      <w:numFmt w:val="lowerRoman"/>
      <w:lvlText w:val="%6."/>
      <w:lvlJc w:val="right"/>
      <w:pPr>
        <w:ind w:left="4320" w:hanging="180"/>
      </w:pPr>
    </w:lvl>
    <w:lvl w:ilvl="6" w:tplc="2054A410" w:tentative="1">
      <w:start w:val="1"/>
      <w:numFmt w:val="decimal"/>
      <w:lvlText w:val="%7."/>
      <w:lvlJc w:val="left"/>
      <w:pPr>
        <w:ind w:left="5040" w:hanging="360"/>
      </w:pPr>
    </w:lvl>
    <w:lvl w:ilvl="7" w:tplc="7F902B5A" w:tentative="1">
      <w:start w:val="1"/>
      <w:numFmt w:val="lowerLetter"/>
      <w:lvlText w:val="%8."/>
      <w:lvlJc w:val="left"/>
      <w:pPr>
        <w:ind w:left="5760" w:hanging="360"/>
      </w:pPr>
    </w:lvl>
    <w:lvl w:ilvl="8" w:tplc="60EEF6C2" w:tentative="1">
      <w:start w:val="1"/>
      <w:numFmt w:val="lowerRoman"/>
      <w:lvlText w:val="%9."/>
      <w:lvlJc w:val="right"/>
      <w:pPr>
        <w:ind w:left="6480" w:hanging="180"/>
      </w:pPr>
    </w:lvl>
  </w:abstractNum>
  <w:abstractNum w:abstractNumId="36" w15:restartNumberingAfterBreak="0">
    <w:nsid w:val="59804A16"/>
    <w:multiLevelType w:val="hybridMultilevel"/>
    <w:tmpl w:val="D77C5610"/>
    <w:lvl w:ilvl="0" w:tplc="8C2ABD2E">
      <w:start w:val="1"/>
      <w:numFmt w:val="bullet"/>
      <w:lvlText w:val=""/>
      <w:lvlJc w:val="left"/>
      <w:pPr>
        <w:ind w:left="720" w:hanging="360"/>
      </w:pPr>
      <w:rPr>
        <w:rFonts w:ascii="Symbol" w:hAnsi="Symbol" w:hint="default"/>
      </w:rPr>
    </w:lvl>
    <w:lvl w:ilvl="1" w:tplc="37B8E462" w:tentative="1">
      <w:start w:val="1"/>
      <w:numFmt w:val="bullet"/>
      <w:lvlText w:val="o"/>
      <w:lvlJc w:val="left"/>
      <w:pPr>
        <w:ind w:left="1440" w:hanging="360"/>
      </w:pPr>
      <w:rPr>
        <w:rFonts w:ascii="Courier New" w:hAnsi="Courier New" w:cs="Courier New" w:hint="default"/>
      </w:rPr>
    </w:lvl>
    <w:lvl w:ilvl="2" w:tplc="24761606" w:tentative="1">
      <w:start w:val="1"/>
      <w:numFmt w:val="bullet"/>
      <w:lvlText w:val=""/>
      <w:lvlJc w:val="left"/>
      <w:pPr>
        <w:ind w:left="2160" w:hanging="360"/>
      </w:pPr>
      <w:rPr>
        <w:rFonts w:ascii="Wingdings" w:hAnsi="Wingdings" w:hint="default"/>
      </w:rPr>
    </w:lvl>
    <w:lvl w:ilvl="3" w:tplc="35CEA3F6" w:tentative="1">
      <w:start w:val="1"/>
      <w:numFmt w:val="bullet"/>
      <w:lvlText w:val=""/>
      <w:lvlJc w:val="left"/>
      <w:pPr>
        <w:ind w:left="2880" w:hanging="360"/>
      </w:pPr>
      <w:rPr>
        <w:rFonts w:ascii="Symbol" w:hAnsi="Symbol" w:hint="default"/>
      </w:rPr>
    </w:lvl>
    <w:lvl w:ilvl="4" w:tplc="87EC0F3C" w:tentative="1">
      <w:start w:val="1"/>
      <w:numFmt w:val="bullet"/>
      <w:lvlText w:val="o"/>
      <w:lvlJc w:val="left"/>
      <w:pPr>
        <w:ind w:left="3600" w:hanging="360"/>
      </w:pPr>
      <w:rPr>
        <w:rFonts w:ascii="Courier New" w:hAnsi="Courier New" w:cs="Courier New" w:hint="default"/>
      </w:rPr>
    </w:lvl>
    <w:lvl w:ilvl="5" w:tplc="E2BE58BC" w:tentative="1">
      <w:start w:val="1"/>
      <w:numFmt w:val="bullet"/>
      <w:lvlText w:val=""/>
      <w:lvlJc w:val="left"/>
      <w:pPr>
        <w:ind w:left="4320" w:hanging="360"/>
      </w:pPr>
      <w:rPr>
        <w:rFonts w:ascii="Wingdings" w:hAnsi="Wingdings" w:hint="default"/>
      </w:rPr>
    </w:lvl>
    <w:lvl w:ilvl="6" w:tplc="77CAFFD2" w:tentative="1">
      <w:start w:val="1"/>
      <w:numFmt w:val="bullet"/>
      <w:lvlText w:val=""/>
      <w:lvlJc w:val="left"/>
      <w:pPr>
        <w:ind w:left="5040" w:hanging="360"/>
      </w:pPr>
      <w:rPr>
        <w:rFonts w:ascii="Symbol" w:hAnsi="Symbol" w:hint="default"/>
      </w:rPr>
    </w:lvl>
    <w:lvl w:ilvl="7" w:tplc="C5E46118" w:tentative="1">
      <w:start w:val="1"/>
      <w:numFmt w:val="bullet"/>
      <w:lvlText w:val="o"/>
      <w:lvlJc w:val="left"/>
      <w:pPr>
        <w:ind w:left="5760" w:hanging="360"/>
      </w:pPr>
      <w:rPr>
        <w:rFonts w:ascii="Courier New" w:hAnsi="Courier New" w:cs="Courier New" w:hint="default"/>
      </w:rPr>
    </w:lvl>
    <w:lvl w:ilvl="8" w:tplc="379233FE" w:tentative="1">
      <w:start w:val="1"/>
      <w:numFmt w:val="bullet"/>
      <w:lvlText w:val=""/>
      <w:lvlJc w:val="left"/>
      <w:pPr>
        <w:ind w:left="6480" w:hanging="360"/>
      </w:pPr>
      <w:rPr>
        <w:rFonts w:ascii="Wingdings" w:hAnsi="Wingdings" w:hint="default"/>
      </w:rPr>
    </w:lvl>
  </w:abstractNum>
  <w:abstractNum w:abstractNumId="37" w15:restartNumberingAfterBreak="0">
    <w:nsid w:val="5ABE0040"/>
    <w:multiLevelType w:val="hybridMultilevel"/>
    <w:tmpl w:val="C238876E"/>
    <w:lvl w:ilvl="0" w:tplc="263298E0">
      <w:start w:val="1"/>
      <w:numFmt w:val="lowerRoman"/>
      <w:lvlText w:val="(%1)"/>
      <w:lvlJc w:val="left"/>
      <w:pPr>
        <w:ind w:left="720" w:hanging="360"/>
      </w:pPr>
      <w:rPr>
        <w:rFonts w:hint="default"/>
      </w:rPr>
    </w:lvl>
    <w:lvl w:ilvl="1" w:tplc="3566DC7C">
      <w:start w:val="1"/>
      <w:numFmt w:val="decimal"/>
      <w:lvlText w:val="%2."/>
      <w:lvlJc w:val="left"/>
      <w:pPr>
        <w:ind w:left="1800" w:hanging="720"/>
      </w:pPr>
      <w:rPr>
        <w:rFonts w:hint="default"/>
      </w:rPr>
    </w:lvl>
    <w:lvl w:ilvl="2" w:tplc="3FC4B804" w:tentative="1">
      <w:start w:val="1"/>
      <w:numFmt w:val="lowerRoman"/>
      <w:lvlText w:val="%3."/>
      <w:lvlJc w:val="right"/>
      <w:pPr>
        <w:ind w:left="2160" w:hanging="180"/>
      </w:pPr>
    </w:lvl>
    <w:lvl w:ilvl="3" w:tplc="F9FAA976" w:tentative="1">
      <w:start w:val="1"/>
      <w:numFmt w:val="decimal"/>
      <w:lvlText w:val="%4."/>
      <w:lvlJc w:val="left"/>
      <w:pPr>
        <w:ind w:left="2880" w:hanging="360"/>
      </w:pPr>
    </w:lvl>
    <w:lvl w:ilvl="4" w:tplc="B84CC536" w:tentative="1">
      <w:start w:val="1"/>
      <w:numFmt w:val="lowerLetter"/>
      <w:lvlText w:val="%5."/>
      <w:lvlJc w:val="left"/>
      <w:pPr>
        <w:ind w:left="3600" w:hanging="360"/>
      </w:pPr>
    </w:lvl>
    <w:lvl w:ilvl="5" w:tplc="29CAA28A" w:tentative="1">
      <w:start w:val="1"/>
      <w:numFmt w:val="lowerRoman"/>
      <w:lvlText w:val="%6."/>
      <w:lvlJc w:val="right"/>
      <w:pPr>
        <w:ind w:left="4320" w:hanging="180"/>
      </w:pPr>
    </w:lvl>
    <w:lvl w:ilvl="6" w:tplc="34366E96" w:tentative="1">
      <w:start w:val="1"/>
      <w:numFmt w:val="decimal"/>
      <w:lvlText w:val="%7."/>
      <w:lvlJc w:val="left"/>
      <w:pPr>
        <w:ind w:left="5040" w:hanging="360"/>
      </w:pPr>
    </w:lvl>
    <w:lvl w:ilvl="7" w:tplc="0598D79E" w:tentative="1">
      <w:start w:val="1"/>
      <w:numFmt w:val="lowerLetter"/>
      <w:lvlText w:val="%8."/>
      <w:lvlJc w:val="left"/>
      <w:pPr>
        <w:ind w:left="5760" w:hanging="360"/>
      </w:pPr>
    </w:lvl>
    <w:lvl w:ilvl="8" w:tplc="62469EC4" w:tentative="1">
      <w:start w:val="1"/>
      <w:numFmt w:val="lowerRoman"/>
      <w:lvlText w:val="%9."/>
      <w:lvlJc w:val="right"/>
      <w:pPr>
        <w:ind w:left="6480" w:hanging="180"/>
      </w:pPr>
    </w:lvl>
  </w:abstractNum>
  <w:abstractNum w:abstractNumId="38" w15:restartNumberingAfterBreak="0">
    <w:nsid w:val="5BE10426"/>
    <w:multiLevelType w:val="hybridMultilevel"/>
    <w:tmpl w:val="FBBE5E06"/>
    <w:lvl w:ilvl="0" w:tplc="692C5A56">
      <w:start w:val="1"/>
      <w:numFmt w:val="decimal"/>
      <w:lvlText w:val="%1."/>
      <w:lvlJc w:val="left"/>
      <w:pPr>
        <w:ind w:left="720" w:hanging="360"/>
      </w:pPr>
      <w:rPr>
        <w:rFonts w:hint="default"/>
      </w:rPr>
    </w:lvl>
    <w:lvl w:ilvl="1" w:tplc="FE3AC3D6">
      <w:start w:val="1"/>
      <w:numFmt w:val="lowerLetter"/>
      <w:lvlText w:val="(%2)"/>
      <w:lvlJc w:val="left"/>
      <w:pPr>
        <w:ind w:left="1440" w:hanging="360"/>
      </w:pPr>
      <w:rPr>
        <w:rFonts w:hint="default"/>
      </w:rPr>
    </w:lvl>
    <w:lvl w:ilvl="2" w:tplc="A0927A46">
      <w:start w:val="1"/>
      <w:numFmt w:val="decimal"/>
      <w:lvlText w:val="(%3)"/>
      <w:lvlJc w:val="left"/>
      <w:pPr>
        <w:ind w:left="2340" w:hanging="360"/>
      </w:pPr>
      <w:rPr>
        <w:rFonts w:hint="default"/>
      </w:rPr>
    </w:lvl>
    <w:lvl w:ilvl="3" w:tplc="74CC264A" w:tentative="1">
      <w:start w:val="1"/>
      <w:numFmt w:val="decimal"/>
      <w:lvlText w:val="%4."/>
      <w:lvlJc w:val="left"/>
      <w:pPr>
        <w:ind w:left="2880" w:hanging="360"/>
      </w:pPr>
    </w:lvl>
    <w:lvl w:ilvl="4" w:tplc="6268A5B4" w:tentative="1">
      <w:start w:val="1"/>
      <w:numFmt w:val="lowerLetter"/>
      <w:lvlText w:val="%5."/>
      <w:lvlJc w:val="left"/>
      <w:pPr>
        <w:ind w:left="3600" w:hanging="360"/>
      </w:pPr>
    </w:lvl>
    <w:lvl w:ilvl="5" w:tplc="77068808" w:tentative="1">
      <w:start w:val="1"/>
      <w:numFmt w:val="lowerRoman"/>
      <w:lvlText w:val="%6."/>
      <w:lvlJc w:val="right"/>
      <w:pPr>
        <w:ind w:left="4320" w:hanging="180"/>
      </w:pPr>
    </w:lvl>
    <w:lvl w:ilvl="6" w:tplc="289EA958" w:tentative="1">
      <w:start w:val="1"/>
      <w:numFmt w:val="decimal"/>
      <w:lvlText w:val="%7."/>
      <w:lvlJc w:val="left"/>
      <w:pPr>
        <w:ind w:left="5040" w:hanging="360"/>
      </w:pPr>
    </w:lvl>
    <w:lvl w:ilvl="7" w:tplc="3740E14E" w:tentative="1">
      <w:start w:val="1"/>
      <w:numFmt w:val="lowerLetter"/>
      <w:lvlText w:val="%8."/>
      <w:lvlJc w:val="left"/>
      <w:pPr>
        <w:ind w:left="5760" w:hanging="360"/>
      </w:pPr>
    </w:lvl>
    <w:lvl w:ilvl="8" w:tplc="123E1760" w:tentative="1">
      <w:start w:val="1"/>
      <w:numFmt w:val="lowerRoman"/>
      <w:lvlText w:val="%9."/>
      <w:lvlJc w:val="right"/>
      <w:pPr>
        <w:ind w:left="6480" w:hanging="180"/>
      </w:pPr>
    </w:lvl>
  </w:abstractNum>
  <w:abstractNum w:abstractNumId="39" w15:restartNumberingAfterBreak="0">
    <w:nsid w:val="5E90731E"/>
    <w:multiLevelType w:val="hybridMultilevel"/>
    <w:tmpl w:val="3EA464CE"/>
    <w:lvl w:ilvl="0" w:tplc="C2F611FA">
      <w:start w:val="1"/>
      <w:numFmt w:val="lowerRoman"/>
      <w:lvlText w:val="(%1)"/>
      <w:lvlJc w:val="center"/>
      <w:pPr>
        <w:ind w:left="720" w:hanging="360"/>
      </w:pPr>
      <w:rPr>
        <w:rFonts w:hint="default"/>
      </w:rPr>
    </w:lvl>
    <w:lvl w:ilvl="1" w:tplc="0874A37E" w:tentative="1">
      <w:start w:val="1"/>
      <w:numFmt w:val="lowerLetter"/>
      <w:lvlText w:val="%2."/>
      <w:lvlJc w:val="left"/>
      <w:pPr>
        <w:ind w:left="1440" w:hanging="360"/>
      </w:pPr>
    </w:lvl>
    <w:lvl w:ilvl="2" w:tplc="95344F3E" w:tentative="1">
      <w:start w:val="1"/>
      <w:numFmt w:val="lowerRoman"/>
      <w:lvlText w:val="%3."/>
      <w:lvlJc w:val="right"/>
      <w:pPr>
        <w:ind w:left="2160" w:hanging="180"/>
      </w:pPr>
    </w:lvl>
    <w:lvl w:ilvl="3" w:tplc="84F2ACD0" w:tentative="1">
      <w:start w:val="1"/>
      <w:numFmt w:val="decimal"/>
      <w:lvlText w:val="%4."/>
      <w:lvlJc w:val="left"/>
      <w:pPr>
        <w:ind w:left="2880" w:hanging="360"/>
      </w:pPr>
    </w:lvl>
    <w:lvl w:ilvl="4" w:tplc="25C661A2" w:tentative="1">
      <w:start w:val="1"/>
      <w:numFmt w:val="lowerLetter"/>
      <w:lvlText w:val="%5."/>
      <w:lvlJc w:val="left"/>
      <w:pPr>
        <w:ind w:left="3600" w:hanging="360"/>
      </w:pPr>
    </w:lvl>
    <w:lvl w:ilvl="5" w:tplc="F162BDEE" w:tentative="1">
      <w:start w:val="1"/>
      <w:numFmt w:val="lowerRoman"/>
      <w:lvlText w:val="%6."/>
      <w:lvlJc w:val="right"/>
      <w:pPr>
        <w:ind w:left="4320" w:hanging="180"/>
      </w:pPr>
    </w:lvl>
    <w:lvl w:ilvl="6" w:tplc="DE9EF05C" w:tentative="1">
      <w:start w:val="1"/>
      <w:numFmt w:val="decimal"/>
      <w:lvlText w:val="%7."/>
      <w:lvlJc w:val="left"/>
      <w:pPr>
        <w:ind w:left="5040" w:hanging="360"/>
      </w:pPr>
    </w:lvl>
    <w:lvl w:ilvl="7" w:tplc="86D28818" w:tentative="1">
      <w:start w:val="1"/>
      <w:numFmt w:val="lowerLetter"/>
      <w:lvlText w:val="%8."/>
      <w:lvlJc w:val="left"/>
      <w:pPr>
        <w:ind w:left="5760" w:hanging="360"/>
      </w:pPr>
    </w:lvl>
    <w:lvl w:ilvl="8" w:tplc="78AA8DF6" w:tentative="1">
      <w:start w:val="1"/>
      <w:numFmt w:val="lowerRoman"/>
      <w:lvlText w:val="%9."/>
      <w:lvlJc w:val="right"/>
      <w:pPr>
        <w:ind w:left="6480" w:hanging="180"/>
      </w:pPr>
    </w:lvl>
  </w:abstractNum>
  <w:abstractNum w:abstractNumId="40" w15:restartNumberingAfterBreak="0">
    <w:nsid w:val="605B3F18"/>
    <w:multiLevelType w:val="hybridMultilevel"/>
    <w:tmpl w:val="73F641F8"/>
    <w:lvl w:ilvl="0" w:tplc="60D66D4A">
      <w:start w:val="1"/>
      <w:numFmt w:val="bullet"/>
      <w:lvlText w:val=""/>
      <w:lvlJc w:val="left"/>
      <w:pPr>
        <w:ind w:left="720" w:hanging="360"/>
      </w:pPr>
      <w:rPr>
        <w:rFonts w:ascii="Symbol" w:hAnsi="Symbol" w:hint="default"/>
      </w:rPr>
    </w:lvl>
    <w:lvl w:ilvl="1" w:tplc="1E9E13A4" w:tentative="1">
      <w:start w:val="1"/>
      <w:numFmt w:val="bullet"/>
      <w:lvlText w:val="o"/>
      <w:lvlJc w:val="left"/>
      <w:pPr>
        <w:ind w:left="1440" w:hanging="360"/>
      </w:pPr>
      <w:rPr>
        <w:rFonts w:ascii="Courier New" w:hAnsi="Courier New" w:cs="Courier New" w:hint="default"/>
      </w:rPr>
    </w:lvl>
    <w:lvl w:ilvl="2" w:tplc="F058F4D0" w:tentative="1">
      <w:start w:val="1"/>
      <w:numFmt w:val="bullet"/>
      <w:lvlText w:val=""/>
      <w:lvlJc w:val="left"/>
      <w:pPr>
        <w:ind w:left="2160" w:hanging="360"/>
      </w:pPr>
      <w:rPr>
        <w:rFonts w:ascii="Wingdings" w:hAnsi="Wingdings" w:hint="default"/>
      </w:rPr>
    </w:lvl>
    <w:lvl w:ilvl="3" w:tplc="89AAC174" w:tentative="1">
      <w:start w:val="1"/>
      <w:numFmt w:val="bullet"/>
      <w:lvlText w:val=""/>
      <w:lvlJc w:val="left"/>
      <w:pPr>
        <w:ind w:left="2880" w:hanging="360"/>
      </w:pPr>
      <w:rPr>
        <w:rFonts w:ascii="Symbol" w:hAnsi="Symbol" w:hint="default"/>
      </w:rPr>
    </w:lvl>
    <w:lvl w:ilvl="4" w:tplc="26422E12" w:tentative="1">
      <w:start w:val="1"/>
      <w:numFmt w:val="bullet"/>
      <w:lvlText w:val="o"/>
      <w:lvlJc w:val="left"/>
      <w:pPr>
        <w:ind w:left="3600" w:hanging="360"/>
      </w:pPr>
      <w:rPr>
        <w:rFonts w:ascii="Courier New" w:hAnsi="Courier New" w:cs="Courier New" w:hint="default"/>
      </w:rPr>
    </w:lvl>
    <w:lvl w:ilvl="5" w:tplc="E4D66F98" w:tentative="1">
      <w:start w:val="1"/>
      <w:numFmt w:val="bullet"/>
      <w:lvlText w:val=""/>
      <w:lvlJc w:val="left"/>
      <w:pPr>
        <w:ind w:left="4320" w:hanging="360"/>
      </w:pPr>
      <w:rPr>
        <w:rFonts w:ascii="Wingdings" w:hAnsi="Wingdings" w:hint="default"/>
      </w:rPr>
    </w:lvl>
    <w:lvl w:ilvl="6" w:tplc="796EF532" w:tentative="1">
      <w:start w:val="1"/>
      <w:numFmt w:val="bullet"/>
      <w:lvlText w:val=""/>
      <w:lvlJc w:val="left"/>
      <w:pPr>
        <w:ind w:left="5040" w:hanging="360"/>
      </w:pPr>
      <w:rPr>
        <w:rFonts w:ascii="Symbol" w:hAnsi="Symbol" w:hint="default"/>
      </w:rPr>
    </w:lvl>
    <w:lvl w:ilvl="7" w:tplc="0EDA4756" w:tentative="1">
      <w:start w:val="1"/>
      <w:numFmt w:val="bullet"/>
      <w:lvlText w:val="o"/>
      <w:lvlJc w:val="left"/>
      <w:pPr>
        <w:ind w:left="5760" w:hanging="360"/>
      </w:pPr>
      <w:rPr>
        <w:rFonts w:ascii="Courier New" w:hAnsi="Courier New" w:cs="Courier New" w:hint="default"/>
      </w:rPr>
    </w:lvl>
    <w:lvl w:ilvl="8" w:tplc="36C21B46" w:tentative="1">
      <w:start w:val="1"/>
      <w:numFmt w:val="bullet"/>
      <w:lvlText w:val=""/>
      <w:lvlJc w:val="left"/>
      <w:pPr>
        <w:ind w:left="6480" w:hanging="360"/>
      </w:pPr>
      <w:rPr>
        <w:rFonts w:ascii="Wingdings" w:hAnsi="Wingdings" w:hint="default"/>
      </w:rPr>
    </w:lvl>
  </w:abstractNum>
  <w:abstractNum w:abstractNumId="41" w15:restartNumberingAfterBreak="0">
    <w:nsid w:val="63225597"/>
    <w:multiLevelType w:val="hybridMultilevel"/>
    <w:tmpl w:val="6F208938"/>
    <w:lvl w:ilvl="0" w:tplc="4AB21E20">
      <w:start w:val="1"/>
      <w:numFmt w:val="lowerRoman"/>
      <w:lvlText w:val="(%1)"/>
      <w:lvlJc w:val="left"/>
      <w:pPr>
        <w:ind w:left="720" w:hanging="360"/>
      </w:pPr>
      <w:rPr>
        <w:rFonts w:hint="default"/>
      </w:rPr>
    </w:lvl>
    <w:lvl w:ilvl="1" w:tplc="353EE2F6" w:tentative="1">
      <w:start w:val="1"/>
      <w:numFmt w:val="lowerLetter"/>
      <w:lvlText w:val="%2."/>
      <w:lvlJc w:val="left"/>
      <w:pPr>
        <w:ind w:left="1440" w:hanging="360"/>
      </w:pPr>
    </w:lvl>
    <w:lvl w:ilvl="2" w:tplc="ACFE1C4A" w:tentative="1">
      <w:start w:val="1"/>
      <w:numFmt w:val="lowerRoman"/>
      <w:lvlText w:val="%3."/>
      <w:lvlJc w:val="right"/>
      <w:pPr>
        <w:ind w:left="2160" w:hanging="180"/>
      </w:pPr>
    </w:lvl>
    <w:lvl w:ilvl="3" w:tplc="C90A20E8" w:tentative="1">
      <w:start w:val="1"/>
      <w:numFmt w:val="decimal"/>
      <w:lvlText w:val="%4."/>
      <w:lvlJc w:val="left"/>
      <w:pPr>
        <w:ind w:left="2880" w:hanging="360"/>
      </w:pPr>
    </w:lvl>
    <w:lvl w:ilvl="4" w:tplc="CD6C5CC0" w:tentative="1">
      <w:start w:val="1"/>
      <w:numFmt w:val="lowerLetter"/>
      <w:lvlText w:val="%5."/>
      <w:lvlJc w:val="left"/>
      <w:pPr>
        <w:ind w:left="3600" w:hanging="360"/>
      </w:pPr>
    </w:lvl>
    <w:lvl w:ilvl="5" w:tplc="C52E2CEE" w:tentative="1">
      <w:start w:val="1"/>
      <w:numFmt w:val="lowerRoman"/>
      <w:lvlText w:val="%6."/>
      <w:lvlJc w:val="right"/>
      <w:pPr>
        <w:ind w:left="4320" w:hanging="180"/>
      </w:pPr>
    </w:lvl>
    <w:lvl w:ilvl="6" w:tplc="306E44B4" w:tentative="1">
      <w:start w:val="1"/>
      <w:numFmt w:val="decimal"/>
      <w:lvlText w:val="%7."/>
      <w:lvlJc w:val="left"/>
      <w:pPr>
        <w:ind w:left="5040" w:hanging="360"/>
      </w:pPr>
    </w:lvl>
    <w:lvl w:ilvl="7" w:tplc="3BA0CAB8" w:tentative="1">
      <w:start w:val="1"/>
      <w:numFmt w:val="lowerLetter"/>
      <w:lvlText w:val="%8."/>
      <w:lvlJc w:val="left"/>
      <w:pPr>
        <w:ind w:left="5760" w:hanging="360"/>
      </w:pPr>
    </w:lvl>
    <w:lvl w:ilvl="8" w:tplc="8F264D6C" w:tentative="1">
      <w:start w:val="1"/>
      <w:numFmt w:val="lowerRoman"/>
      <w:lvlText w:val="%9."/>
      <w:lvlJc w:val="right"/>
      <w:pPr>
        <w:ind w:left="6480" w:hanging="180"/>
      </w:pPr>
    </w:lvl>
  </w:abstractNum>
  <w:abstractNum w:abstractNumId="42" w15:restartNumberingAfterBreak="0">
    <w:nsid w:val="637F53DD"/>
    <w:multiLevelType w:val="hybridMultilevel"/>
    <w:tmpl w:val="04B4D1E8"/>
    <w:lvl w:ilvl="0" w:tplc="6CA4361E">
      <w:start w:val="1"/>
      <w:numFmt w:val="bullet"/>
      <w:lvlText w:val=""/>
      <w:lvlJc w:val="left"/>
      <w:pPr>
        <w:ind w:left="360" w:hanging="360"/>
      </w:pPr>
      <w:rPr>
        <w:rFonts w:ascii="Symbol" w:hAnsi="Symbol" w:hint="default"/>
      </w:rPr>
    </w:lvl>
    <w:lvl w:ilvl="1" w:tplc="9A30D38C">
      <w:start w:val="4"/>
      <w:numFmt w:val="bullet"/>
      <w:lvlText w:val="•"/>
      <w:lvlJc w:val="left"/>
      <w:pPr>
        <w:ind w:left="1080" w:hanging="360"/>
      </w:pPr>
      <w:rPr>
        <w:rFonts w:ascii="Arial" w:eastAsia="Times New Roman" w:hAnsi="Arial" w:cs="Arial" w:hint="default"/>
      </w:rPr>
    </w:lvl>
    <w:lvl w:ilvl="2" w:tplc="22AC81CC" w:tentative="1">
      <w:start w:val="1"/>
      <w:numFmt w:val="bullet"/>
      <w:lvlText w:val=""/>
      <w:lvlJc w:val="left"/>
      <w:pPr>
        <w:ind w:left="1800" w:hanging="360"/>
      </w:pPr>
      <w:rPr>
        <w:rFonts w:ascii="Wingdings" w:hAnsi="Wingdings" w:hint="default"/>
      </w:rPr>
    </w:lvl>
    <w:lvl w:ilvl="3" w:tplc="F77CFBAA" w:tentative="1">
      <w:start w:val="1"/>
      <w:numFmt w:val="bullet"/>
      <w:lvlText w:val=""/>
      <w:lvlJc w:val="left"/>
      <w:pPr>
        <w:ind w:left="2520" w:hanging="360"/>
      </w:pPr>
      <w:rPr>
        <w:rFonts w:ascii="Symbol" w:hAnsi="Symbol" w:hint="default"/>
      </w:rPr>
    </w:lvl>
    <w:lvl w:ilvl="4" w:tplc="494EA894" w:tentative="1">
      <w:start w:val="1"/>
      <w:numFmt w:val="bullet"/>
      <w:lvlText w:val="o"/>
      <w:lvlJc w:val="left"/>
      <w:pPr>
        <w:ind w:left="3240" w:hanging="360"/>
      </w:pPr>
      <w:rPr>
        <w:rFonts w:ascii="Courier New" w:hAnsi="Courier New" w:cs="Courier New" w:hint="default"/>
      </w:rPr>
    </w:lvl>
    <w:lvl w:ilvl="5" w:tplc="BC883C6A" w:tentative="1">
      <w:start w:val="1"/>
      <w:numFmt w:val="bullet"/>
      <w:lvlText w:val=""/>
      <w:lvlJc w:val="left"/>
      <w:pPr>
        <w:ind w:left="3960" w:hanging="360"/>
      </w:pPr>
      <w:rPr>
        <w:rFonts w:ascii="Wingdings" w:hAnsi="Wingdings" w:hint="default"/>
      </w:rPr>
    </w:lvl>
    <w:lvl w:ilvl="6" w:tplc="FE640E7E" w:tentative="1">
      <w:start w:val="1"/>
      <w:numFmt w:val="bullet"/>
      <w:lvlText w:val=""/>
      <w:lvlJc w:val="left"/>
      <w:pPr>
        <w:ind w:left="4680" w:hanging="360"/>
      </w:pPr>
      <w:rPr>
        <w:rFonts w:ascii="Symbol" w:hAnsi="Symbol" w:hint="default"/>
      </w:rPr>
    </w:lvl>
    <w:lvl w:ilvl="7" w:tplc="6D5CD35C" w:tentative="1">
      <w:start w:val="1"/>
      <w:numFmt w:val="bullet"/>
      <w:lvlText w:val="o"/>
      <w:lvlJc w:val="left"/>
      <w:pPr>
        <w:ind w:left="5400" w:hanging="360"/>
      </w:pPr>
      <w:rPr>
        <w:rFonts w:ascii="Courier New" w:hAnsi="Courier New" w:cs="Courier New" w:hint="default"/>
      </w:rPr>
    </w:lvl>
    <w:lvl w:ilvl="8" w:tplc="E7D449B2" w:tentative="1">
      <w:start w:val="1"/>
      <w:numFmt w:val="bullet"/>
      <w:lvlText w:val=""/>
      <w:lvlJc w:val="left"/>
      <w:pPr>
        <w:ind w:left="6120" w:hanging="360"/>
      </w:pPr>
      <w:rPr>
        <w:rFonts w:ascii="Wingdings" w:hAnsi="Wingdings" w:hint="default"/>
      </w:rPr>
    </w:lvl>
  </w:abstractNum>
  <w:abstractNum w:abstractNumId="43" w15:restartNumberingAfterBreak="0">
    <w:nsid w:val="6C862997"/>
    <w:multiLevelType w:val="hybridMultilevel"/>
    <w:tmpl w:val="8E76DCEE"/>
    <w:lvl w:ilvl="0" w:tplc="9E8AC3DC">
      <w:start w:val="1"/>
      <w:numFmt w:val="lowerRoman"/>
      <w:lvlText w:val="(%1)."/>
      <w:lvlJc w:val="left"/>
      <w:rPr>
        <w:rFonts w:hint="default"/>
      </w:rPr>
    </w:lvl>
    <w:lvl w:ilvl="1" w:tplc="5334494A">
      <w:start w:val="1"/>
      <w:numFmt w:val="decimal"/>
      <w:lvlText w:val="%2."/>
      <w:lvlJc w:val="left"/>
      <w:pPr>
        <w:ind w:left="2260" w:hanging="720"/>
      </w:pPr>
      <w:rPr>
        <w:rFonts w:hint="default"/>
      </w:rPr>
    </w:lvl>
    <w:lvl w:ilvl="2" w:tplc="118ED9EC" w:tentative="1">
      <w:start w:val="1"/>
      <w:numFmt w:val="lowerRoman"/>
      <w:lvlText w:val="%3."/>
      <w:lvlJc w:val="right"/>
      <w:pPr>
        <w:ind w:left="2620" w:hanging="180"/>
      </w:pPr>
    </w:lvl>
    <w:lvl w:ilvl="3" w:tplc="AC106CE6" w:tentative="1">
      <w:start w:val="1"/>
      <w:numFmt w:val="decimal"/>
      <w:lvlText w:val="%4."/>
      <w:lvlJc w:val="left"/>
      <w:pPr>
        <w:ind w:left="3340" w:hanging="360"/>
      </w:pPr>
    </w:lvl>
    <w:lvl w:ilvl="4" w:tplc="37448762" w:tentative="1">
      <w:start w:val="1"/>
      <w:numFmt w:val="lowerLetter"/>
      <w:lvlText w:val="%5."/>
      <w:lvlJc w:val="left"/>
      <w:pPr>
        <w:ind w:left="4060" w:hanging="360"/>
      </w:pPr>
    </w:lvl>
    <w:lvl w:ilvl="5" w:tplc="58A65A20" w:tentative="1">
      <w:start w:val="1"/>
      <w:numFmt w:val="lowerRoman"/>
      <w:lvlText w:val="%6."/>
      <w:lvlJc w:val="right"/>
      <w:pPr>
        <w:ind w:left="4780" w:hanging="180"/>
      </w:pPr>
    </w:lvl>
    <w:lvl w:ilvl="6" w:tplc="FA0E7C06" w:tentative="1">
      <w:start w:val="1"/>
      <w:numFmt w:val="decimal"/>
      <w:lvlText w:val="%7."/>
      <w:lvlJc w:val="left"/>
      <w:pPr>
        <w:ind w:left="5500" w:hanging="360"/>
      </w:pPr>
    </w:lvl>
    <w:lvl w:ilvl="7" w:tplc="8AD24360" w:tentative="1">
      <w:start w:val="1"/>
      <w:numFmt w:val="lowerLetter"/>
      <w:lvlText w:val="%8."/>
      <w:lvlJc w:val="left"/>
      <w:pPr>
        <w:ind w:left="6220" w:hanging="360"/>
      </w:pPr>
    </w:lvl>
    <w:lvl w:ilvl="8" w:tplc="2D2413DA" w:tentative="1">
      <w:start w:val="1"/>
      <w:numFmt w:val="lowerRoman"/>
      <w:lvlText w:val="%9."/>
      <w:lvlJc w:val="right"/>
      <w:pPr>
        <w:ind w:left="6940" w:hanging="180"/>
      </w:pPr>
    </w:lvl>
  </w:abstractNum>
  <w:abstractNum w:abstractNumId="44" w15:restartNumberingAfterBreak="0">
    <w:nsid w:val="6F1011F2"/>
    <w:multiLevelType w:val="hybridMultilevel"/>
    <w:tmpl w:val="1C66B400"/>
    <w:lvl w:ilvl="0" w:tplc="D8BEB4A4">
      <w:start w:val="1"/>
      <w:numFmt w:val="bullet"/>
      <w:lvlText w:val=""/>
      <w:lvlJc w:val="left"/>
      <w:pPr>
        <w:ind w:left="720" w:hanging="360"/>
      </w:pPr>
      <w:rPr>
        <w:rFonts w:ascii="Symbol" w:hAnsi="Symbol" w:hint="default"/>
      </w:rPr>
    </w:lvl>
    <w:lvl w:ilvl="1" w:tplc="AD5C3D26">
      <w:start w:val="4"/>
      <w:numFmt w:val="bullet"/>
      <w:lvlText w:val="•"/>
      <w:lvlJc w:val="left"/>
      <w:pPr>
        <w:ind w:left="1440" w:hanging="360"/>
      </w:pPr>
      <w:rPr>
        <w:rFonts w:ascii="Arial" w:eastAsia="Times New Roman" w:hAnsi="Arial" w:cs="Arial" w:hint="default"/>
      </w:rPr>
    </w:lvl>
    <w:lvl w:ilvl="2" w:tplc="69B847B8" w:tentative="1">
      <w:start w:val="1"/>
      <w:numFmt w:val="bullet"/>
      <w:lvlText w:val=""/>
      <w:lvlJc w:val="left"/>
      <w:pPr>
        <w:ind w:left="2160" w:hanging="360"/>
      </w:pPr>
      <w:rPr>
        <w:rFonts w:ascii="Wingdings" w:hAnsi="Wingdings" w:hint="default"/>
      </w:rPr>
    </w:lvl>
    <w:lvl w:ilvl="3" w:tplc="DF02036A" w:tentative="1">
      <w:start w:val="1"/>
      <w:numFmt w:val="bullet"/>
      <w:lvlText w:val=""/>
      <w:lvlJc w:val="left"/>
      <w:pPr>
        <w:ind w:left="2880" w:hanging="360"/>
      </w:pPr>
      <w:rPr>
        <w:rFonts w:ascii="Symbol" w:hAnsi="Symbol" w:hint="default"/>
      </w:rPr>
    </w:lvl>
    <w:lvl w:ilvl="4" w:tplc="635E8C08" w:tentative="1">
      <w:start w:val="1"/>
      <w:numFmt w:val="bullet"/>
      <w:lvlText w:val="o"/>
      <w:lvlJc w:val="left"/>
      <w:pPr>
        <w:ind w:left="3600" w:hanging="360"/>
      </w:pPr>
      <w:rPr>
        <w:rFonts w:ascii="Courier New" w:hAnsi="Courier New" w:cs="Courier New" w:hint="default"/>
      </w:rPr>
    </w:lvl>
    <w:lvl w:ilvl="5" w:tplc="A568F93C" w:tentative="1">
      <w:start w:val="1"/>
      <w:numFmt w:val="bullet"/>
      <w:lvlText w:val=""/>
      <w:lvlJc w:val="left"/>
      <w:pPr>
        <w:ind w:left="4320" w:hanging="360"/>
      </w:pPr>
      <w:rPr>
        <w:rFonts w:ascii="Wingdings" w:hAnsi="Wingdings" w:hint="default"/>
      </w:rPr>
    </w:lvl>
    <w:lvl w:ilvl="6" w:tplc="21A419C0" w:tentative="1">
      <w:start w:val="1"/>
      <w:numFmt w:val="bullet"/>
      <w:lvlText w:val=""/>
      <w:lvlJc w:val="left"/>
      <w:pPr>
        <w:ind w:left="5040" w:hanging="360"/>
      </w:pPr>
      <w:rPr>
        <w:rFonts w:ascii="Symbol" w:hAnsi="Symbol" w:hint="default"/>
      </w:rPr>
    </w:lvl>
    <w:lvl w:ilvl="7" w:tplc="3FCE485C" w:tentative="1">
      <w:start w:val="1"/>
      <w:numFmt w:val="bullet"/>
      <w:lvlText w:val="o"/>
      <w:lvlJc w:val="left"/>
      <w:pPr>
        <w:ind w:left="5760" w:hanging="360"/>
      </w:pPr>
      <w:rPr>
        <w:rFonts w:ascii="Courier New" w:hAnsi="Courier New" w:cs="Courier New" w:hint="default"/>
      </w:rPr>
    </w:lvl>
    <w:lvl w:ilvl="8" w:tplc="8356F582" w:tentative="1">
      <w:start w:val="1"/>
      <w:numFmt w:val="bullet"/>
      <w:lvlText w:val=""/>
      <w:lvlJc w:val="left"/>
      <w:pPr>
        <w:ind w:left="6480" w:hanging="360"/>
      </w:pPr>
      <w:rPr>
        <w:rFonts w:ascii="Wingdings" w:hAnsi="Wingdings" w:hint="default"/>
      </w:rPr>
    </w:lvl>
  </w:abstractNum>
  <w:abstractNum w:abstractNumId="45" w15:restartNumberingAfterBreak="0">
    <w:nsid w:val="70106FA3"/>
    <w:multiLevelType w:val="hybridMultilevel"/>
    <w:tmpl w:val="3404FA26"/>
    <w:lvl w:ilvl="0" w:tplc="5AD64E04">
      <w:start w:val="1"/>
      <w:numFmt w:val="bullet"/>
      <w:lvlText w:val=""/>
      <w:lvlJc w:val="left"/>
      <w:pPr>
        <w:ind w:left="720" w:hanging="360"/>
      </w:pPr>
      <w:rPr>
        <w:rFonts w:ascii="Symbol" w:hAnsi="Symbol" w:hint="default"/>
      </w:rPr>
    </w:lvl>
    <w:lvl w:ilvl="1" w:tplc="5C3853E4" w:tentative="1">
      <w:start w:val="1"/>
      <w:numFmt w:val="bullet"/>
      <w:lvlText w:val="o"/>
      <w:lvlJc w:val="left"/>
      <w:pPr>
        <w:ind w:left="1440" w:hanging="360"/>
      </w:pPr>
      <w:rPr>
        <w:rFonts w:ascii="Courier New" w:hAnsi="Courier New" w:cs="Courier New" w:hint="default"/>
      </w:rPr>
    </w:lvl>
    <w:lvl w:ilvl="2" w:tplc="E47A9E52" w:tentative="1">
      <w:start w:val="1"/>
      <w:numFmt w:val="bullet"/>
      <w:lvlText w:val=""/>
      <w:lvlJc w:val="left"/>
      <w:pPr>
        <w:ind w:left="2160" w:hanging="360"/>
      </w:pPr>
      <w:rPr>
        <w:rFonts w:ascii="Wingdings" w:hAnsi="Wingdings" w:hint="default"/>
      </w:rPr>
    </w:lvl>
    <w:lvl w:ilvl="3" w:tplc="16FC1B44" w:tentative="1">
      <w:start w:val="1"/>
      <w:numFmt w:val="bullet"/>
      <w:lvlText w:val=""/>
      <w:lvlJc w:val="left"/>
      <w:pPr>
        <w:ind w:left="2880" w:hanging="360"/>
      </w:pPr>
      <w:rPr>
        <w:rFonts w:ascii="Symbol" w:hAnsi="Symbol" w:hint="default"/>
      </w:rPr>
    </w:lvl>
    <w:lvl w:ilvl="4" w:tplc="41DAB07A" w:tentative="1">
      <w:start w:val="1"/>
      <w:numFmt w:val="bullet"/>
      <w:lvlText w:val="o"/>
      <w:lvlJc w:val="left"/>
      <w:pPr>
        <w:ind w:left="3600" w:hanging="360"/>
      </w:pPr>
      <w:rPr>
        <w:rFonts w:ascii="Courier New" w:hAnsi="Courier New" w:cs="Courier New" w:hint="default"/>
      </w:rPr>
    </w:lvl>
    <w:lvl w:ilvl="5" w:tplc="CE400456" w:tentative="1">
      <w:start w:val="1"/>
      <w:numFmt w:val="bullet"/>
      <w:lvlText w:val=""/>
      <w:lvlJc w:val="left"/>
      <w:pPr>
        <w:ind w:left="4320" w:hanging="360"/>
      </w:pPr>
      <w:rPr>
        <w:rFonts w:ascii="Wingdings" w:hAnsi="Wingdings" w:hint="default"/>
      </w:rPr>
    </w:lvl>
    <w:lvl w:ilvl="6" w:tplc="A9EC4C62" w:tentative="1">
      <w:start w:val="1"/>
      <w:numFmt w:val="bullet"/>
      <w:lvlText w:val=""/>
      <w:lvlJc w:val="left"/>
      <w:pPr>
        <w:ind w:left="5040" w:hanging="360"/>
      </w:pPr>
      <w:rPr>
        <w:rFonts w:ascii="Symbol" w:hAnsi="Symbol" w:hint="default"/>
      </w:rPr>
    </w:lvl>
    <w:lvl w:ilvl="7" w:tplc="BE80B0E0" w:tentative="1">
      <w:start w:val="1"/>
      <w:numFmt w:val="bullet"/>
      <w:lvlText w:val="o"/>
      <w:lvlJc w:val="left"/>
      <w:pPr>
        <w:ind w:left="5760" w:hanging="360"/>
      </w:pPr>
      <w:rPr>
        <w:rFonts w:ascii="Courier New" w:hAnsi="Courier New" w:cs="Courier New" w:hint="default"/>
      </w:rPr>
    </w:lvl>
    <w:lvl w:ilvl="8" w:tplc="2796294E" w:tentative="1">
      <w:start w:val="1"/>
      <w:numFmt w:val="bullet"/>
      <w:lvlText w:val=""/>
      <w:lvlJc w:val="left"/>
      <w:pPr>
        <w:ind w:left="6480" w:hanging="360"/>
      </w:pPr>
      <w:rPr>
        <w:rFonts w:ascii="Wingdings" w:hAnsi="Wingdings" w:hint="default"/>
      </w:rPr>
    </w:lvl>
  </w:abstractNum>
  <w:abstractNum w:abstractNumId="46" w15:restartNumberingAfterBreak="0">
    <w:nsid w:val="71E53D35"/>
    <w:multiLevelType w:val="hybridMultilevel"/>
    <w:tmpl w:val="9F34FAA0"/>
    <w:lvl w:ilvl="0" w:tplc="7758104A">
      <w:start w:val="1"/>
      <w:numFmt w:val="bullet"/>
      <w:lvlText w:val=""/>
      <w:lvlJc w:val="left"/>
      <w:pPr>
        <w:ind w:left="720" w:hanging="360"/>
      </w:pPr>
      <w:rPr>
        <w:rFonts w:ascii="Symbol" w:hAnsi="Symbol" w:hint="default"/>
      </w:rPr>
    </w:lvl>
    <w:lvl w:ilvl="1" w:tplc="68AE7268" w:tentative="1">
      <w:start w:val="1"/>
      <w:numFmt w:val="bullet"/>
      <w:lvlText w:val="o"/>
      <w:lvlJc w:val="left"/>
      <w:pPr>
        <w:ind w:left="1440" w:hanging="360"/>
      </w:pPr>
      <w:rPr>
        <w:rFonts w:ascii="Courier New" w:hAnsi="Courier New" w:cs="Courier New" w:hint="default"/>
      </w:rPr>
    </w:lvl>
    <w:lvl w:ilvl="2" w:tplc="835E0F5C" w:tentative="1">
      <w:start w:val="1"/>
      <w:numFmt w:val="bullet"/>
      <w:lvlText w:val=""/>
      <w:lvlJc w:val="left"/>
      <w:pPr>
        <w:ind w:left="2160" w:hanging="360"/>
      </w:pPr>
      <w:rPr>
        <w:rFonts w:ascii="Wingdings" w:hAnsi="Wingdings" w:hint="default"/>
      </w:rPr>
    </w:lvl>
    <w:lvl w:ilvl="3" w:tplc="A8241B04" w:tentative="1">
      <w:start w:val="1"/>
      <w:numFmt w:val="bullet"/>
      <w:lvlText w:val=""/>
      <w:lvlJc w:val="left"/>
      <w:pPr>
        <w:ind w:left="2880" w:hanging="360"/>
      </w:pPr>
      <w:rPr>
        <w:rFonts w:ascii="Symbol" w:hAnsi="Symbol" w:hint="default"/>
      </w:rPr>
    </w:lvl>
    <w:lvl w:ilvl="4" w:tplc="D14604A0" w:tentative="1">
      <w:start w:val="1"/>
      <w:numFmt w:val="bullet"/>
      <w:lvlText w:val="o"/>
      <w:lvlJc w:val="left"/>
      <w:pPr>
        <w:ind w:left="3600" w:hanging="360"/>
      </w:pPr>
      <w:rPr>
        <w:rFonts w:ascii="Courier New" w:hAnsi="Courier New" w:cs="Courier New" w:hint="default"/>
      </w:rPr>
    </w:lvl>
    <w:lvl w:ilvl="5" w:tplc="B3880D18" w:tentative="1">
      <w:start w:val="1"/>
      <w:numFmt w:val="bullet"/>
      <w:lvlText w:val=""/>
      <w:lvlJc w:val="left"/>
      <w:pPr>
        <w:ind w:left="4320" w:hanging="360"/>
      </w:pPr>
      <w:rPr>
        <w:rFonts w:ascii="Wingdings" w:hAnsi="Wingdings" w:hint="default"/>
      </w:rPr>
    </w:lvl>
    <w:lvl w:ilvl="6" w:tplc="B9B4D6EE" w:tentative="1">
      <w:start w:val="1"/>
      <w:numFmt w:val="bullet"/>
      <w:lvlText w:val=""/>
      <w:lvlJc w:val="left"/>
      <w:pPr>
        <w:ind w:left="5040" w:hanging="360"/>
      </w:pPr>
      <w:rPr>
        <w:rFonts w:ascii="Symbol" w:hAnsi="Symbol" w:hint="default"/>
      </w:rPr>
    </w:lvl>
    <w:lvl w:ilvl="7" w:tplc="1FB49EDC" w:tentative="1">
      <w:start w:val="1"/>
      <w:numFmt w:val="bullet"/>
      <w:lvlText w:val="o"/>
      <w:lvlJc w:val="left"/>
      <w:pPr>
        <w:ind w:left="5760" w:hanging="360"/>
      </w:pPr>
      <w:rPr>
        <w:rFonts w:ascii="Courier New" w:hAnsi="Courier New" w:cs="Courier New" w:hint="default"/>
      </w:rPr>
    </w:lvl>
    <w:lvl w:ilvl="8" w:tplc="D068C1AE" w:tentative="1">
      <w:start w:val="1"/>
      <w:numFmt w:val="bullet"/>
      <w:lvlText w:val=""/>
      <w:lvlJc w:val="left"/>
      <w:pPr>
        <w:ind w:left="6480" w:hanging="360"/>
      </w:pPr>
      <w:rPr>
        <w:rFonts w:ascii="Wingdings" w:hAnsi="Wingdings" w:hint="default"/>
      </w:rPr>
    </w:lvl>
  </w:abstractNum>
  <w:abstractNum w:abstractNumId="47" w15:restartNumberingAfterBreak="0">
    <w:nsid w:val="73B4060E"/>
    <w:multiLevelType w:val="multilevel"/>
    <w:tmpl w:val="4A005E22"/>
    <w:styleLink w:val="Sty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8" w15:restartNumberingAfterBreak="0">
    <w:nsid w:val="759A6E49"/>
    <w:multiLevelType w:val="hybridMultilevel"/>
    <w:tmpl w:val="6A4444A6"/>
    <w:lvl w:ilvl="0" w:tplc="3F120B48">
      <w:start w:val="1"/>
      <w:numFmt w:val="bullet"/>
      <w:lvlText w:val=""/>
      <w:lvlJc w:val="left"/>
      <w:pPr>
        <w:ind w:left="720" w:hanging="360"/>
      </w:pPr>
      <w:rPr>
        <w:rFonts w:ascii="Symbol" w:hAnsi="Symbol" w:hint="default"/>
      </w:rPr>
    </w:lvl>
    <w:lvl w:ilvl="1" w:tplc="1002A1B4" w:tentative="1">
      <w:start w:val="1"/>
      <w:numFmt w:val="bullet"/>
      <w:lvlText w:val="o"/>
      <w:lvlJc w:val="left"/>
      <w:pPr>
        <w:ind w:left="1440" w:hanging="360"/>
      </w:pPr>
      <w:rPr>
        <w:rFonts w:ascii="Courier New" w:hAnsi="Courier New" w:cs="Courier New" w:hint="default"/>
      </w:rPr>
    </w:lvl>
    <w:lvl w:ilvl="2" w:tplc="E09EA694" w:tentative="1">
      <w:start w:val="1"/>
      <w:numFmt w:val="bullet"/>
      <w:lvlText w:val=""/>
      <w:lvlJc w:val="left"/>
      <w:pPr>
        <w:ind w:left="2160" w:hanging="360"/>
      </w:pPr>
      <w:rPr>
        <w:rFonts w:ascii="Wingdings" w:hAnsi="Wingdings" w:hint="default"/>
      </w:rPr>
    </w:lvl>
    <w:lvl w:ilvl="3" w:tplc="E520B056" w:tentative="1">
      <w:start w:val="1"/>
      <w:numFmt w:val="bullet"/>
      <w:lvlText w:val=""/>
      <w:lvlJc w:val="left"/>
      <w:pPr>
        <w:ind w:left="2880" w:hanging="360"/>
      </w:pPr>
      <w:rPr>
        <w:rFonts w:ascii="Symbol" w:hAnsi="Symbol" w:hint="default"/>
      </w:rPr>
    </w:lvl>
    <w:lvl w:ilvl="4" w:tplc="6BAE8622" w:tentative="1">
      <w:start w:val="1"/>
      <w:numFmt w:val="bullet"/>
      <w:lvlText w:val="o"/>
      <w:lvlJc w:val="left"/>
      <w:pPr>
        <w:ind w:left="3600" w:hanging="360"/>
      </w:pPr>
      <w:rPr>
        <w:rFonts w:ascii="Courier New" w:hAnsi="Courier New" w:cs="Courier New" w:hint="default"/>
      </w:rPr>
    </w:lvl>
    <w:lvl w:ilvl="5" w:tplc="4170D21E" w:tentative="1">
      <w:start w:val="1"/>
      <w:numFmt w:val="bullet"/>
      <w:lvlText w:val=""/>
      <w:lvlJc w:val="left"/>
      <w:pPr>
        <w:ind w:left="4320" w:hanging="360"/>
      </w:pPr>
      <w:rPr>
        <w:rFonts w:ascii="Wingdings" w:hAnsi="Wingdings" w:hint="default"/>
      </w:rPr>
    </w:lvl>
    <w:lvl w:ilvl="6" w:tplc="538A5912" w:tentative="1">
      <w:start w:val="1"/>
      <w:numFmt w:val="bullet"/>
      <w:lvlText w:val=""/>
      <w:lvlJc w:val="left"/>
      <w:pPr>
        <w:ind w:left="5040" w:hanging="360"/>
      </w:pPr>
      <w:rPr>
        <w:rFonts w:ascii="Symbol" w:hAnsi="Symbol" w:hint="default"/>
      </w:rPr>
    </w:lvl>
    <w:lvl w:ilvl="7" w:tplc="801E66F2" w:tentative="1">
      <w:start w:val="1"/>
      <w:numFmt w:val="bullet"/>
      <w:lvlText w:val="o"/>
      <w:lvlJc w:val="left"/>
      <w:pPr>
        <w:ind w:left="5760" w:hanging="360"/>
      </w:pPr>
      <w:rPr>
        <w:rFonts w:ascii="Courier New" w:hAnsi="Courier New" w:cs="Courier New" w:hint="default"/>
      </w:rPr>
    </w:lvl>
    <w:lvl w:ilvl="8" w:tplc="C12C578E" w:tentative="1">
      <w:start w:val="1"/>
      <w:numFmt w:val="bullet"/>
      <w:lvlText w:val=""/>
      <w:lvlJc w:val="left"/>
      <w:pPr>
        <w:ind w:left="6480" w:hanging="360"/>
      </w:pPr>
      <w:rPr>
        <w:rFonts w:ascii="Wingdings" w:hAnsi="Wingdings" w:hint="default"/>
      </w:rPr>
    </w:lvl>
  </w:abstractNum>
  <w:abstractNum w:abstractNumId="49" w15:restartNumberingAfterBreak="0">
    <w:nsid w:val="78DB33AF"/>
    <w:multiLevelType w:val="hybridMultilevel"/>
    <w:tmpl w:val="8E76DCEE"/>
    <w:lvl w:ilvl="0" w:tplc="F03253EA">
      <w:start w:val="1"/>
      <w:numFmt w:val="lowerRoman"/>
      <w:lvlText w:val="(%1)."/>
      <w:lvlJc w:val="left"/>
      <w:rPr>
        <w:rFonts w:hint="default"/>
      </w:rPr>
    </w:lvl>
    <w:lvl w:ilvl="1" w:tplc="B40260EE">
      <w:start w:val="1"/>
      <w:numFmt w:val="decimal"/>
      <w:lvlText w:val="%2."/>
      <w:lvlJc w:val="left"/>
      <w:pPr>
        <w:ind w:left="2260" w:hanging="720"/>
      </w:pPr>
      <w:rPr>
        <w:rFonts w:hint="default"/>
      </w:rPr>
    </w:lvl>
    <w:lvl w:ilvl="2" w:tplc="F1587DE4" w:tentative="1">
      <w:start w:val="1"/>
      <w:numFmt w:val="lowerRoman"/>
      <w:lvlText w:val="%3."/>
      <w:lvlJc w:val="right"/>
      <w:pPr>
        <w:ind w:left="2620" w:hanging="180"/>
      </w:pPr>
    </w:lvl>
    <w:lvl w:ilvl="3" w:tplc="336E6B42" w:tentative="1">
      <w:start w:val="1"/>
      <w:numFmt w:val="decimal"/>
      <w:lvlText w:val="%4."/>
      <w:lvlJc w:val="left"/>
      <w:pPr>
        <w:ind w:left="3340" w:hanging="360"/>
      </w:pPr>
    </w:lvl>
    <w:lvl w:ilvl="4" w:tplc="50C06B6A" w:tentative="1">
      <w:start w:val="1"/>
      <w:numFmt w:val="lowerLetter"/>
      <w:lvlText w:val="%5."/>
      <w:lvlJc w:val="left"/>
      <w:pPr>
        <w:ind w:left="4060" w:hanging="360"/>
      </w:pPr>
    </w:lvl>
    <w:lvl w:ilvl="5" w:tplc="2526AC6C" w:tentative="1">
      <w:start w:val="1"/>
      <w:numFmt w:val="lowerRoman"/>
      <w:lvlText w:val="%6."/>
      <w:lvlJc w:val="right"/>
      <w:pPr>
        <w:ind w:left="4780" w:hanging="180"/>
      </w:pPr>
    </w:lvl>
    <w:lvl w:ilvl="6" w:tplc="26F28400" w:tentative="1">
      <w:start w:val="1"/>
      <w:numFmt w:val="decimal"/>
      <w:lvlText w:val="%7."/>
      <w:lvlJc w:val="left"/>
      <w:pPr>
        <w:ind w:left="5500" w:hanging="360"/>
      </w:pPr>
    </w:lvl>
    <w:lvl w:ilvl="7" w:tplc="95208D38" w:tentative="1">
      <w:start w:val="1"/>
      <w:numFmt w:val="lowerLetter"/>
      <w:lvlText w:val="%8."/>
      <w:lvlJc w:val="left"/>
      <w:pPr>
        <w:ind w:left="6220" w:hanging="360"/>
      </w:pPr>
    </w:lvl>
    <w:lvl w:ilvl="8" w:tplc="37BECBD4" w:tentative="1">
      <w:start w:val="1"/>
      <w:numFmt w:val="lowerRoman"/>
      <w:lvlText w:val="%9."/>
      <w:lvlJc w:val="right"/>
      <w:pPr>
        <w:ind w:left="6940" w:hanging="180"/>
      </w:pPr>
    </w:lvl>
  </w:abstractNum>
  <w:abstractNum w:abstractNumId="50" w15:restartNumberingAfterBreak="0">
    <w:nsid w:val="7A41693B"/>
    <w:multiLevelType w:val="hybridMultilevel"/>
    <w:tmpl w:val="9962C3C0"/>
    <w:lvl w:ilvl="0" w:tplc="965E12EC">
      <w:start w:val="1"/>
      <w:numFmt w:val="bullet"/>
      <w:lvlText w:val=""/>
      <w:lvlJc w:val="left"/>
      <w:pPr>
        <w:ind w:left="720" w:hanging="360"/>
      </w:pPr>
      <w:rPr>
        <w:rFonts w:ascii="Symbol" w:hAnsi="Symbol" w:hint="default"/>
      </w:rPr>
    </w:lvl>
    <w:lvl w:ilvl="1" w:tplc="4AF4D034">
      <w:start w:val="1"/>
      <w:numFmt w:val="bullet"/>
      <w:lvlText w:val="o"/>
      <w:lvlJc w:val="left"/>
      <w:pPr>
        <w:ind w:left="1440" w:hanging="360"/>
      </w:pPr>
      <w:rPr>
        <w:rFonts w:ascii="Courier New" w:hAnsi="Courier New" w:cs="Courier New" w:hint="default"/>
      </w:rPr>
    </w:lvl>
    <w:lvl w:ilvl="2" w:tplc="F8B83954" w:tentative="1">
      <w:start w:val="1"/>
      <w:numFmt w:val="bullet"/>
      <w:lvlText w:val=""/>
      <w:lvlJc w:val="left"/>
      <w:pPr>
        <w:ind w:left="2160" w:hanging="360"/>
      </w:pPr>
      <w:rPr>
        <w:rFonts w:ascii="Wingdings" w:hAnsi="Wingdings" w:hint="default"/>
      </w:rPr>
    </w:lvl>
    <w:lvl w:ilvl="3" w:tplc="AE7A0488" w:tentative="1">
      <w:start w:val="1"/>
      <w:numFmt w:val="bullet"/>
      <w:lvlText w:val=""/>
      <w:lvlJc w:val="left"/>
      <w:pPr>
        <w:ind w:left="2880" w:hanging="360"/>
      </w:pPr>
      <w:rPr>
        <w:rFonts w:ascii="Symbol" w:hAnsi="Symbol" w:hint="default"/>
      </w:rPr>
    </w:lvl>
    <w:lvl w:ilvl="4" w:tplc="3D0AF342" w:tentative="1">
      <w:start w:val="1"/>
      <w:numFmt w:val="bullet"/>
      <w:lvlText w:val="o"/>
      <w:lvlJc w:val="left"/>
      <w:pPr>
        <w:ind w:left="3600" w:hanging="360"/>
      </w:pPr>
      <w:rPr>
        <w:rFonts w:ascii="Courier New" w:hAnsi="Courier New" w:cs="Courier New" w:hint="default"/>
      </w:rPr>
    </w:lvl>
    <w:lvl w:ilvl="5" w:tplc="DB1C754C" w:tentative="1">
      <w:start w:val="1"/>
      <w:numFmt w:val="bullet"/>
      <w:lvlText w:val=""/>
      <w:lvlJc w:val="left"/>
      <w:pPr>
        <w:ind w:left="4320" w:hanging="360"/>
      </w:pPr>
      <w:rPr>
        <w:rFonts w:ascii="Wingdings" w:hAnsi="Wingdings" w:hint="default"/>
      </w:rPr>
    </w:lvl>
    <w:lvl w:ilvl="6" w:tplc="82C8A1A4" w:tentative="1">
      <w:start w:val="1"/>
      <w:numFmt w:val="bullet"/>
      <w:lvlText w:val=""/>
      <w:lvlJc w:val="left"/>
      <w:pPr>
        <w:ind w:left="5040" w:hanging="360"/>
      </w:pPr>
      <w:rPr>
        <w:rFonts w:ascii="Symbol" w:hAnsi="Symbol" w:hint="default"/>
      </w:rPr>
    </w:lvl>
    <w:lvl w:ilvl="7" w:tplc="AE36CB98" w:tentative="1">
      <w:start w:val="1"/>
      <w:numFmt w:val="bullet"/>
      <w:lvlText w:val="o"/>
      <w:lvlJc w:val="left"/>
      <w:pPr>
        <w:ind w:left="5760" w:hanging="360"/>
      </w:pPr>
      <w:rPr>
        <w:rFonts w:ascii="Courier New" w:hAnsi="Courier New" w:cs="Courier New" w:hint="default"/>
      </w:rPr>
    </w:lvl>
    <w:lvl w:ilvl="8" w:tplc="FDFC4A80" w:tentative="1">
      <w:start w:val="1"/>
      <w:numFmt w:val="bullet"/>
      <w:lvlText w:val=""/>
      <w:lvlJc w:val="left"/>
      <w:pPr>
        <w:ind w:left="6480" w:hanging="360"/>
      </w:pPr>
      <w:rPr>
        <w:rFonts w:ascii="Wingdings" w:hAnsi="Wingdings" w:hint="default"/>
      </w:rPr>
    </w:lvl>
  </w:abstractNum>
  <w:abstractNum w:abstractNumId="51" w15:restartNumberingAfterBreak="0">
    <w:nsid w:val="7C035DD0"/>
    <w:multiLevelType w:val="hybridMultilevel"/>
    <w:tmpl w:val="58B20520"/>
    <w:lvl w:ilvl="0" w:tplc="9B42A8EE">
      <w:start w:val="1"/>
      <w:numFmt w:val="bullet"/>
      <w:lvlText w:val=""/>
      <w:lvlJc w:val="left"/>
      <w:pPr>
        <w:ind w:left="720" w:hanging="360"/>
      </w:pPr>
      <w:rPr>
        <w:rFonts w:ascii="Symbol" w:hAnsi="Symbol" w:hint="default"/>
      </w:rPr>
    </w:lvl>
    <w:lvl w:ilvl="1" w:tplc="2B64FB9A" w:tentative="1">
      <w:start w:val="1"/>
      <w:numFmt w:val="bullet"/>
      <w:lvlText w:val="o"/>
      <w:lvlJc w:val="left"/>
      <w:pPr>
        <w:ind w:left="1440" w:hanging="360"/>
      </w:pPr>
      <w:rPr>
        <w:rFonts w:ascii="Courier New" w:hAnsi="Courier New" w:cs="Courier New" w:hint="default"/>
      </w:rPr>
    </w:lvl>
    <w:lvl w:ilvl="2" w:tplc="CF5CA578" w:tentative="1">
      <w:start w:val="1"/>
      <w:numFmt w:val="bullet"/>
      <w:lvlText w:val=""/>
      <w:lvlJc w:val="left"/>
      <w:pPr>
        <w:ind w:left="2160" w:hanging="360"/>
      </w:pPr>
      <w:rPr>
        <w:rFonts w:ascii="Wingdings" w:hAnsi="Wingdings" w:hint="default"/>
      </w:rPr>
    </w:lvl>
    <w:lvl w:ilvl="3" w:tplc="9DE25878" w:tentative="1">
      <w:start w:val="1"/>
      <w:numFmt w:val="bullet"/>
      <w:lvlText w:val=""/>
      <w:lvlJc w:val="left"/>
      <w:pPr>
        <w:ind w:left="2880" w:hanging="360"/>
      </w:pPr>
      <w:rPr>
        <w:rFonts w:ascii="Symbol" w:hAnsi="Symbol" w:hint="default"/>
      </w:rPr>
    </w:lvl>
    <w:lvl w:ilvl="4" w:tplc="6F8A7B9A" w:tentative="1">
      <w:start w:val="1"/>
      <w:numFmt w:val="bullet"/>
      <w:lvlText w:val="o"/>
      <w:lvlJc w:val="left"/>
      <w:pPr>
        <w:ind w:left="3600" w:hanging="360"/>
      </w:pPr>
      <w:rPr>
        <w:rFonts w:ascii="Courier New" w:hAnsi="Courier New" w:cs="Courier New" w:hint="default"/>
      </w:rPr>
    </w:lvl>
    <w:lvl w:ilvl="5" w:tplc="23607476" w:tentative="1">
      <w:start w:val="1"/>
      <w:numFmt w:val="bullet"/>
      <w:lvlText w:val=""/>
      <w:lvlJc w:val="left"/>
      <w:pPr>
        <w:ind w:left="4320" w:hanging="360"/>
      </w:pPr>
      <w:rPr>
        <w:rFonts w:ascii="Wingdings" w:hAnsi="Wingdings" w:hint="default"/>
      </w:rPr>
    </w:lvl>
    <w:lvl w:ilvl="6" w:tplc="53B85262" w:tentative="1">
      <w:start w:val="1"/>
      <w:numFmt w:val="bullet"/>
      <w:lvlText w:val=""/>
      <w:lvlJc w:val="left"/>
      <w:pPr>
        <w:ind w:left="5040" w:hanging="360"/>
      </w:pPr>
      <w:rPr>
        <w:rFonts w:ascii="Symbol" w:hAnsi="Symbol" w:hint="default"/>
      </w:rPr>
    </w:lvl>
    <w:lvl w:ilvl="7" w:tplc="D23C079A" w:tentative="1">
      <w:start w:val="1"/>
      <w:numFmt w:val="bullet"/>
      <w:lvlText w:val="o"/>
      <w:lvlJc w:val="left"/>
      <w:pPr>
        <w:ind w:left="5760" w:hanging="360"/>
      </w:pPr>
      <w:rPr>
        <w:rFonts w:ascii="Courier New" w:hAnsi="Courier New" w:cs="Courier New" w:hint="default"/>
      </w:rPr>
    </w:lvl>
    <w:lvl w:ilvl="8" w:tplc="0DE2DBD6" w:tentative="1">
      <w:start w:val="1"/>
      <w:numFmt w:val="bullet"/>
      <w:lvlText w:val=""/>
      <w:lvlJc w:val="left"/>
      <w:pPr>
        <w:ind w:left="6480" w:hanging="360"/>
      </w:pPr>
      <w:rPr>
        <w:rFonts w:ascii="Wingdings" w:hAnsi="Wingdings" w:hint="default"/>
      </w:rPr>
    </w:lvl>
  </w:abstractNum>
  <w:abstractNum w:abstractNumId="52" w15:restartNumberingAfterBreak="0">
    <w:nsid w:val="7FE127C0"/>
    <w:multiLevelType w:val="hybridMultilevel"/>
    <w:tmpl w:val="6046B9C0"/>
    <w:lvl w:ilvl="0" w:tplc="C6C07006">
      <w:numFmt w:val="bullet"/>
      <w:lvlText w:val="•"/>
      <w:lvlJc w:val="left"/>
      <w:rPr>
        <w:rFonts w:ascii="Arial" w:hAnsi="Arial" w:hint="default"/>
        <w:sz w:val="20"/>
      </w:rPr>
    </w:lvl>
    <w:lvl w:ilvl="1" w:tplc="1BEA559E" w:tentative="1">
      <w:start w:val="1"/>
      <w:numFmt w:val="bullet"/>
      <w:lvlText w:val="o"/>
      <w:lvlJc w:val="left"/>
      <w:pPr>
        <w:ind w:left="1440" w:hanging="360"/>
      </w:pPr>
      <w:rPr>
        <w:rFonts w:ascii="Courier New" w:hAnsi="Courier New" w:cs="Courier New" w:hint="default"/>
      </w:rPr>
    </w:lvl>
    <w:lvl w:ilvl="2" w:tplc="105E3284" w:tentative="1">
      <w:start w:val="1"/>
      <w:numFmt w:val="bullet"/>
      <w:lvlText w:val=""/>
      <w:lvlJc w:val="left"/>
      <w:pPr>
        <w:ind w:left="2160" w:hanging="360"/>
      </w:pPr>
      <w:rPr>
        <w:rFonts w:ascii="Wingdings" w:hAnsi="Wingdings" w:hint="default"/>
      </w:rPr>
    </w:lvl>
    <w:lvl w:ilvl="3" w:tplc="55CE559A" w:tentative="1">
      <w:start w:val="1"/>
      <w:numFmt w:val="bullet"/>
      <w:lvlText w:val=""/>
      <w:lvlJc w:val="left"/>
      <w:pPr>
        <w:ind w:left="2880" w:hanging="360"/>
      </w:pPr>
      <w:rPr>
        <w:rFonts w:ascii="Symbol" w:hAnsi="Symbol" w:hint="default"/>
      </w:rPr>
    </w:lvl>
    <w:lvl w:ilvl="4" w:tplc="4A4A5CD0" w:tentative="1">
      <w:start w:val="1"/>
      <w:numFmt w:val="bullet"/>
      <w:lvlText w:val="o"/>
      <w:lvlJc w:val="left"/>
      <w:pPr>
        <w:ind w:left="3600" w:hanging="360"/>
      </w:pPr>
      <w:rPr>
        <w:rFonts w:ascii="Courier New" w:hAnsi="Courier New" w:cs="Courier New" w:hint="default"/>
      </w:rPr>
    </w:lvl>
    <w:lvl w:ilvl="5" w:tplc="F04E8174" w:tentative="1">
      <w:start w:val="1"/>
      <w:numFmt w:val="bullet"/>
      <w:lvlText w:val=""/>
      <w:lvlJc w:val="left"/>
      <w:pPr>
        <w:ind w:left="4320" w:hanging="360"/>
      </w:pPr>
      <w:rPr>
        <w:rFonts w:ascii="Wingdings" w:hAnsi="Wingdings" w:hint="default"/>
      </w:rPr>
    </w:lvl>
    <w:lvl w:ilvl="6" w:tplc="C346E494" w:tentative="1">
      <w:start w:val="1"/>
      <w:numFmt w:val="bullet"/>
      <w:lvlText w:val=""/>
      <w:lvlJc w:val="left"/>
      <w:pPr>
        <w:ind w:left="5040" w:hanging="360"/>
      </w:pPr>
      <w:rPr>
        <w:rFonts w:ascii="Symbol" w:hAnsi="Symbol" w:hint="default"/>
      </w:rPr>
    </w:lvl>
    <w:lvl w:ilvl="7" w:tplc="C5784770" w:tentative="1">
      <w:start w:val="1"/>
      <w:numFmt w:val="bullet"/>
      <w:lvlText w:val="o"/>
      <w:lvlJc w:val="left"/>
      <w:pPr>
        <w:ind w:left="5760" w:hanging="360"/>
      </w:pPr>
      <w:rPr>
        <w:rFonts w:ascii="Courier New" w:hAnsi="Courier New" w:cs="Courier New" w:hint="default"/>
      </w:rPr>
    </w:lvl>
    <w:lvl w:ilvl="8" w:tplc="26C25A78" w:tentative="1">
      <w:start w:val="1"/>
      <w:numFmt w:val="bullet"/>
      <w:lvlText w:val=""/>
      <w:lvlJc w:val="left"/>
      <w:pPr>
        <w:ind w:left="6480" w:hanging="360"/>
      </w:pPr>
      <w:rPr>
        <w:rFonts w:ascii="Wingdings" w:hAnsi="Wingdings" w:hint="default"/>
      </w:rPr>
    </w:lvl>
  </w:abstractNum>
  <w:num w:numId="1" w16cid:durableId="1845778152">
    <w:abstractNumId w:val="9"/>
  </w:num>
  <w:num w:numId="2" w16cid:durableId="213929731">
    <w:abstractNumId w:val="18"/>
  </w:num>
  <w:num w:numId="3" w16cid:durableId="1998069447">
    <w:abstractNumId w:val="0"/>
    <w:lvlOverride w:ilvl="0">
      <w:lvl w:ilvl="0">
        <w:start w:val="1"/>
        <w:numFmt w:val="bullet"/>
        <w:pStyle w:val="CommentSubject"/>
        <w:lvlText w:val=""/>
        <w:lvlJc w:val="left"/>
        <w:pPr>
          <w:tabs>
            <w:tab w:val="num" w:pos="360"/>
          </w:tabs>
          <w:ind w:left="360" w:hanging="360"/>
        </w:pPr>
        <w:rPr>
          <w:rFonts w:ascii="Wingdings" w:hAnsi="Wingdings" w:hint="default"/>
        </w:rPr>
      </w:lvl>
    </w:lvlOverride>
  </w:num>
  <w:num w:numId="4" w16cid:durableId="1773161024">
    <w:abstractNumId w:val="29"/>
  </w:num>
  <w:num w:numId="5" w16cid:durableId="1553270851">
    <w:abstractNumId w:val="3"/>
  </w:num>
  <w:num w:numId="6" w16cid:durableId="329985923">
    <w:abstractNumId w:val="47"/>
  </w:num>
  <w:num w:numId="7" w16cid:durableId="442379996">
    <w:abstractNumId w:val="17"/>
  </w:num>
  <w:num w:numId="8" w16cid:durableId="647435696">
    <w:abstractNumId w:val="42"/>
  </w:num>
  <w:num w:numId="9" w16cid:durableId="1763185988">
    <w:abstractNumId w:val="51"/>
  </w:num>
  <w:num w:numId="10" w16cid:durableId="1654336463">
    <w:abstractNumId w:val="21"/>
  </w:num>
  <w:num w:numId="11" w16cid:durableId="924998510">
    <w:abstractNumId w:val="26"/>
  </w:num>
  <w:num w:numId="12" w16cid:durableId="358749258">
    <w:abstractNumId w:val="38"/>
  </w:num>
  <w:num w:numId="13" w16cid:durableId="1654917104">
    <w:abstractNumId w:val="28"/>
  </w:num>
  <w:num w:numId="14" w16cid:durableId="1053499331">
    <w:abstractNumId w:val="6"/>
  </w:num>
  <w:num w:numId="15" w16cid:durableId="1473134997">
    <w:abstractNumId w:val="34"/>
  </w:num>
  <w:num w:numId="16" w16cid:durableId="2073304815">
    <w:abstractNumId w:val="39"/>
  </w:num>
  <w:num w:numId="17" w16cid:durableId="1742480424">
    <w:abstractNumId w:val="15"/>
  </w:num>
  <w:num w:numId="18" w16cid:durableId="256906911">
    <w:abstractNumId w:val="23"/>
  </w:num>
  <w:num w:numId="19" w16cid:durableId="1099252765">
    <w:abstractNumId w:val="22"/>
  </w:num>
  <w:num w:numId="20" w16cid:durableId="611130747">
    <w:abstractNumId w:val="11"/>
  </w:num>
  <w:num w:numId="21" w16cid:durableId="1553998572">
    <w:abstractNumId w:val="44"/>
  </w:num>
  <w:num w:numId="22" w16cid:durableId="2444609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7337931">
    <w:abstractNumId w:val="1"/>
  </w:num>
  <w:num w:numId="24" w16cid:durableId="334263728">
    <w:abstractNumId w:val="24"/>
  </w:num>
  <w:num w:numId="25" w16cid:durableId="836111123">
    <w:abstractNumId w:val="46"/>
  </w:num>
  <w:num w:numId="26" w16cid:durableId="1553229804">
    <w:abstractNumId w:val="19"/>
  </w:num>
  <w:num w:numId="27" w16cid:durableId="189799696">
    <w:abstractNumId w:val="4"/>
  </w:num>
  <w:num w:numId="28" w16cid:durableId="25569293">
    <w:abstractNumId w:val="30"/>
  </w:num>
  <w:num w:numId="29" w16cid:durableId="565451938">
    <w:abstractNumId w:val="16"/>
  </w:num>
  <w:num w:numId="30" w16cid:durableId="1211723695">
    <w:abstractNumId w:val="48"/>
  </w:num>
  <w:num w:numId="31" w16cid:durableId="1624144338">
    <w:abstractNumId w:val="10"/>
  </w:num>
  <w:num w:numId="32" w16cid:durableId="824933366">
    <w:abstractNumId w:val="7"/>
  </w:num>
  <w:num w:numId="33" w16cid:durableId="1819611131">
    <w:abstractNumId w:val="43"/>
  </w:num>
  <w:num w:numId="34" w16cid:durableId="1965117036">
    <w:abstractNumId w:val="49"/>
  </w:num>
  <w:num w:numId="35" w16cid:durableId="1767800193">
    <w:abstractNumId w:val="50"/>
  </w:num>
  <w:num w:numId="36" w16cid:durableId="1601446570">
    <w:abstractNumId w:val="25"/>
  </w:num>
  <w:num w:numId="37" w16cid:durableId="788741739">
    <w:abstractNumId w:val="36"/>
  </w:num>
  <w:num w:numId="38" w16cid:durableId="129373193">
    <w:abstractNumId w:val="2"/>
  </w:num>
  <w:num w:numId="39" w16cid:durableId="1971279969">
    <w:abstractNumId w:val="40"/>
  </w:num>
  <w:num w:numId="40" w16cid:durableId="1940328987">
    <w:abstractNumId w:val="13"/>
  </w:num>
  <w:num w:numId="41" w16cid:durableId="968433121">
    <w:abstractNumId w:val="31"/>
  </w:num>
  <w:num w:numId="42" w16cid:durableId="132480739">
    <w:abstractNumId w:val="27"/>
  </w:num>
  <w:num w:numId="43" w16cid:durableId="94984777">
    <w:abstractNumId w:val="12"/>
  </w:num>
  <w:num w:numId="44" w16cid:durableId="138496367">
    <w:abstractNumId w:val="32"/>
  </w:num>
  <w:num w:numId="45" w16cid:durableId="340547972">
    <w:abstractNumId w:val="35"/>
  </w:num>
  <w:num w:numId="46" w16cid:durableId="1931238621">
    <w:abstractNumId w:val="20"/>
  </w:num>
  <w:num w:numId="47" w16cid:durableId="970205328">
    <w:abstractNumId w:val="5"/>
  </w:num>
  <w:num w:numId="48" w16cid:durableId="117724072">
    <w:abstractNumId w:val="45"/>
  </w:num>
  <w:num w:numId="49" w16cid:durableId="841967172">
    <w:abstractNumId w:val="37"/>
  </w:num>
  <w:num w:numId="50" w16cid:durableId="143201448">
    <w:abstractNumId w:val="14"/>
  </w:num>
  <w:num w:numId="51" w16cid:durableId="632951209">
    <w:abstractNumId w:val="41"/>
  </w:num>
  <w:num w:numId="52" w16cid:durableId="1609042913">
    <w:abstractNumId w:val="52"/>
  </w:num>
  <w:num w:numId="53" w16cid:durableId="501285254">
    <w:abstractNumId w:val="33"/>
  </w:num>
  <w:num w:numId="54" w16cid:durableId="1260063883">
    <w:abstractNumId w:va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濾³ķê⩛ÜBlue Document Info Table StyleL嘺혓따Ѐ딀Ѐ딀Ѐ딀Ѐ딀Ѐ딀Ѐ樀ዖ㑼蜁૖＀Ü_x000a_왦ą愀$2⩂䌁၊伀Ŋ儀Ŋ瀀h蔀᫊࠵䈁ପ䩃䩏䩑桰耀Ɖ䘜Ë͠＀＀ÜĄÜĄÜĄÜĄÜĄÜĄ氀氀̀̃＀ÿ＀ÿÿÿ＀＀＀＀＀＀䘜ËĻ䑴ËðĀāāऀĀ＀＀＀＀＀＀＀＀＀䑴Ëş䑰Ë耀dఉఉЁ＀＀＀＀_x000a_$%ÿ䤟}á腏½僀M뮛Y撀¢걋Æ雷Fÿÿá䤟}䑰Ë_x000a__x000a__x000a_%耀＀dЀЀ"/>
  </w:docVars>
  <w:rsids>
    <w:rsidRoot w:val="004C3FA0"/>
    <w:rsid w:val="000001F7"/>
    <w:rsid w:val="000003C8"/>
    <w:rsid w:val="000013AC"/>
    <w:rsid w:val="000017D2"/>
    <w:rsid w:val="0000199D"/>
    <w:rsid w:val="00001A68"/>
    <w:rsid w:val="00001BB7"/>
    <w:rsid w:val="000023F7"/>
    <w:rsid w:val="000026E1"/>
    <w:rsid w:val="00002F09"/>
    <w:rsid w:val="00003107"/>
    <w:rsid w:val="000043E5"/>
    <w:rsid w:val="00004EB9"/>
    <w:rsid w:val="000053A0"/>
    <w:rsid w:val="000054BF"/>
    <w:rsid w:val="000058AF"/>
    <w:rsid w:val="00005CD4"/>
    <w:rsid w:val="00005DDA"/>
    <w:rsid w:val="0000605A"/>
    <w:rsid w:val="00006E10"/>
    <w:rsid w:val="00006FDB"/>
    <w:rsid w:val="00007A6E"/>
    <w:rsid w:val="00007BBE"/>
    <w:rsid w:val="00010DDF"/>
    <w:rsid w:val="00010F3C"/>
    <w:rsid w:val="00011312"/>
    <w:rsid w:val="000113FD"/>
    <w:rsid w:val="000114B9"/>
    <w:rsid w:val="000115EE"/>
    <w:rsid w:val="0001164D"/>
    <w:rsid w:val="00011EDD"/>
    <w:rsid w:val="00011FA2"/>
    <w:rsid w:val="0001200B"/>
    <w:rsid w:val="00012400"/>
    <w:rsid w:val="00012422"/>
    <w:rsid w:val="00012B48"/>
    <w:rsid w:val="00012C6D"/>
    <w:rsid w:val="00012F3E"/>
    <w:rsid w:val="000131E3"/>
    <w:rsid w:val="00013AA7"/>
    <w:rsid w:val="00014316"/>
    <w:rsid w:val="00014812"/>
    <w:rsid w:val="00014EC2"/>
    <w:rsid w:val="00014F38"/>
    <w:rsid w:val="0001632F"/>
    <w:rsid w:val="00016CD2"/>
    <w:rsid w:val="00016D38"/>
    <w:rsid w:val="000177C9"/>
    <w:rsid w:val="00017DC5"/>
    <w:rsid w:val="000208E2"/>
    <w:rsid w:val="00020AA4"/>
    <w:rsid w:val="00021665"/>
    <w:rsid w:val="00021CDD"/>
    <w:rsid w:val="000223FA"/>
    <w:rsid w:val="0002254E"/>
    <w:rsid w:val="00022780"/>
    <w:rsid w:val="00022FFC"/>
    <w:rsid w:val="00023449"/>
    <w:rsid w:val="00023841"/>
    <w:rsid w:val="00024050"/>
    <w:rsid w:val="00024FB0"/>
    <w:rsid w:val="000253C3"/>
    <w:rsid w:val="00025637"/>
    <w:rsid w:val="00025AF6"/>
    <w:rsid w:val="00025C42"/>
    <w:rsid w:val="000261D5"/>
    <w:rsid w:val="00026769"/>
    <w:rsid w:val="00027298"/>
    <w:rsid w:val="000272C9"/>
    <w:rsid w:val="00027B28"/>
    <w:rsid w:val="00027BD0"/>
    <w:rsid w:val="000302B3"/>
    <w:rsid w:val="000312AE"/>
    <w:rsid w:val="000316C2"/>
    <w:rsid w:val="00031867"/>
    <w:rsid w:val="00031D60"/>
    <w:rsid w:val="0003232A"/>
    <w:rsid w:val="00032597"/>
    <w:rsid w:val="00032ABE"/>
    <w:rsid w:val="00032DE3"/>
    <w:rsid w:val="000331F1"/>
    <w:rsid w:val="00033313"/>
    <w:rsid w:val="000335EB"/>
    <w:rsid w:val="00033A33"/>
    <w:rsid w:val="00034166"/>
    <w:rsid w:val="000341EC"/>
    <w:rsid w:val="000344ED"/>
    <w:rsid w:val="00034528"/>
    <w:rsid w:val="00034C31"/>
    <w:rsid w:val="000352BD"/>
    <w:rsid w:val="000354D2"/>
    <w:rsid w:val="0003569C"/>
    <w:rsid w:val="000358F8"/>
    <w:rsid w:val="00035B05"/>
    <w:rsid w:val="00035B1D"/>
    <w:rsid w:val="00036508"/>
    <w:rsid w:val="00036D07"/>
    <w:rsid w:val="00036D74"/>
    <w:rsid w:val="000376FE"/>
    <w:rsid w:val="0003775E"/>
    <w:rsid w:val="00037A09"/>
    <w:rsid w:val="00037ADF"/>
    <w:rsid w:val="00037F2D"/>
    <w:rsid w:val="00040790"/>
    <w:rsid w:val="00040A41"/>
    <w:rsid w:val="00040E2D"/>
    <w:rsid w:val="000416ED"/>
    <w:rsid w:val="000416FA"/>
    <w:rsid w:val="00041707"/>
    <w:rsid w:val="00041A3E"/>
    <w:rsid w:val="00041B2C"/>
    <w:rsid w:val="00041CF4"/>
    <w:rsid w:val="0004274B"/>
    <w:rsid w:val="00042993"/>
    <w:rsid w:val="00042D98"/>
    <w:rsid w:val="00042DE7"/>
    <w:rsid w:val="00043561"/>
    <w:rsid w:val="000438C6"/>
    <w:rsid w:val="00044510"/>
    <w:rsid w:val="00044921"/>
    <w:rsid w:val="00044946"/>
    <w:rsid w:val="00044BF2"/>
    <w:rsid w:val="000450A9"/>
    <w:rsid w:val="000450DB"/>
    <w:rsid w:val="0004515C"/>
    <w:rsid w:val="00045472"/>
    <w:rsid w:val="0004689B"/>
    <w:rsid w:val="00046AD3"/>
    <w:rsid w:val="00046C50"/>
    <w:rsid w:val="00046F67"/>
    <w:rsid w:val="000470DE"/>
    <w:rsid w:val="0004714E"/>
    <w:rsid w:val="00047670"/>
    <w:rsid w:val="0004776B"/>
    <w:rsid w:val="00047C99"/>
    <w:rsid w:val="00047CC9"/>
    <w:rsid w:val="00047FB5"/>
    <w:rsid w:val="0005088E"/>
    <w:rsid w:val="00050AB1"/>
    <w:rsid w:val="00050C3D"/>
    <w:rsid w:val="00050E86"/>
    <w:rsid w:val="0005108F"/>
    <w:rsid w:val="00051286"/>
    <w:rsid w:val="00051A8A"/>
    <w:rsid w:val="0005297D"/>
    <w:rsid w:val="00052F0C"/>
    <w:rsid w:val="00053265"/>
    <w:rsid w:val="00054182"/>
    <w:rsid w:val="0005485B"/>
    <w:rsid w:val="00054C6E"/>
    <w:rsid w:val="00054F01"/>
    <w:rsid w:val="00054FEF"/>
    <w:rsid w:val="000552A1"/>
    <w:rsid w:val="000552F5"/>
    <w:rsid w:val="00055A49"/>
    <w:rsid w:val="00055C0D"/>
    <w:rsid w:val="0005629F"/>
    <w:rsid w:val="000564A7"/>
    <w:rsid w:val="0005657D"/>
    <w:rsid w:val="0005731E"/>
    <w:rsid w:val="000578BA"/>
    <w:rsid w:val="00057FB3"/>
    <w:rsid w:val="00060353"/>
    <w:rsid w:val="000609BC"/>
    <w:rsid w:val="000614D7"/>
    <w:rsid w:val="000616E5"/>
    <w:rsid w:val="00061B0B"/>
    <w:rsid w:val="00062411"/>
    <w:rsid w:val="000625D9"/>
    <w:rsid w:val="00063839"/>
    <w:rsid w:val="00063C79"/>
    <w:rsid w:val="00063E13"/>
    <w:rsid w:val="00063FC9"/>
    <w:rsid w:val="000645AD"/>
    <w:rsid w:val="00064BF0"/>
    <w:rsid w:val="00065BCE"/>
    <w:rsid w:val="0006623E"/>
    <w:rsid w:val="000665A1"/>
    <w:rsid w:val="00066904"/>
    <w:rsid w:val="00066905"/>
    <w:rsid w:val="00066D62"/>
    <w:rsid w:val="00066E86"/>
    <w:rsid w:val="00067016"/>
    <w:rsid w:val="000671A9"/>
    <w:rsid w:val="000677DD"/>
    <w:rsid w:val="00067B10"/>
    <w:rsid w:val="00067B9F"/>
    <w:rsid w:val="00067D22"/>
    <w:rsid w:val="0007005A"/>
    <w:rsid w:val="000700E3"/>
    <w:rsid w:val="00070F9B"/>
    <w:rsid w:val="00071052"/>
    <w:rsid w:val="0007137B"/>
    <w:rsid w:val="00071469"/>
    <w:rsid w:val="000715B1"/>
    <w:rsid w:val="0007162E"/>
    <w:rsid w:val="00071957"/>
    <w:rsid w:val="00071E33"/>
    <w:rsid w:val="00071F2B"/>
    <w:rsid w:val="00072585"/>
    <w:rsid w:val="000726DA"/>
    <w:rsid w:val="000727DD"/>
    <w:rsid w:val="000728CD"/>
    <w:rsid w:val="000729D1"/>
    <w:rsid w:val="00072E7A"/>
    <w:rsid w:val="00072E9B"/>
    <w:rsid w:val="00072F3B"/>
    <w:rsid w:val="00073054"/>
    <w:rsid w:val="000731BB"/>
    <w:rsid w:val="00073546"/>
    <w:rsid w:val="000744C3"/>
    <w:rsid w:val="00074768"/>
    <w:rsid w:val="00074902"/>
    <w:rsid w:val="00074BF9"/>
    <w:rsid w:val="000752BB"/>
    <w:rsid w:val="00075398"/>
    <w:rsid w:val="00075856"/>
    <w:rsid w:val="00075B73"/>
    <w:rsid w:val="00075B90"/>
    <w:rsid w:val="00075CEC"/>
    <w:rsid w:val="000763FA"/>
    <w:rsid w:val="000768B8"/>
    <w:rsid w:val="000768FB"/>
    <w:rsid w:val="00076DC2"/>
    <w:rsid w:val="00076F5B"/>
    <w:rsid w:val="000774EA"/>
    <w:rsid w:val="0007757C"/>
    <w:rsid w:val="000778C5"/>
    <w:rsid w:val="00080702"/>
    <w:rsid w:val="00080710"/>
    <w:rsid w:val="00080907"/>
    <w:rsid w:val="00082336"/>
    <w:rsid w:val="00082BD2"/>
    <w:rsid w:val="0008312D"/>
    <w:rsid w:val="00083178"/>
    <w:rsid w:val="00083320"/>
    <w:rsid w:val="000833E5"/>
    <w:rsid w:val="000835D3"/>
    <w:rsid w:val="00084CC7"/>
    <w:rsid w:val="00084D46"/>
    <w:rsid w:val="0008500D"/>
    <w:rsid w:val="0008533F"/>
    <w:rsid w:val="00085457"/>
    <w:rsid w:val="000855EB"/>
    <w:rsid w:val="000857BA"/>
    <w:rsid w:val="00085EC0"/>
    <w:rsid w:val="00085F85"/>
    <w:rsid w:val="000867B4"/>
    <w:rsid w:val="00090248"/>
    <w:rsid w:val="00090717"/>
    <w:rsid w:val="000915CB"/>
    <w:rsid w:val="00091741"/>
    <w:rsid w:val="00091C30"/>
    <w:rsid w:val="000932A8"/>
    <w:rsid w:val="00093A4F"/>
    <w:rsid w:val="000942AE"/>
    <w:rsid w:val="00094328"/>
    <w:rsid w:val="0009514A"/>
    <w:rsid w:val="0009574E"/>
    <w:rsid w:val="0009578A"/>
    <w:rsid w:val="00095BAC"/>
    <w:rsid w:val="00095D0D"/>
    <w:rsid w:val="0009634C"/>
    <w:rsid w:val="00096548"/>
    <w:rsid w:val="00096BD9"/>
    <w:rsid w:val="00096D9B"/>
    <w:rsid w:val="00097472"/>
    <w:rsid w:val="00097579"/>
    <w:rsid w:val="000978D6"/>
    <w:rsid w:val="00097AD5"/>
    <w:rsid w:val="00097FB0"/>
    <w:rsid w:val="000A002D"/>
    <w:rsid w:val="000A0079"/>
    <w:rsid w:val="000A04FD"/>
    <w:rsid w:val="000A064C"/>
    <w:rsid w:val="000A06A8"/>
    <w:rsid w:val="000A12B4"/>
    <w:rsid w:val="000A180A"/>
    <w:rsid w:val="000A221A"/>
    <w:rsid w:val="000A265C"/>
    <w:rsid w:val="000A28EC"/>
    <w:rsid w:val="000A31AF"/>
    <w:rsid w:val="000A3880"/>
    <w:rsid w:val="000A3901"/>
    <w:rsid w:val="000A3997"/>
    <w:rsid w:val="000A426A"/>
    <w:rsid w:val="000A4337"/>
    <w:rsid w:val="000A4529"/>
    <w:rsid w:val="000A489D"/>
    <w:rsid w:val="000A4982"/>
    <w:rsid w:val="000A4B9B"/>
    <w:rsid w:val="000A4D04"/>
    <w:rsid w:val="000A4EC7"/>
    <w:rsid w:val="000A4F9B"/>
    <w:rsid w:val="000A57F2"/>
    <w:rsid w:val="000A61C5"/>
    <w:rsid w:val="000A72F5"/>
    <w:rsid w:val="000A7E29"/>
    <w:rsid w:val="000A7FCE"/>
    <w:rsid w:val="000B0048"/>
    <w:rsid w:val="000B127E"/>
    <w:rsid w:val="000B14EA"/>
    <w:rsid w:val="000B2F50"/>
    <w:rsid w:val="000B30F0"/>
    <w:rsid w:val="000B33EC"/>
    <w:rsid w:val="000B3C44"/>
    <w:rsid w:val="000B3ED1"/>
    <w:rsid w:val="000B3FC6"/>
    <w:rsid w:val="000B4147"/>
    <w:rsid w:val="000B4983"/>
    <w:rsid w:val="000B4CD7"/>
    <w:rsid w:val="000B5B66"/>
    <w:rsid w:val="000B5C8B"/>
    <w:rsid w:val="000B5D6E"/>
    <w:rsid w:val="000B5EF8"/>
    <w:rsid w:val="000B66E3"/>
    <w:rsid w:val="000B699E"/>
    <w:rsid w:val="000B7C30"/>
    <w:rsid w:val="000C017E"/>
    <w:rsid w:val="000C0490"/>
    <w:rsid w:val="000C09E7"/>
    <w:rsid w:val="000C0DAA"/>
    <w:rsid w:val="000C1027"/>
    <w:rsid w:val="000C29A7"/>
    <w:rsid w:val="000C2AF0"/>
    <w:rsid w:val="000C30B6"/>
    <w:rsid w:val="000C3378"/>
    <w:rsid w:val="000C3792"/>
    <w:rsid w:val="000C39A3"/>
    <w:rsid w:val="000C3AFC"/>
    <w:rsid w:val="000C3B32"/>
    <w:rsid w:val="000C3B82"/>
    <w:rsid w:val="000C4200"/>
    <w:rsid w:val="000C4246"/>
    <w:rsid w:val="000C4D8A"/>
    <w:rsid w:val="000C53A2"/>
    <w:rsid w:val="000C54B2"/>
    <w:rsid w:val="000C5C08"/>
    <w:rsid w:val="000C5FC5"/>
    <w:rsid w:val="000C6A4E"/>
    <w:rsid w:val="000C6ABC"/>
    <w:rsid w:val="000C6DB5"/>
    <w:rsid w:val="000C6FDA"/>
    <w:rsid w:val="000D0A5D"/>
    <w:rsid w:val="000D0CD9"/>
    <w:rsid w:val="000D0F7C"/>
    <w:rsid w:val="000D1230"/>
    <w:rsid w:val="000D1993"/>
    <w:rsid w:val="000D24F9"/>
    <w:rsid w:val="000D29E4"/>
    <w:rsid w:val="000D2BF9"/>
    <w:rsid w:val="000D360C"/>
    <w:rsid w:val="000D41BC"/>
    <w:rsid w:val="000D43A3"/>
    <w:rsid w:val="000D4422"/>
    <w:rsid w:val="000D4B99"/>
    <w:rsid w:val="000D52F4"/>
    <w:rsid w:val="000D55CB"/>
    <w:rsid w:val="000D57CB"/>
    <w:rsid w:val="000D5C10"/>
    <w:rsid w:val="000D5E9E"/>
    <w:rsid w:val="000D6EA5"/>
    <w:rsid w:val="000D6F48"/>
    <w:rsid w:val="000D6FE2"/>
    <w:rsid w:val="000D7A7C"/>
    <w:rsid w:val="000D7D37"/>
    <w:rsid w:val="000E06D5"/>
    <w:rsid w:val="000E0B65"/>
    <w:rsid w:val="000E0FD0"/>
    <w:rsid w:val="000E151D"/>
    <w:rsid w:val="000E1616"/>
    <w:rsid w:val="000E1C54"/>
    <w:rsid w:val="000E1CB6"/>
    <w:rsid w:val="000E2370"/>
    <w:rsid w:val="000E2FCF"/>
    <w:rsid w:val="000E300D"/>
    <w:rsid w:val="000E3422"/>
    <w:rsid w:val="000E3BE2"/>
    <w:rsid w:val="000E4515"/>
    <w:rsid w:val="000E4C1A"/>
    <w:rsid w:val="000E56ED"/>
    <w:rsid w:val="000E60B8"/>
    <w:rsid w:val="000E6E0D"/>
    <w:rsid w:val="000E7768"/>
    <w:rsid w:val="000E7BC3"/>
    <w:rsid w:val="000F05AB"/>
    <w:rsid w:val="000F11CF"/>
    <w:rsid w:val="000F271A"/>
    <w:rsid w:val="000F2AE6"/>
    <w:rsid w:val="000F322F"/>
    <w:rsid w:val="000F39CD"/>
    <w:rsid w:val="000F4324"/>
    <w:rsid w:val="000F4A6D"/>
    <w:rsid w:val="000F5B37"/>
    <w:rsid w:val="000F5ED0"/>
    <w:rsid w:val="000F7045"/>
    <w:rsid w:val="000F730C"/>
    <w:rsid w:val="000F75E7"/>
    <w:rsid w:val="000F7CBF"/>
    <w:rsid w:val="000F7D6E"/>
    <w:rsid w:val="0010092D"/>
    <w:rsid w:val="00100B87"/>
    <w:rsid w:val="00100F2B"/>
    <w:rsid w:val="0010137E"/>
    <w:rsid w:val="001013FC"/>
    <w:rsid w:val="00101477"/>
    <w:rsid w:val="00101988"/>
    <w:rsid w:val="001022E6"/>
    <w:rsid w:val="00102AB1"/>
    <w:rsid w:val="00103987"/>
    <w:rsid w:val="00103E84"/>
    <w:rsid w:val="00104079"/>
    <w:rsid w:val="00104337"/>
    <w:rsid w:val="00104595"/>
    <w:rsid w:val="00104FA3"/>
    <w:rsid w:val="00105893"/>
    <w:rsid w:val="0010628D"/>
    <w:rsid w:val="00106B56"/>
    <w:rsid w:val="001071BC"/>
    <w:rsid w:val="00107318"/>
    <w:rsid w:val="00107665"/>
    <w:rsid w:val="00107835"/>
    <w:rsid w:val="00107FA9"/>
    <w:rsid w:val="001102AA"/>
    <w:rsid w:val="00110516"/>
    <w:rsid w:val="0011078F"/>
    <w:rsid w:val="00110804"/>
    <w:rsid w:val="00110A49"/>
    <w:rsid w:val="00111E63"/>
    <w:rsid w:val="00112088"/>
    <w:rsid w:val="00112A67"/>
    <w:rsid w:val="00112E7F"/>
    <w:rsid w:val="001138F9"/>
    <w:rsid w:val="00113955"/>
    <w:rsid w:val="0011487A"/>
    <w:rsid w:val="00114E78"/>
    <w:rsid w:val="001151C1"/>
    <w:rsid w:val="00115D57"/>
    <w:rsid w:val="001167F4"/>
    <w:rsid w:val="00116A64"/>
    <w:rsid w:val="00116B79"/>
    <w:rsid w:val="001176D8"/>
    <w:rsid w:val="0011786B"/>
    <w:rsid w:val="00117C80"/>
    <w:rsid w:val="00120DCA"/>
    <w:rsid w:val="001210D0"/>
    <w:rsid w:val="00121EFE"/>
    <w:rsid w:val="00121FD9"/>
    <w:rsid w:val="00122CA0"/>
    <w:rsid w:val="00122F92"/>
    <w:rsid w:val="0012351F"/>
    <w:rsid w:val="00123A48"/>
    <w:rsid w:val="00123F84"/>
    <w:rsid w:val="0012409D"/>
    <w:rsid w:val="00124415"/>
    <w:rsid w:val="001245F3"/>
    <w:rsid w:val="00125683"/>
    <w:rsid w:val="00125703"/>
    <w:rsid w:val="0012586A"/>
    <w:rsid w:val="00125AD6"/>
    <w:rsid w:val="00125C34"/>
    <w:rsid w:val="001260BC"/>
    <w:rsid w:val="00126790"/>
    <w:rsid w:val="00126B4B"/>
    <w:rsid w:val="00126EF0"/>
    <w:rsid w:val="001275F3"/>
    <w:rsid w:val="00127A43"/>
    <w:rsid w:val="00127C75"/>
    <w:rsid w:val="00127DE7"/>
    <w:rsid w:val="001308E6"/>
    <w:rsid w:val="00130A89"/>
    <w:rsid w:val="00130DC4"/>
    <w:rsid w:val="00130E8B"/>
    <w:rsid w:val="00130FDD"/>
    <w:rsid w:val="001319C1"/>
    <w:rsid w:val="00131B1A"/>
    <w:rsid w:val="00132FB7"/>
    <w:rsid w:val="00133058"/>
    <w:rsid w:val="00133820"/>
    <w:rsid w:val="00133B57"/>
    <w:rsid w:val="00133DC4"/>
    <w:rsid w:val="00134C39"/>
    <w:rsid w:val="00134DE2"/>
    <w:rsid w:val="001350F1"/>
    <w:rsid w:val="0013512D"/>
    <w:rsid w:val="001352A9"/>
    <w:rsid w:val="00135406"/>
    <w:rsid w:val="00135777"/>
    <w:rsid w:val="00135C38"/>
    <w:rsid w:val="00136181"/>
    <w:rsid w:val="00137430"/>
    <w:rsid w:val="00137B9F"/>
    <w:rsid w:val="00137D6A"/>
    <w:rsid w:val="00137DEE"/>
    <w:rsid w:val="00137E3A"/>
    <w:rsid w:val="001400C7"/>
    <w:rsid w:val="0014032E"/>
    <w:rsid w:val="00140808"/>
    <w:rsid w:val="00140A40"/>
    <w:rsid w:val="00140AE9"/>
    <w:rsid w:val="00140B35"/>
    <w:rsid w:val="00140B9E"/>
    <w:rsid w:val="00140C55"/>
    <w:rsid w:val="001413A2"/>
    <w:rsid w:val="001416AA"/>
    <w:rsid w:val="00141CFD"/>
    <w:rsid w:val="00142368"/>
    <w:rsid w:val="00142650"/>
    <w:rsid w:val="00142C34"/>
    <w:rsid w:val="00142FC4"/>
    <w:rsid w:val="00143156"/>
    <w:rsid w:val="001432BE"/>
    <w:rsid w:val="001432FA"/>
    <w:rsid w:val="001433B1"/>
    <w:rsid w:val="00143B1D"/>
    <w:rsid w:val="00144478"/>
    <w:rsid w:val="00145139"/>
    <w:rsid w:val="00145A2D"/>
    <w:rsid w:val="00145B68"/>
    <w:rsid w:val="00145BDF"/>
    <w:rsid w:val="00145FB2"/>
    <w:rsid w:val="001466D8"/>
    <w:rsid w:val="001468B2"/>
    <w:rsid w:val="0014692E"/>
    <w:rsid w:val="00146ABC"/>
    <w:rsid w:val="0014759D"/>
    <w:rsid w:val="00147BC3"/>
    <w:rsid w:val="0015021A"/>
    <w:rsid w:val="00150B73"/>
    <w:rsid w:val="00150B7B"/>
    <w:rsid w:val="00151516"/>
    <w:rsid w:val="00151AEB"/>
    <w:rsid w:val="00151EB6"/>
    <w:rsid w:val="00152190"/>
    <w:rsid w:val="00152202"/>
    <w:rsid w:val="001524A4"/>
    <w:rsid w:val="001526B2"/>
    <w:rsid w:val="001526ED"/>
    <w:rsid w:val="00152D88"/>
    <w:rsid w:val="00152DED"/>
    <w:rsid w:val="001530AA"/>
    <w:rsid w:val="001537FA"/>
    <w:rsid w:val="001538A9"/>
    <w:rsid w:val="001542D5"/>
    <w:rsid w:val="00154618"/>
    <w:rsid w:val="00154B47"/>
    <w:rsid w:val="00155640"/>
    <w:rsid w:val="0015616F"/>
    <w:rsid w:val="001562E8"/>
    <w:rsid w:val="001565E5"/>
    <w:rsid w:val="00157C13"/>
    <w:rsid w:val="0016070A"/>
    <w:rsid w:val="00160943"/>
    <w:rsid w:val="00160AEF"/>
    <w:rsid w:val="00160AFD"/>
    <w:rsid w:val="00160BAF"/>
    <w:rsid w:val="00161384"/>
    <w:rsid w:val="0016151A"/>
    <w:rsid w:val="00161605"/>
    <w:rsid w:val="00161BD4"/>
    <w:rsid w:val="00162B45"/>
    <w:rsid w:val="00162DA0"/>
    <w:rsid w:val="00162E2C"/>
    <w:rsid w:val="00163F16"/>
    <w:rsid w:val="00163F25"/>
    <w:rsid w:val="00163F40"/>
    <w:rsid w:val="00164431"/>
    <w:rsid w:val="00164B45"/>
    <w:rsid w:val="00165448"/>
    <w:rsid w:val="00165483"/>
    <w:rsid w:val="0016636C"/>
    <w:rsid w:val="00166D96"/>
    <w:rsid w:val="001673A4"/>
    <w:rsid w:val="00167C9B"/>
    <w:rsid w:val="00167D75"/>
    <w:rsid w:val="00167DB9"/>
    <w:rsid w:val="001707A9"/>
    <w:rsid w:val="00170E42"/>
    <w:rsid w:val="001717D9"/>
    <w:rsid w:val="00171A47"/>
    <w:rsid w:val="00171C91"/>
    <w:rsid w:val="00172060"/>
    <w:rsid w:val="00172300"/>
    <w:rsid w:val="001724E3"/>
    <w:rsid w:val="001728BA"/>
    <w:rsid w:val="00172A98"/>
    <w:rsid w:val="00173009"/>
    <w:rsid w:val="001746D7"/>
    <w:rsid w:val="00174D1D"/>
    <w:rsid w:val="00174DF1"/>
    <w:rsid w:val="00174F31"/>
    <w:rsid w:val="001750B3"/>
    <w:rsid w:val="00175863"/>
    <w:rsid w:val="00175CB5"/>
    <w:rsid w:val="001764D3"/>
    <w:rsid w:val="00177616"/>
    <w:rsid w:val="00177AB4"/>
    <w:rsid w:val="00177CAC"/>
    <w:rsid w:val="00177ECC"/>
    <w:rsid w:val="0018073F"/>
    <w:rsid w:val="00180991"/>
    <w:rsid w:val="0018113C"/>
    <w:rsid w:val="00181177"/>
    <w:rsid w:val="00181D19"/>
    <w:rsid w:val="00181E46"/>
    <w:rsid w:val="001823E3"/>
    <w:rsid w:val="0018268D"/>
    <w:rsid w:val="0018283C"/>
    <w:rsid w:val="00182957"/>
    <w:rsid w:val="00182BC1"/>
    <w:rsid w:val="0018492B"/>
    <w:rsid w:val="00184F0E"/>
    <w:rsid w:val="0018523E"/>
    <w:rsid w:val="001853FC"/>
    <w:rsid w:val="001857D7"/>
    <w:rsid w:val="00185F95"/>
    <w:rsid w:val="001865F6"/>
    <w:rsid w:val="00186B23"/>
    <w:rsid w:val="00186B46"/>
    <w:rsid w:val="00186F10"/>
    <w:rsid w:val="001872FC"/>
    <w:rsid w:val="001877EB"/>
    <w:rsid w:val="00187F61"/>
    <w:rsid w:val="0019042C"/>
    <w:rsid w:val="00190865"/>
    <w:rsid w:val="00190BCF"/>
    <w:rsid w:val="00190F96"/>
    <w:rsid w:val="0019110F"/>
    <w:rsid w:val="00191148"/>
    <w:rsid w:val="0019145F"/>
    <w:rsid w:val="00191738"/>
    <w:rsid w:val="0019196A"/>
    <w:rsid w:val="00191BE7"/>
    <w:rsid w:val="00191E4D"/>
    <w:rsid w:val="00192266"/>
    <w:rsid w:val="001923CE"/>
    <w:rsid w:val="00192401"/>
    <w:rsid w:val="0019240F"/>
    <w:rsid w:val="0019264B"/>
    <w:rsid w:val="001926CB"/>
    <w:rsid w:val="00192828"/>
    <w:rsid w:val="001929FF"/>
    <w:rsid w:val="00192DC1"/>
    <w:rsid w:val="00193847"/>
    <w:rsid w:val="00193D6B"/>
    <w:rsid w:val="001951EE"/>
    <w:rsid w:val="00195613"/>
    <w:rsid w:val="001956DC"/>
    <w:rsid w:val="00195821"/>
    <w:rsid w:val="00195ECC"/>
    <w:rsid w:val="001965A0"/>
    <w:rsid w:val="00196A9C"/>
    <w:rsid w:val="001973D1"/>
    <w:rsid w:val="00197A9A"/>
    <w:rsid w:val="00197E93"/>
    <w:rsid w:val="001A02E6"/>
    <w:rsid w:val="001A0596"/>
    <w:rsid w:val="001A0652"/>
    <w:rsid w:val="001A0E9F"/>
    <w:rsid w:val="001A14F0"/>
    <w:rsid w:val="001A1799"/>
    <w:rsid w:val="001A1CF8"/>
    <w:rsid w:val="001A223F"/>
    <w:rsid w:val="001A23B0"/>
    <w:rsid w:val="001A2867"/>
    <w:rsid w:val="001A296A"/>
    <w:rsid w:val="001A2AC9"/>
    <w:rsid w:val="001A2B44"/>
    <w:rsid w:val="001A2BC4"/>
    <w:rsid w:val="001A2BEF"/>
    <w:rsid w:val="001A2D27"/>
    <w:rsid w:val="001A2EB8"/>
    <w:rsid w:val="001A2EBF"/>
    <w:rsid w:val="001A331E"/>
    <w:rsid w:val="001A340D"/>
    <w:rsid w:val="001A373C"/>
    <w:rsid w:val="001A3BA0"/>
    <w:rsid w:val="001A3D0E"/>
    <w:rsid w:val="001A3D27"/>
    <w:rsid w:val="001A3FC1"/>
    <w:rsid w:val="001A40E3"/>
    <w:rsid w:val="001A44C4"/>
    <w:rsid w:val="001A45B5"/>
    <w:rsid w:val="001A4881"/>
    <w:rsid w:val="001A48CA"/>
    <w:rsid w:val="001A492E"/>
    <w:rsid w:val="001A4C5A"/>
    <w:rsid w:val="001A557E"/>
    <w:rsid w:val="001A5A7F"/>
    <w:rsid w:val="001A5A86"/>
    <w:rsid w:val="001A5E20"/>
    <w:rsid w:val="001A5F46"/>
    <w:rsid w:val="001A5F94"/>
    <w:rsid w:val="001A626D"/>
    <w:rsid w:val="001A66A4"/>
    <w:rsid w:val="001A69E6"/>
    <w:rsid w:val="001A6AC5"/>
    <w:rsid w:val="001A6FD9"/>
    <w:rsid w:val="001A77CB"/>
    <w:rsid w:val="001A7900"/>
    <w:rsid w:val="001A7908"/>
    <w:rsid w:val="001A7C58"/>
    <w:rsid w:val="001A7CFA"/>
    <w:rsid w:val="001A7D07"/>
    <w:rsid w:val="001A7D76"/>
    <w:rsid w:val="001B054E"/>
    <w:rsid w:val="001B0DC2"/>
    <w:rsid w:val="001B0E80"/>
    <w:rsid w:val="001B1297"/>
    <w:rsid w:val="001B14BA"/>
    <w:rsid w:val="001B1512"/>
    <w:rsid w:val="001B17DF"/>
    <w:rsid w:val="001B194F"/>
    <w:rsid w:val="001B1EB0"/>
    <w:rsid w:val="001B2117"/>
    <w:rsid w:val="001B29FD"/>
    <w:rsid w:val="001B2BAD"/>
    <w:rsid w:val="001B320B"/>
    <w:rsid w:val="001B34DB"/>
    <w:rsid w:val="001B3520"/>
    <w:rsid w:val="001B384F"/>
    <w:rsid w:val="001B3BD7"/>
    <w:rsid w:val="001B3DDF"/>
    <w:rsid w:val="001B41A2"/>
    <w:rsid w:val="001B42A0"/>
    <w:rsid w:val="001B49D0"/>
    <w:rsid w:val="001B4B78"/>
    <w:rsid w:val="001B5165"/>
    <w:rsid w:val="001B53AC"/>
    <w:rsid w:val="001B55AA"/>
    <w:rsid w:val="001B5822"/>
    <w:rsid w:val="001B5D8A"/>
    <w:rsid w:val="001B6856"/>
    <w:rsid w:val="001B7419"/>
    <w:rsid w:val="001B7650"/>
    <w:rsid w:val="001B7A14"/>
    <w:rsid w:val="001B7D85"/>
    <w:rsid w:val="001C0AF5"/>
    <w:rsid w:val="001C12A0"/>
    <w:rsid w:val="001C135D"/>
    <w:rsid w:val="001C22AE"/>
    <w:rsid w:val="001C2547"/>
    <w:rsid w:val="001C270B"/>
    <w:rsid w:val="001C27E8"/>
    <w:rsid w:val="001C2B33"/>
    <w:rsid w:val="001C3846"/>
    <w:rsid w:val="001C406C"/>
    <w:rsid w:val="001C4B68"/>
    <w:rsid w:val="001C4F55"/>
    <w:rsid w:val="001C54CF"/>
    <w:rsid w:val="001C6344"/>
    <w:rsid w:val="001C697C"/>
    <w:rsid w:val="001C7333"/>
    <w:rsid w:val="001D00BC"/>
    <w:rsid w:val="001D0F42"/>
    <w:rsid w:val="001D17E6"/>
    <w:rsid w:val="001D1903"/>
    <w:rsid w:val="001D1C4B"/>
    <w:rsid w:val="001D1DD1"/>
    <w:rsid w:val="001D1E6F"/>
    <w:rsid w:val="001D2480"/>
    <w:rsid w:val="001D2652"/>
    <w:rsid w:val="001D2E2F"/>
    <w:rsid w:val="001D380D"/>
    <w:rsid w:val="001D3FA3"/>
    <w:rsid w:val="001D3FEF"/>
    <w:rsid w:val="001D4F24"/>
    <w:rsid w:val="001D63FA"/>
    <w:rsid w:val="001D73F8"/>
    <w:rsid w:val="001D74B3"/>
    <w:rsid w:val="001D7793"/>
    <w:rsid w:val="001D784C"/>
    <w:rsid w:val="001D7EA7"/>
    <w:rsid w:val="001E04F5"/>
    <w:rsid w:val="001E0563"/>
    <w:rsid w:val="001E0DA9"/>
    <w:rsid w:val="001E0E1D"/>
    <w:rsid w:val="001E12E0"/>
    <w:rsid w:val="001E1318"/>
    <w:rsid w:val="001E1737"/>
    <w:rsid w:val="001E2235"/>
    <w:rsid w:val="001E26E7"/>
    <w:rsid w:val="001E2BF3"/>
    <w:rsid w:val="001E2CE1"/>
    <w:rsid w:val="001E2D21"/>
    <w:rsid w:val="001E2E03"/>
    <w:rsid w:val="001E33A2"/>
    <w:rsid w:val="001E36AA"/>
    <w:rsid w:val="001E3CC7"/>
    <w:rsid w:val="001E3CE0"/>
    <w:rsid w:val="001E4018"/>
    <w:rsid w:val="001E4289"/>
    <w:rsid w:val="001E42D7"/>
    <w:rsid w:val="001E518C"/>
    <w:rsid w:val="001E53DE"/>
    <w:rsid w:val="001E61B1"/>
    <w:rsid w:val="001E61EE"/>
    <w:rsid w:val="001E654D"/>
    <w:rsid w:val="001E664E"/>
    <w:rsid w:val="001E6BF4"/>
    <w:rsid w:val="001E6CF2"/>
    <w:rsid w:val="001E6DF0"/>
    <w:rsid w:val="001E6EA0"/>
    <w:rsid w:val="001E6F36"/>
    <w:rsid w:val="001E70C8"/>
    <w:rsid w:val="001E7337"/>
    <w:rsid w:val="001E7A46"/>
    <w:rsid w:val="001E7A58"/>
    <w:rsid w:val="001E7DA6"/>
    <w:rsid w:val="001F002C"/>
    <w:rsid w:val="001F0876"/>
    <w:rsid w:val="001F08F0"/>
    <w:rsid w:val="001F08F8"/>
    <w:rsid w:val="001F0FE4"/>
    <w:rsid w:val="001F13B2"/>
    <w:rsid w:val="001F14D0"/>
    <w:rsid w:val="001F1623"/>
    <w:rsid w:val="001F1E68"/>
    <w:rsid w:val="001F20BF"/>
    <w:rsid w:val="001F22CE"/>
    <w:rsid w:val="001F2C72"/>
    <w:rsid w:val="001F3439"/>
    <w:rsid w:val="001F4062"/>
    <w:rsid w:val="001F4908"/>
    <w:rsid w:val="001F4BA9"/>
    <w:rsid w:val="001F5444"/>
    <w:rsid w:val="001F58A3"/>
    <w:rsid w:val="001F5CC9"/>
    <w:rsid w:val="001F5F24"/>
    <w:rsid w:val="001F5F5C"/>
    <w:rsid w:val="001F6DD2"/>
    <w:rsid w:val="001F6DF7"/>
    <w:rsid w:val="001F72C1"/>
    <w:rsid w:val="001F75BD"/>
    <w:rsid w:val="001F76FB"/>
    <w:rsid w:val="001F79F8"/>
    <w:rsid w:val="001F7FAB"/>
    <w:rsid w:val="002008BA"/>
    <w:rsid w:val="00200B32"/>
    <w:rsid w:val="00200EA8"/>
    <w:rsid w:val="00201F5F"/>
    <w:rsid w:val="00202099"/>
    <w:rsid w:val="00202463"/>
    <w:rsid w:val="0020254E"/>
    <w:rsid w:val="0020265E"/>
    <w:rsid w:val="00202D76"/>
    <w:rsid w:val="00203E4F"/>
    <w:rsid w:val="00204DE8"/>
    <w:rsid w:val="00205E47"/>
    <w:rsid w:val="002062C5"/>
    <w:rsid w:val="002065D3"/>
    <w:rsid w:val="00206824"/>
    <w:rsid w:val="00206E32"/>
    <w:rsid w:val="00206FD7"/>
    <w:rsid w:val="002074C7"/>
    <w:rsid w:val="002110C3"/>
    <w:rsid w:val="0021195B"/>
    <w:rsid w:val="00211FBC"/>
    <w:rsid w:val="002120F7"/>
    <w:rsid w:val="00212BE6"/>
    <w:rsid w:val="00212DD3"/>
    <w:rsid w:val="0021456B"/>
    <w:rsid w:val="0021459C"/>
    <w:rsid w:val="00214726"/>
    <w:rsid w:val="00214C08"/>
    <w:rsid w:val="00214D83"/>
    <w:rsid w:val="00214DE0"/>
    <w:rsid w:val="00215116"/>
    <w:rsid w:val="0021550D"/>
    <w:rsid w:val="002160E1"/>
    <w:rsid w:val="0021665E"/>
    <w:rsid w:val="0021688B"/>
    <w:rsid w:val="00216F03"/>
    <w:rsid w:val="002173AB"/>
    <w:rsid w:val="00217D8E"/>
    <w:rsid w:val="00220951"/>
    <w:rsid w:val="002210E6"/>
    <w:rsid w:val="00221A62"/>
    <w:rsid w:val="00221B29"/>
    <w:rsid w:val="00222288"/>
    <w:rsid w:val="002225B6"/>
    <w:rsid w:val="002229AE"/>
    <w:rsid w:val="00222C7A"/>
    <w:rsid w:val="00223165"/>
    <w:rsid w:val="0022326C"/>
    <w:rsid w:val="002232C7"/>
    <w:rsid w:val="002233C8"/>
    <w:rsid w:val="00223488"/>
    <w:rsid w:val="0022382E"/>
    <w:rsid w:val="00223A1D"/>
    <w:rsid w:val="00223A26"/>
    <w:rsid w:val="0022422B"/>
    <w:rsid w:val="00224485"/>
    <w:rsid w:val="00224696"/>
    <w:rsid w:val="00224CF7"/>
    <w:rsid w:val="0022547F"/>
    <w:rsid w:val="00225750"/>
    <w:rsid w:val="002263F5"/>
    <w:rsid w:val="002264D0"/>
    <w:rsid w:val="00226786"/>
    <w:rsid w:val="002268B5"/>
    <w:rsid w:val="002271E2"/>
    <w:rsid w:val="002273C4"/>
    <w:rsid w:val="0022740A"/>
    <w:rsid w:val="00227BAC"/>
    <w:rsid w:val="00227E16"/>
    <w:rsid w:val="00227E91"/>
    <w:rsid w:val="00230362"/>
    <w:rsid w:val="002303B2"/>
    <w:rsid w:val="002308D4"/>
    <w:rsid w:val="00230F10"/>
    <w:rsid w:val="002316D4"/>
    <w:rsid w:val="00231B1E"/>
    <w:rsid w:val="00231B8E"/>
    <w:rsid w:val="00232391"/>
    <w:rsid w:val="0023281C"/>
    <w:rsid w:val="002337DA"/>
    <w:rsid w:val="00234DD0"/>
    <w:rsid w:val="00235142"/>
    <w:rsid w:val="00235398"/>
    <w:rsid w:val="002353D3"/>
    <w:rsid w:val="00235845"/>
    <w:rsid w:val="00235DB6"/>
    <w:rsid w:val="00235E35"/>
    <w:rsid w:val="00236237"/>
    <w:rsid w:val="00236374"/>
    <w:rsid w:val="002365D9"/>
    <w:rsid w:val="00236C6E"/>
    <w:rsid w:val="00236E80"/>
    <w:rsid w:val="00237871"/>
    <w:rsid w:val="00240321"/>
    <w:rsid w:val="002408C4"/>
    <w:rsid w:val="00240E5F"/>
    <w:rsid w:val="00240EA3"/>
    <w:rsid w:val="00240F7D"/>
    <w:rsid w:val="0024149A"/>
    <w:rsid w:val="002414D9"/>
    <w:rsid w:val="00241A6B"/>
    <w:rsid w:val="00241C44"/>
    <w:rsid w:val="002423EE"/>
    <w:rsid w:val="00242850"/>
    <w:rsid w:val="00242E4D"/>
    <w:rsid w:val="00243080"/>
    <w:rsid w:val="0024367C"/>
    <w:rsid w:val="002437BF"/>
    <w:rsid w:val="0024382B"/>
    <w:rsid w:val="00243AF4"/>
    <w:rsid w:val="00243B45"/>
    <w:rsid w:val="00243E35"/>
    <w:rsid w:val="00244AFE"/>
    <w:rsid w:val="00244DE3"/>
    <w:rsid w:val="00245699"/>
    <w:rsid w:val="002457D1"/>
    <w:rsid w:val="00245843"/>
    <w:rsid w:val="00245A70"/>
    <w:rsid w:val="00246F85"/>
    <w:rsid w:val="00247B80"/>
    <w:rsid w:val="00247F3E"/>
    <w:rsid w:val="002500FA"/>
    <w:rsid w:val="00250E88"/>
    <w:rsid w:val="00250EA3"/>
    <w:rsid w:val="002515C0"/>
    <w:rsid w:val="002518C7"/>
    <w:rsid w:val="00252409"/>
    <w:rsid w:val="00252D41"/>
    <w:rsid w:val="00252EBB"/>
    <w:rsid w:val="0025320D"/>
    <w:rsid w:val="002538F9"/>
    <w:rsid w:val="0025421E"/>
    <w:rsid w:val="0025445B"/>
    <w:rsid w:val="0025451A"/>
    <w:rsid w:val="00255117"/>
    <w:rsid w:val="00255754"/>
    <w:rsid w:val="00255BB1"/>
    <w:rsid w:val="00255EB7"/>
    <w:rsid w:val="00255F55"/>
    <w:rsid w:val="002560CF"/>
    <w:rsid w:val="002566A4"/>
    <w:rsid w:val="0025736A"/>
    <w:rsid w:val="002576AC"/>
    <w:rsid w:val="0025795B"/>
    <w:rsid w:val="00262017"/>
    <w:rsid w:val="002626DF"/>
    <w:rsid w:val="0026292B"/>
    <w:rsid w:val="00262B33"/>
    <w:rsid w:val="00262C78"/>
    <w:rsid w:val="00263150"/>
    <w:rsid w:val="0026363B"/>
    <w:rsid w:val="00263C5C"/>
    <w:rsid w:val="00263CFC"/>
    <w:rsid w:val="00264159"/>
    <w:rsid w:val="0026449B"/>
    <w:rsid w:val="0026492E"/>
    <w:rsid w:val="00264BA1"/>
    <w:rsid w:val="00264C6D"/>
    <w:rsid w:val="00264FD3"/>
    <w:rsid w:val="002652D7"/>
    <w:rsid w:val="002657F1"/>
    <w:rsid w:val="00265969"/>
    <w:rsid w:val="00266228"/>
    <w:rsid w:val="002669A2"/>
    <w:rsid w:val="00267636"/>
    <w:rsid w:val="00267738"/>
    <w:rsid w:val="002677E7"/>
    <w:rsid w:val="0027008E"/>
    <w:rsid w:val="002700C5"/>
    <w:rsid w:val="00270192"/>
    <w:rsid w:val="00270FC0"/>
    <w:rsid w:val="0027102A"/>
    <w:rsid w:val="00271AF7"/>
    <w:rsid w:val="00271E03"/>
    <w:rsid w:val="002720DC"/>
    <w:rsid w:val="00273865"/>
    <w:rsid w:val="002739AA"/>
    <w:rsid w:val="00273B7E"/>
    <w:rsid w:val="00273C4B"/>
    <w:rsid w:val="00273DC6"/>
    <w:rsid w:val="00274117"/>
    <w:rsid w:val="00274249"/>
    <w:rsid w:val="00275125"/>
    <w:rsid w:val="002755A9"/>
    <w:rsid w:val="00275EDA"/>
    <w:rsid w:val="00276452"/>
    <w:rsid w:val="0027678A"/>
    <w:rsid w:val="002768E3"/>
    <w:rsid w:val="00276A4E"/>
    <w:rsid w:val="00276A7C"/>
    <w:rsid w:val="00276BEC"/>
    <w:rsid w:val="0027719C"/>
    <w:rsid w:val="00277242"/>
    <w:rsid w:val="00277722"/>
    <w:rsid w:val="00277E23"/>
    <w:rsid w:val="002800F9"/>
    <w:rsid w:val="002802C0"/>
    <w:rsid w:val="00280424"/>
    <w:rsid w:val="00280954"/>
    <w:rsid w:val="002809F3"/>
    <w:rsid w:val="0028106A"/>
    <w:rsid w:val="0028115C"/>
    <w:rsid w:val="00281352"/>
    <w:rsid w:val="0028189F"/>
    <w:rsid w:val="00281951"/>
    <w:rsid w:val="00282211"/>
    <w:rsid w:val="00282402"/>
    <w:rsid w:val="00282A69"/>
    <w:rsid w:val="00283605"/>
    <w:rsid w:val="00283D50"/>
    <w:rsid w:val="00284708"/>
    <w:rsid w:val="00285397"/>
    <w:rsid w:val="00285916"/>
    <w:rsid w:val="00285AEB"/>
    <w:rsid w:val="002871AA"/>
    <w:rsid w:val="002904FC"/>
    <w:rsid w:val="002908A8"/>
    <w:rsid w:val="00290A05"/>
    <w:rsid w:val="00290CDB"/>
    <w:rsid w:val="00290D10"/>
    <w:rsid w:val="00290D35"/>
    <w:rsid w:val="0029112B"/>
    <w:rsid w:val="00291145"/>
    <w:rsid w:val="00291213"/>
    <w:rsid w:val="002915D3"/>
    <w:rsid w:val="00291A74"/>
    <w:rsid w:val="002922D1"/>
    <w:rsid w:val="00292FFB"/>
    <w:rsid w:val="00293016"/>
    <w:rsid w:val="00293F7C"/>
    <w:rsid w:val="00294208"/>
    <w:rsid w:val="00294D3E"/>
    <w:rsid w:val="00295403"/>
    <w:rsid w:val="002956E7"/>
    <w:rsid w:val="00295A64"/>
    <w:rsid w:val="002971D4"/>
    <w:rsid w:val="00297F53"/>
    <w:rsid w:val="002A031B"/>
    <w:rsid w:val="002A0488"/>
    <w:rsid w:val="002A0507"/>
    <w:rsid w:val="002A0779"/>
    <w:rsid w:val="002A0DE8"/>
    <w:rsid w:val="002A0F37"/>
    <w:rsid w:val="002A155D"/>
    <w:rsid w:val="002A17FA"/>
    <w:rsid w:val="002A1A65"/>
    <w:rsid w:val="002A20FB"/>
    <w:rsid w:val="002A230D"/>
    <w:rsid w:val="002A32BC"/>
    <w:rsid w:val="002A33EB"/>
    <w:rsid w:val="002A35F4"/>
    <w:rsid w:val="002A3B98"/>
    <w:rsid w:val="002A3CED"/>
    <w:rsid w:val="002A3D89"/>
    <w:rsid w:val="002A403C"/>
    <w:rsid w:val="002A4173"/>
    <w:rsid w:val="002A4326"/>
    <w:rsid w:val="002A44F5"/>
    <w:rsid w:val="002A4899"/>
    <w:rsid w:val="002A4F80"/>
    <w:rsid w:val="002A5925"/>
    <w:rsid w:val="002A5BD7"/>
    <w:rsid w:val="002A5D26"/>
    <w:rsid w:val="002A5D65"/>
    <w:rsid w:val="002A5D6D"/>
    <w:rsid w:val="002A6248"/>
    <w:rsid w:val="002A669A"/>
    <w:rsid w:val="002A6AE3"/>
    <w:rsid w:val="002A6B0D"/>
    <w:rsid w:val="002A72F8"/>
    <w:rsid w:val="002A75A5"/>
    <w:rsid w:val="002A7979"/>
    <w:rsid w:val="002A7AD6"/>
    <w:rsid w:val="002A7F98"/>
    <w:rsid w:val="002B0027"/>
    <w:rsid w:val="002B0B61"/>
    <w:rsid w:val="002B0F6B"/>
    <w:rsid w:val="002B0FCF"/>
    <w:rsid w:val="002B10DA"/>
    <w:rsid w:val="002B13A0"/>
    <w:rsid w:val="002B258A"/>
    <w:rsid w:val="002B3790"/>
    <w:rsid w:val="002B37B3"/>
    <w:rsid w:val="002B4D53"/>
    <w:rsid w:val="002B5825"/>
    <w:rsid w:val="002B5944"/>
    <w:rsid w:val="002B619F"/>
    <w:rsid w:val="002B6FBB"/>
    <w:rsid w:val="002B73C6"/>
    <w:rsid w:val="002C0018"/>
    <w:rsid w:val="002C0118"/>
    <w:rsid w:val="002C06B2"/>
    <w:rsid w:val="002C0DA8"/>
    <w:rsid w:val="002C10F8"/>
    <w:rsid w:val="002C1209"/>
    <w:rsid w:val="002C1342"/>
    <w:rsid w:val="002C1938"/>
    <w:rsid w:val="002C1943"/>
    <w:rsid w:val="002C1AE0"/>
    <w:rsid w:val="002C2014"/>
    <w:rsid w:val="002C2048"/>
    <w:rsid w:val="002C23B0"/>
    <w:rsid w:val="002C2457"/>
    <w:rsid w:val="002C2B96"/>
    <w:rsid w:val="002C32B4"/>
    <w:rsid w:val="002C3B17"/>
    <w:rsid w:val="002C4338"/>
    <w:rsid w:val="002C468F"/>
    <w:rsid w:val="002C5182"/>
    <w:rsid w:val="002C57DE"/>
    <w:rsid w:val="002C5FC3"/>
    <w:rsid w:val="002C610B"/>
    <w:rsid w:val="002C6F2A"/>
    <w:rsid w:val="002C7142"/>
    <w:rsid w:val="002C7899"/>
    <w:rsid w:val="002C7A58"/>
    <w:rsid w:val="002C7BDC"/>
    <w:rsid w:val="002D0215"/>
    <w:rsid w:val="002D02E9"/>
    <w:rsid w:val="002D04C1"/>
    <w:rsid w:val="002D0696"/>
    <w:rsid w:val="002D06DF"/>
    <w:rsid w:val="002D0B15"/>
    <w:rsid w:val="002D10D7"/>
    <w:rsid w:val="002D1359"/>
    <w:rsid w:val="002D19D2"/>
    <w:rsid w:val="002D19FB"/>
    <w:rsid w:val="002D2A6B"/>
    <w:rsid w:val="002D2AA7"/>
    <w:rsid w:val="002D2DA0"/>
    <w:rsid w:val="002D3235"/>
    <w:rsid w:val="002D57E4"/>
    <w:rsid w:val="002D5B2E"/>
    <w:rsid w:val="002D6A8A"/>
    <w:rsid w:val="002D75E0"/>
    <w:rsid w:val="002D77D3"/>
    <w:rsid w:val="002D7A5E"/>
    <w:rsid w:val="002D7EEA"/>
    <w:rsid w:val="002E000E"/>
    <w:rsid w:val="002E058A"/>
    <w:rsid w:val="002E1223"/>
    <w:rsid w:val="002E1571"/>
    <w:rsid w:val="002E172A"/>
    <w:rsid w:val="002E2438"/>
    <w:rsid w:val="002E287B"/>
    <w:rsid w:val="002E32BB"/>
    <w:rsid w:val="002E3AF5"/>
    <w:rsid w:val="002E4147"/>
    <w:rsid w:val="002E469F"/>
    <w:rsid w:val="002E476B"/>
    <w:rsid w:val="002E4803"/>
    <w:rsid w:val="002E518B"/>
    <w:rsid w:val="002E520D"/>
    <w:rsid w:val="002E5BFD"/>
    <w:rsid w:val="002E5CA8"/>
    <w:rsid w:val="002E5E5A"/>
    <w:rsid w:val="002E63E7"/>
    <w:rsid w:val="002E6C70"/>
    <w:rsid w:val="002E70AA"/>
    <w:rsid w:val="002E73BC"/>
    <w:rsid w:val="002E7864"/>
    <w:rsid w:val="002E7FB7"/>
    <w:rsid w:val="002F0032"/>
    <w:rsid w:val="002F02F0"/>
    <w:rsid w:val="002F10E9"/>
    <w:rsid w:val="002F162B"/>
    <w:rsid w:val="002F19F4"/>
    <w:rsid w:val="002F1AC0"/>
    <w:rsid w:val="002F23A2"/>
    <w:rsid w:val="002F2694"/>
    <w:rsid w:val="002F27E4"/>
    <w:rsid w:val="002F2A32"/>
    <w:rsid w:val="002F2AD6"/>
    <w:rsid w:val="002F2FFB"/>
    <w:rsid w:val="002F3350"/>
    <w:rsid w:val="002F33A7"/>
    <w:rsid w:val="002F3765"/>
    <w:rsid w:val="002F3948"/>
    <w:rsid w:val="002F3AFE"/>
    <w:rsid w:val="002F3B01"/>
    <w:rsid w:val="002F3E5C"/>
    <w:rsid w:val="002F3F95"/>
    <w:rsid w:val="002F4549"/>
    <w:rsid w:val="002F4643"/>
    <w:rsid w:val="002F4DF5"/>
    <w:rsid w:val="002F4F2E"/>
    <w:rsid w:val="002F5980"/>
    <w:rsid w:val="002F6FA2"/>
    <w:rsid w:val="002F7695"/>
    <w:rsid w:val="002F7809"/>
    <w:rsid w:val="002F7902"/>
    <w:rsid w:val="00300038"/>
    <w:rsid w:val="00300042"/>
    <w:rsid w:val="0030163E"/>
    <w:rsid w:val="003016C0"/>
    <w:rsid w:val="003024E4"/>
    <w:rsid w:val="00302C04"/>
    <w:rsid w:val="00302CFE"/>
    <w:rsid w:val="00302FAD"/>
    <w:rsid w:val="00303233"/>
    <w:rsid w:val="0030339F"/>
    <w:rsid w:val="003041B8"/>
    <w:rsid w:val="0030447D"/>
    <w:rsid w:val="00305A8D"/>
    <w:rsid w:val="00305BA9"/>
    <w:rsid w:val="00305DB6"/>
    <w:rsid w:val="003063E3"/>
    <w:rsid w:val="00306577"/>
    <w:rsid w:val="00306A8F"/>
    <w:rsid w:val="00306C02"/>
    <w:rsid w:val="00306C71"/>
    <w:rsid w:val="00307C6E"/>
    <w:rsid w:val="00307F70"/>
    <w:rsid w:val="003101CC"/>
    <w:rsid w:val="00310479"/>
    <w:rsid w:val="00310E4C"/>
    <w:rsid w:val="00310EE2"/>
    <w:rsid w:val="00310F21"/>
    <w:rsid w:val="003111A1"/>
    <w:rsid w:val="003111C9"/>
    <w:rsid w:val="00311B8E"/>
    <w:rsid w:val="003120E2"/>
    <w:rsid w:val="00312310"/>
    <w:rsid w:val="0031254F"/>
    <w:rsid w:val="00312CBF"/>
    <w:rsid w:val="003131BD"/>
    <w:rsid w:val="00313507"/>
    <w:rsid w:val="003142B9"/>
    <w:rsid w:val="00314497"/>
    <w:rsid w:val="00314542"/>
    <w:rsid w:val="00314CB7"/>
    <w:rsid w:val="00314CB9"/>
    <w:rsid w:val="00314E3C"/>
    <w:rsid w:val="00314ED9"/>
    <w:rsid w:val="003158F0"/>
    <w:rsid w:val="00315A7A"/>
    <w:rsid w:val="00315E38"/>
    <w:rsid w:val="00316807"/>
    <w:rsid w:val="00316DD6"/>
    <w:rsid w:val="003170BC"/>
    <w:rsid w:val="00317510"/>
    <w:rsid w:val="003179DF"/>
    <w:rsid w:val="00317E8B"/>
    <w:rsid w:val="00317FA6"/>
    <w:rsid w:val="00320474"/>
    <w:rsid w:val="003219DB"/>
    <w:rsid w:val="00321C7D"/>
    <w:rsid w:val="003228AA"/>
    <w:rsid w:val="003228F1"/>
    <w:rsid w:val="003230EA"/>
    <w:rsid w:val="00323187"/>
    <w:rsid w:val="00323421"/>
    <w:rsid w:val="00323A61"/>
    <w:rsid w:val="00323D64"/>
    <w:rsid w:val="003240F1"/>
    <w:rsid w:val="00324966"/>
    <w:rsid w:val="003249EA"/>
    <w:rsid w:val="00324FAF"/>
    <w:rsid w:val="003251EA"/>
    <w:rsid w:val="0032557C"/>
    <w:rsid w:val="00325675"/>
    <w:rsid w:val="0032568A"/>
    <w:rsid w:val="00325A5B"/>
    <w:rsid w:val="00326596"/>
    <w:rsid w:val="00326BC1"/>
    <w:rsid w:val="00326DBE"/>
    <w:rsid w:val="00326E6C"/>
    <w:rsid w:val="0032706F"/>
    <w:rsid w:val="003271BF"/>
    <w:rsid w:val="00327220"/>
    <w:rsid w:val="00327416"/>
    <w:rsid w:val="003303C1"/>
    <w:rsid w:val="00330637"/>
    <w:rsid w:val="003307E7"/>
    <w:rsid w:val="00330BDF"/>
    <w:rsid w:val="0033147C"/>
    <w:rsid w:val="003314B4"/>
    <w:rsid w:val="00331765"/>
    <w:rsid w:val="00331BBE"/>
    <w:rsid w:val="00331E7D"/>
    <w:rsid w:val="003325AF"/>
    <w:rsid w:val="003337DD"/>
    <w:rsid w:val="00333A31"/>
    <w:rsid w:val="00333F13"/>
    <w:rsid w:val="003344BD"/>
    <w:rsid w:val="00334AC9"/>
    <w:rsid w:val="00334D91"/>
    <w:rsid w:val="003356B0"/>
    <w:rsid w:val="0033598D"/>
    <w:rsid w:val="00335A0F"/>
    <w:rsid w:val="00335B43"/>
    <w:rsid w:val="00335CBB"/>
    <w:rsid w:val="003360F4"/>
    <w:rsid w:val="003370DA"/>
    <w:rsid w:val="0033721C"/>
    <w:rsid w:val="00337520"/>
    <w:rsid w:val="003376EE"/>
    <w:rsid w:val="00337712"/>
    <w:rsid w:val="00337718"/>
    <w:rsid w:val="003404DE"/>
    <w:rsid w:val="00340567"/>
    <w:rsid w:val="0034085F"/>
    <w:rsid w:val="00340F64"/>
    <w:rsid w:val="0034101A"/>
    <w:rsid w:val="00341872"/>
    <w:rsid w:val="00341B94"/>
    <w:rsid w:val="00341BC7"/>
    <w:rsid w:val="00342946"/>
    <w:rsid w:val="003431EC"/>
    <w:rsid w:val="0034329F"/>
    <w:rsid w:val="00343321"/>
    <w:rsid w:val="00343712"/>
    <w:rsid w:val="00343DCA"/>
    <w:rsid w:val="00344497"/>
    <w:rsid w:val="00344C9A"/>
    <w:rsid w:val="00345A77"/>
    <w:rsid w:val="00345BB3"/>
    <w:rsid w:val="00345D36"/>
    <w:rsid w:val="00346505"/>
    <w:rsid w:val="00346C2C"/>
    <w:rsid w:val="00346DCE"/>
    <w:rsid w:val="0034726E"/>
    <w:rsid w:val="003477D9"/>
    <w:rsid w:val="00347BB2"/>
    <w:rsid w:val="003503B0"/>
    <w:rsid w:val="003509D9"/>
    <w:rsid w:val="00350E66"/>
    <w:rsid w:val="0035111F"/>
    <w:rsid w:val="003516FC"/>
    <w:rsid w:val="00351719"/>
    <w:rsid w:val="0035177C"/>
    <w:rsid w:val="003520C6"/>
    <w:rsid w:val="00352BBB"/>
    <w:rsid w:val="003535EC"/>
    <w:rsid w:val="00353863"/>
    <w:rsid w:val="00353986"/>
    <w:rsid w:val="00354345"/>
    <w:rsid w:val="00354F6D"/>
    <w:rsid w:val="00355471"/>
    <w:rsid w:val="00355A2A"/>
    <w:rsid w:val="0035611A"/>
    <w:rsid w:val="00356497"/>
    <w:rsid w:val="0035655C"/>
    <w:rsid w:val="00356A10"/>
    <w:rsid w:val="0035708F"/>
    <w:rsid w:val="0035763B"/>
    <w:rsid w:val="003577D2"/>
    <w:rsid w:val="00357A3C"/>
    <w:rsid w:val="00357DCB"/>
    <w:rsid w:val="00360581"/>
    <w:rsid w:val="00360D74"/>
    <w:rsid w:val="00361E36"/>
    <w:rsid w:val="00362662"/>
    <w:rsid w:val="00362983"/>
    <w:rsid w:val="00362A3B"/>
    <w:rsid w:val="00362B79"/>
    <w:rsid w:val="00362C2C"/>
    <w:rsid w:val="00362DF9"/>
    <w:rsid w:val="003634B6"/>
    <w:rsid w:val="00363BF3"/>
    <w:rsid w:val="0036407F"/>
    <w:rsid w:val="00364214"/>
    <w:rsid w:val="00364393"/>
    <w:rsid w:val="00364413"/>
    <w:rsid w:val="003649A3"/>
    <w:rsid w:val="00364E53"/>
    <w:rsid w:val="00364F67"/>
    <w:rsid w:val="00364FF4"/>
    <w:rsid w:val="00365417"/>
    <w:rsid w:val="0036543B"/>
    <w:rsid w:val="00365DF2"/>
    <w:rsid w:val="00365E4E"/>
    <w:rsid w:val="00365F73"/>
    <w:rsid w:val="00365FA6"/>
    <w:rsid w:val="00366144"/>
    <w:rsid w:val="003662DC"/>
    <w:rsid w:val="003665F4"/>
    <w:rsid w:val="00367D94"/>
    <w:rsid w:val="00371151"/>
    <w:rsid w:val="003711CF"/>
    <w:rsid w:val="003715BE"/>
    <w:rsid w:val="00371D39"/>
    <w:rsid w:val="0037220B"/>
    <w:rsid w:val="0037277F"/>
    <w:rsid w:val="00372BBA"/>
    <w:rsid w:val="00372F23"/>
    <w:rsid w:val="00372F32"/>
    <w:rsid w:val="00373372"/>
    <w:rsid w:val="00373A07"/>
    <w:rsid w:val="00373B07"/>
    <w:rsid w:val="00373DCC"/>
    <w:rsid w:val="00373E1D"/>
    <w:rsid w:val="0037410F"/>
    <w:rsid w:val="00374255"/>
    <w:rsid w:val="00374825"/>
    <w:rsid w:val="00374D79"/>
    <w:rsid w:val="00374F52"/>
    <w:rsid w:val="00375518"/>
    <w:rsid w:val="00375520"/>
    <w:rsid w:val="003755A4"/>
    <w:rsid w:val="00375798"/>
    <w:rsid w:val="003758F8"/>
    <w:rsid w:val="00375B0F"/>
    <w:rsid w:val="0037612F"/>
    <w:rsid w:val="003764A5"/>
    <w:rsid w:val="0037730A"/>
    <w:rsid w:val="00377324"/>
    <w:rsid w:val="003806CF"/>
    <w:rsid w:val="00380806"/>
    <w:rsid w:val="00381784"/>
    <w:rsid w:val="00381D95"/>
    <w:rsid w:val="003821B6"/>
    <w:rsid w:val="00382214"/>
    <w:rsid w:val="003829EB"/>
    <w:rsid w:val="00382B63"/>
    <w:rsid w:val="00384856"/>
    <w:rsid w:val="00385198"/>
    <w:rsid w:val="003852DF"/>
    <w:rsid w:val="00385558"/>
    <w:rsid w:val="003857C8"/>
    <w:rsid w:val="003858A7"/>
    <w:rsid w:val="00385B93"/>
    <w:rsid w:val="00386231"/>
    <w:rsid w:val="0038654A"/>
    <w:rsid w:val="00386AFC"/>
    <w:rsid w:val="00387015"/>
    <w:rsid w:val="0038776D"/>
    <w:rsid w:val="00387BC6"/>
    <w:rsid w:val="00387D10"/>
    <w:rsid w:val="00390109"/>
    <w:rsid w:val="00390203"/>
    <w:rsid w:val="0039040A"/>
    <w:rsid w:val="0039045D"/>
    <w:rsid w:val="0039072A"/>
    <w:rsid w:val="003911CC"/>
    <w:rsid w:val="003913E5"/>
    <w:rsid w:val="003914D8"/>
    <w:rsid w:val="0039175A"/>
    <w:rsid w:val="00391A12"/>
    <w:rsid w:val="00391EBC"/>
    <w:rsid w:val="0039269B"/>
    <w:rsid w:val="003928FD"/>
    <w:rsid w:val="00393699"/>
    <w:rsid w:val="00393942"/>
    <w:rsid w:val="00393C0D"/>
    <w:rsid w:val="0039411C"/>
    <w:rsid w:val="003946B1"/>
    <w:rsid w:val="00395233"/>
    <w:rsid w:val="0039563E"/>
    <w:rsid w:val="003962BF"/>
    <w:rsid w:val="003966D8"/>
    <w:rsid w:val="00396A68"/>
    <w:rsid w:val="00396FF2"/>
    <w:rsid w:val="00397A3E"/>
    <w:rsid w:val="00397CA1"/>
    <w:rsid w:val="003A0568"/>
    <w:rsid w:val="003A171B"/>
    <w:rsid w:val="003A1C33"/>
    <w:rsid w:val="003A1E38"/>
    <w:rsid w:val="003A229D"/>
    <w:rsid w:val="003A23C2"/>
    <w:rsid w:val="003A24AE"/>
    <w:rsid w:val="003A3098"/>
    <w:rsid w:val="003A3617"/>
    <w:rsid w:val="003A3DC4"/>
    <w:rsid w:val="003A4338"/>
    <w:rsid w:val="003A44C3"/>
    <w:rsid w:val="003A44FC"/>
    <w:rsid w:val="003A4ACD"/>
    <w:rsid w:val="003A4BC9"/>
    <w:rsid w:val="003A504B"/>
    <w:rsid w:val="003A5ADE"/>
    <w:rsid w:val="003A5F47"/>
    <w:rsid w:val="003A60AF"/>
    <w:rsid w:val="003A6105"/>
    <w:rsid w:val="003A65C7"/>
    <w:rsid w:val="003A70F6"/>
    <w:rsid w:val="003A7360"/>
    <w:rsid w:val="003A7916"/>
    <w:rsid w:val="003A7979"/>
    <w:rsid w:val="003B0399"/>
    <w:rsid w:val="003B1195"/>
    <w:rsid w:val="003B1874"/>
    <w:rsid w:val="003B1EFA"/>
    <w:rsid w:val="003B22F8"/>
    <w:rsid w:val="003B272D"/>
    <w:rsid w:val="003B2944"/>
    <w:rsid w:val="003B3225"/>
    <w:rsid w:val="003B325D"/>
    <w:rsid w:val="003B3664"/>
    <w:rsid w:val="003B3AFF"/>
    <w:rsid w:val="003B4376"/>
    <w:rsid w:val="003B4850"/>
    <w:rsid w:val="003B5429"/>
    <w:rsid w:val="003B550E"/>
    <w:rsid w:val="003B5A13"/>
    <w:rsid w:val="003B6727"/>
    <w:rsid w:val="003B6754"/>
    <w:rsid w:val="003B67C4"/>
    <w:rsid w:val="003B694A"/>
    <w:rsid w:val="003B6A3C"/>
    <w:rsid w:val="003B70F2"/>
    <w:rsid w:val="003B737B"/>
    <w:rsid w:val="003B78A5"/>
    <w:rsid w:val="003B7CE6"/>
    <w:rsid w:val="003B7EC8"/>
    <w:rsid w:val="003B7EF0"/>
    <w:rsid w:val="003B7F32"/>
    <w:rsid w:val="003B7FD9"/>
    <w:rsid w:val="003C0A46"/>
    <w:rsid w:val="003C0A4C"/>
    <w:rsid w:val="003C0A7A"/>
    <w:rsid w:val="003C0DFF"/>
    <w:rsid w:val="003C1091"/>
    <w:rsid w:val="003C173E"/>
    <w:rsid w:val="003C1F08"/>
    <w:rsid w:val="003C20BA"/>
    <w:rsid w:val="003C29EE"/>
    <w:rsid w:val="003C4A6B"/>
    <w:rsid w:val="003C4D14"/>
    <w:rsid w:val="003C53F1"/>
    <w:rsid w:val="003C55B8"/>
    <w:rsid w:val="003C5ADD"/>
    <w:rsid w:val="003C5CF1"/>
    <w:rsid w:val="003C605F"/>
    <w:rsid w:val="003C60B2"/>
    <w:rsid w:val="003C6529"/>
    <w:rsid w:val="003C67C9"/>
    <w:rsid w:val="003C7C93"/>
    <w:rsid w:val="003C7DFB"/>
    <w:rsid w:val="003D0021"/>
    <w:rsid w:val="003D01B9"/>
    <w:rsid w:val="003D065E"/>
    <w:rsid w:val="003D0C4F"/>
    <w:rsid w:val="003D0FE7"/>
    <w:rsid w:val="003D1057"/>
    <w:rsid w:val="003D1137"/>
    <w:rsid w:val="003D11C4"/>
    <w:rsid w:val="003D26CA"/>
    <w:rsid w:val="003D277B"/>
    <w:rsid w:val="003D30AB"/>
    <w:rsid w:val="003D3218"/>
    <w:rsid w:val="003D3BEA"/>
    <w:rsid w:val="003D3F82"/>
    <w:rsid w:val="003D409D"/>
    <w:rsid w:val="003D41FF"/>
    <w:rsid w:val="003D4621"/>
    <w:rsid w:val="003D4726"/>
    <w:rsid w:val="003D479C"/>
    <w:rsid w:val="003D4BFA"/>
    <w:rsid w:val="003D56F8"/>
    <w:rsid w:val="003D5A7A"/>
    <w:rsid w:val="003D5AED"/>
    <w:rsid w:val="003D631B"/>
    <w:rsid w:val="003D67AE"/>
    <w:rsid w:val="003D67DA"/>
    <w:rsid w:val="003D6A77"/>
    <w:rsid w:val="003D708E"/>
    <w:rsid w:val="003D727F"/>
    <w:rsid w:val="003D73F8"/>
    <w:rsid w:val="003D7DF3"/>
    <w:rsid w:val="003E0746"/>
    <w:rsid w:val="003E075E"/>
    <w:rsid w:val="003E0C55"/>
    <w:rsid w:val="003E17EA"/>
    <w:rsid w:val="003E1DF8"/>
    <w:rsid w:val="003E2032"/>
    <w:rsid w:val="003E2735"/>
    <w:rsid w:val="003E2B98"/>
    <w:rsid w:val="003E344E"/>
    <w:rsid w:val="003E385D"/>
    <w:rsid w:val="003E38B4"/>
    <w:rsid w:val="003E3A6E"/>
    <w:rsid w:val="003E42B9"/>
    <w:rsid w:val="003E4352"/>
    <w:rsid w:val="003E437C"/>
    <w:rsid w:val="003E4452"/>
    <w:rsid w:val="003E4A6A"/>
    <w:rsid w:val="003E57D8"/>
    <w:rsid w:val="003E59AD"/>
    <w:rsid w:val="003E5D46"/>
    <w:rsid w:val="003E5E29"/>
    <w:rsid w:val="003E6104"/>
    <w:rsid w:val="003E66FC"/>
    <w:rsid w:val="003E6784"/>
    <w:rsid w:val="003E6CF2"/>
    <w:rsid w:val="003E713D"/>
    <w:rsid w:val="003E71C0"/>
    <w:rsid w:val="003E7345"/>
    <w:rsid w:val="003E744F"/>
    <w:rsid w:val="003E756F"/>
    <w:rsid w:val="003E783C"/>
    <w:rsid w:val="003E7DEC"/>
    <w:rsid w:val="003F0482"/>
    <w:rsid w:val="003F05B2"/>
    <w:rsid w:val="003F074A"/>
    <w:rsid w:val="003F0860"/>
    <w:rsid w:val="003F10EE"/>
    <w:rsid w:val="003F1221"/>
    <w:rsid w:val="003F12C7"/>
    <w:rsid w:val="003F12FF"/>
    <w:rsid w:val="003F1802"/>
    <w:rsid w:val="003F1DF2"/>
    <w:rsid w:val="003F2E00"/>
    <w:rsid w:val="003F36CA"/>
    <w:rsid w:val="003F4041"/>
    <w:rsid w:val="003F46A3"/>
    <w:rsid w:val="003F5510"/>
    <w:rsid w:val="003F5609"/>
    <w:rsid w:val="003F5752"/>
    <w:rsid w:val="003F6937"/>
    <w:rsid w:val="003F6B9E"/>
    <w:rsid w:val="003F6DB3"/>
    <w:rsid w:val="003F7636"/>
    <w:rsid w:val="003F7C00"/>
    <w:rsid w:val="003F7EBD"/>
    <w:rsid w:val="00400E04"/>
    <w:rsid w:val="004010C4"/>
    <w:rsid w:val="0040115F"/>
    <w:rsid w:val="0040180B"/>
    <w:rsid w:val="00401ED1"/>
    <w:rsid w:val="00402752"/>
    <w:rsid w:val="00402798"/>
    <w:rsid w:val="0040295F"/>
    <w:rsid w:val="00402B72"/>
    <w:rsid w:val="004034F2"/>
    <w:rsid w:val="00403B0A"/>
    <w:rsid w:val="00403E35"/>
    <w:rsid w:val="00404431"/>
    <w:rsid w:val="0040488C"/>
    <w:rsid w:val="00405086"/>
    <w:rsid w:val="004051D3"/>
    <w:rsid w:val="0040634E"/>
    <w:rsid w:val="00406643"/>
    <w:rsid w:val="00406A72"/>
    <w:rsid w:val="004070CF"/>
    <w:rsid w:val="0040769B"/>
    <w:rsid w:val="00410182"/>
    <w:rsid w:val="0041095C"/>
    <w:rsid w:val="00410A2F"/>
    <w:rsid w:val="00410C9E"/>
    <w:rsid w:val="00410FE1"/>
    <w:rsid w:val="00411580"/>
    <w:rsid w:val="004115F2"/>
    <w:rsid w:val="00411C05"/>
    <w:rsid w:val="00412757"/>
    <w:rsid w:val="00413447"/>
    <w:rsid w:val="004138C2"/>
    <w:rsid w:val="00413EE3"/>
    <w:rsid w:val="00413FF6"/>
    <w:rsid w:val="00414C00"/>
    <w:rsid w:val="00414DB1"/>
    <w:rsid w:val="004150D7"/>
    <w:rsid w:val="004154ED"/>
    <w:rsid w:val="00415ADE"/>
    <w:rsid w:val="004160C1"/>
    <w:rsid w:val="0041641B"/>
    <w:rsid w:val="0041694A"/>
    <w:rsid w:val="00416C25"/>
    <w:rsid w:val="00416FF9"/>
    <w:rsid w:val="004179B6"/>
    <w:rsid w:val="00417C0F"/>
    <w:rsid w:val="0042092F"/>
    <w:rsid w:val="00420C7B"/>
    <w:rsid w:val="00420E0F"/>
    <w:rsid w:val="00420E10"/>
    <w:rsid w:val="0042133C"/>
    <w:rsid w:val="00421764"/>
    <w:rsid w:val="00421B68"/>
    <w:rsid w:val="00422FDE"/>
    <w:rsid w:val="00423464"/>
    <w:rsid w:val="004234A8"/>
    <w:rsid w:val="00423AB8"/>
    <w:rsid w:val="00423AFD"/>
    <w:rsid w:val="00423B62"/>
    <w:rsid w:val="00423F00"/>
    <w:rsid w:val="004244E9"/>
    <w:rsid w:val="00424620"/>
    <w:rsid w:val="00424767"/>
    <w:rsid w:val="004247CF"/>
    <w:rsid w:val="00424A36"/>
    <w:rsid w:val="004259D7"/>
    <w:rsid w:val="00426A2D"/>
    <w:rsid w:val="00426EAE"/>
    <w:rsid w:val="00427101"/>
    <w:rsid w:val="00427DF0"/>
    <w:rsid w:val="00430045"/>
    <w:rsid w:val="004301E8"/>
    <w:rsid w:val="00430867"/>
    <w:rsid w:val="004309B8"/>
    <w:rsid w:val="00430A94"/>
    <w:rsid w:val="00430DC6"/>
    <w:rsid w:val="00430E74"/>
    <w:rsid w:val="004313F3"/>
    <w:rsid w:val="00431407"/>
    <w:rsid w:val="004315D5"/>
    <w:rsid w:val="0043220D"/>
    <w:rsid w:val="00432989"/>
    <w:rsid w:val="004329CA"/>
    <w:rsid w:val="00433B7D"/>
    <w:rsid w:val="00433BAE"/>
    <w:rsid w:val="00433CBB"/>
    <w:rsid w:val="00433D2D"/>
    <w:rsid w:val="0043403A"/>
    <w:rsid w:val="00434075"/>
    <w:rsid w:val="0043407E"/>
    <w:rsid w:val="004347BA"/>
    <w:rsid w:val="00434DC9"/>
    <w:rsid w:val="0043567D"/>
    <w:rsid w:val="00435867"/>
    <w:rsid w:val="004358B5"/>
    <w:rsid w:val="00435A51"/>
    <w:rsid w:val="00435BBE"/>
    <w:rsid w:val="00435D83"/>
    <w:rsid w:val="00435F9B"/>
    <w:rsid w:val="00436A9B"/>
    <w:rsid w:val="00436C81"/>
    <w:rsid w:val="00436FB8"/>
    <w:rsid w:val="004374E2"/>
    <w:rsid w:val="0044040A"/>
    <w:rsid w:val="00441B84"/>
    <w:rsid w:val="00442109"/>
    <w:rsid w:val="00442A92"/>
    <w:rsid w:val="00442F20"/>
    <w:rsid w:val="00443383"/>
    <w:rsid w:val="0044397E"/>
    <w:rsid w:val="00443C22"/>
    <w:rsid w:val="00444226"/>
    <w:rsid w:val="00444851"/>
    <w:rsid w:val="0044494A"/>
    <w:rsid w:val="00444CFB"/>
    <w:rsid w:val="004456A3"/>
    <w:rsid w:val="0044573D"/>
    <w:rsid w:val="00445847"/>
    <w:rsid w:val="00445E21"/>
    <w:rsid w:val="004461DB"/>
    <w:rsid w:val="004463DB"/>
    <w:rsid w:val="0044660E"/>
    <w:rsid w:val="00446F0B"/>
    <w:rsid w:val="00446FE2"/>
    <w:rsid w:val="004472CC"/>
    <w:rsid w:val="004473C5"/>
    <w:rsid w:val="00447436"/>
    <w:rsid w:val="00447B68"/>
    <w:rsid w:val="00447DCB"/>
    <w:rsid w:val="00450254"/>
    <w:rsid w:val="00450EDE"/>
    <w:rsid w:val="004510F5"/>
    <w:rsid w:val="004529CC"/>
    <w:rsid w:val="00452A0F"/>
    <w:rsid w:val="00452EDE"/>
    <w:rsid w:val="00452F95"/>
    <w:rsid w:val="004540AE"/>
    <w:rsid w:val="0045411E"/>
    <w:rsid w:val="0045465B"/>
    <w:rsid w:val="00454771"/>
    <w:rsid w:val="00454C59"/>
    <w:rsid w:val="0045529A"/>
    <w:rsid w:val="00455443"/>
    <w:rsid w:val="004563C8"/>
    <w:rsid w:val="00456661"/>
    <w:rsid w:val="004569AD"/>
    <w:rsid w:val="00456C69"/>
    <w:rsid w:val="00456CBB"/>
    <w:rsid w:val="00457C3D"/>
    <w:rsid w:val="00460043"/>
    <w:rsid w:val="0046020C"/>
    <w:rsid w:val="004603B0"/>
    <w:rsid w:val="00460675"/>
    <w:rsid w:val="004606F3"/>
    <w:rsid w:val="00460D38"/>
    <w:rsid w:val="00461132"/>
    <w:rsid w:val="00461BCA"/>
    <w:rsid w:val="00461E1B"/>
    <w:rsid w:val="00462BB3"/>
    <w:rsid w:val="00462F35"/>
    <w:rsid w:val="00464006"/>
    <w:rsid w:val="00464516"/>
    <w:rsid w:val="00464A32"/>
    <w:rsid w:val="00464A4D"/>
    <w:rsid w:val="00464DCC"/>
    <w:rsid w:val="00464FFF"/>
    <w:rsid w:val="004651A2"/>
    <w:rsid w:val="0046533B"/>
    <w:rsid w:val="00465D89"/>
    <w:rsid w:val="0046657F"/>
    <w:rsid w:val="00466864"/>
    <w:rsid w:val="0046712B"/>
    <w:rsid w:val="00470688"/>
    <w:rsid w:val="00470B07"/>
    <w:rsid w:val="00470BCB"/>
    <w:rsid w:val="00470F3D"/>
    <w:rsid w:val="0047100D"/>
    <w:rsid w:val="00471241"/>
    <w:rsid w:val="00471A16"/>
    <w:rsid w:val="00471BE8"/>
    <w:rsid w:val="00471F5D"/>
    <w:rsid w:val="004721B5"/>
    <w:rsid w:val="00472278"/>
    <w:rsid w:val="004726A2"/>
    <w:rsid w:val="00473813"/>
    <w:rsid w:val="00473ACC"/>
    <w:rsid w:val="00473EAF"/>
    <w:rsid w:val="0047409B"/>
    <w:rsid w:val="0047442D"/>
    <w:rsid w:val="00474B0B"/>
    <w:rsid w:val="00474BA5"/>
    <w:rsid w:val="004763B7"/>
    <w:rsid w:val="004763E0"/>
    <w:rsid w:val="0047657E"/>
    <w:rsid w:val="004765BE"/>
    <w:rsid w:val="0047684A"/>
    <w:rsid w:val="00476C3A"/>
    <w:rsid w:val="00476D67"/>
    <w:rsid w:val="00476F6D"/>
    <w:rsid w:val="0047749B"/>
    <w:rsid w:val="00477BEF"/>
    <w:rsid w:val="004800C7"/>
    <w:rsid w:val="004806AC"/>
    <w:rsid w:val="00481706"/>
    <w:rsid w:val="0048195A"/>
    <w:rsid w:val="0048257F"/>
    <w:rsid w:val="00482F1B"/>
    <w:rsid w:val="00482FBB"/>
    <w:rsid w:val="004830A2"/>
    <w:rsid w:val="0048335B"/>
    <w:rsid w:val="00483464"/>
    <w:rsid w:val="00483A34"/>
    <w:rsid w:val="00484075"/>
    <w:rsid w:val="00484682"/>
    <w:rsid w:val="004846ED"/>
    <w:rsid w:val="00484D9B"/>
    <w:rsid w:val="004851A5"/>
    <w:rsid w:val="004852E4"/>
    <w:rsid w:val="00486508"/>
    <w:rsid w:val="004865A7"/>
    <w:rsid w:val="0048685F"/>
    <w:rsid w:val="00486ADF"/>
    <w:rsid w:val="00486CE6"/>
    <w:rsid w:val="00486D5E"/>
    <w:rsid w:val="00486DEC"/>
    <w:rsid w:val="00486E46"/>
    <w:rsid w:val="00487487"/>
    <w:rsid w:val="004876F4"/>
    <w:rsid w:val="004877B0"/>
    <w:rsid w:val="00487CB3"/>
    <w:rsid w:val="00487D18"/>
    <w:rsid w:val="00490105"/>
    <w:rsid w:val="004901E9"/>
    <w:rsid w:val="00490242"/>
    <w:rsid w:val="00490F68"/>
    <w:rsid w:val="004923A6"/>
    <w:rsid w:val="00492C47"/>
    <w:rsid w:val="00492C61"/>
    <w:rsid w:val="00493876"/>
    <w:rsid w:val="00493C2E"/>
    <w:rsid w:val="00494DE0"/>
    <w:rsid w:val="00495E05"/>
    <w:rsid w:val="00497CF9"/>
    <w:rsid w:val="004A0077"/>
    <w:rsid w:val="004A02B3"/>
    <w:rsid w:val="004A06F5"/>
    <w:rsid w:val="004A0DE6"/>
    <w:rsid w:val="004A1272"/>
    <w:rsid w:val="004A1447"/>
    <w:rsid w:val="004A18E4"/>
    <w:rsid w:val="004A1DE5"/>
    <w:rsid w:val="004A2065"/>
    <w:rsid w:val="004A2199"/>
    <w:rsid w:val="004A2301"/>
    <w:rsid w:val="004A29A2"/>
    <w:rsid w:val="004A2E64"/>
    <w:rsid w:val="004A365E"/>
    <w:rsid w:val="004A3B2E"/>
    <w:rsid w:val="004A3B37"/>
    <w:rsid w:val="004A3C3A"/>
    <w:rsid w:val="004A4471"/>
    <w:rsid w:val="004A44A3"/>
    <w:rsid w:val="004A4DD8"/>
    <w:rsid w:val="004A5157"/>
    <w:rsid w:val="004A5EC5"/>
    <w:rsid w:val="004A5F23"/>
    <w:rsid w:val="004A69B4"/>
    <w:rsid w:val="004A6E0A"/>
    <w:rsid w:val="004A74F2"/>
    <w:rsid w:val="004B00B5"/>
    <w:rsid w:val="004B0C8C"/>
    <w:rsid w:val="004B13BB"/>
    <w:rsid w:val="004B13EC"/>
    <w:rsid w:val="004B1762"/>
    <w:rsid w:val="004B1D26"/>
    <w:rsid w:val="004B21BC"/>
    <w:rsid w:val="004B30F9"/>
    <w:rsid w:val="004B362C"/>
    <w:rsid w:val="004B37DF"/>
    <w:rsid w:val="004B3B9E"/>
    <w:rsid w:val="004B3C10"/>
    <w:rsid w:val="004B3D61"/>
    <w:rsid w:val="004B4259"/>
    <w:rsid w:val="004B4377"/>
    <w:rsid w:val="004B4447"/>
    <w:rsid w:val="004B463D"/>
    <w:rsid w:val="004B4882"/>
    <w:rsid w:val="004B48C3"/>
    <w:rsid w:val="004B5099"/>
    <w:rsid w:val="004B53D1"/>
    <w:rsid w:val="004B5431"/>
    <w:rsid w:val="004B5665"/>
    <w:rsid w:val="004B587F"/>
    <w:rsid w:val="004B596F"/>
    <w:rsid w:val="004B5A49"/>
    <w:rsid w:val="004B6421"/>
    <w:rsid w:val="004B6866"/>
    <w:rsid w:val="004B6D5F"/>
    <w:rsid w:val="004B70C4"/>
    <w:rsid w:val="004B7197"/>
    <w:rsid w:val="004B723C"/>
    <w:rsid w:val="004B72C8"/>
    <w:rsid w:val="004B7355"/>
    <w:rsid w:val="004B761C"/>
    <w:rsid w:val="004B7748"/>
    <w:rsid w:val="004B78D4"/>
    <w:rsid w:val="004B79D5"/>
    <w:rsid w:val="004C0A4A"/>
    <w:rsid w:val="004C0ADB"/>
    <w:rsid w:val="004C0E7F"/>
    <w:rsid w:val="004C1096"/>
    <w:rsid w:val="004C10E5"/>
    <w:rsid w:val="004C13C4"/>
    <w:rsid w:val="004C2136"/>
    <w:rsid w:val="004C2793"/>
    <w:rsid w:val="004C28D1"/>
    <w:rsid w:val="004C2A3A"/>
    <w:rsid w:val="004C3A26"/>
    <w:rsid w:val="004C3B9B"/>
    <w:rsid w:val="004C3F22"/>
    <w:rsid w:val="004C3FA0"/>
    <w:rsid w:val="004C4726"/>
    <w:rsid w:val="004C4C6C"/>
    <w:rsid w:val="004C59DA"/>
    <w:rsid w:val="004C5B34"/>
    <w:rsid w:val="004C5D64"/>
    <w:rsid w:val="004C5D9D"/>
    <w:rsid w:val="004C66D0"/>
    <w:rsid w:val="004C6DB4"/>
    <w:rsid w:val="004C7160"/>
    <w:rsid w:val="004C72B6"/>
    <w:rsid w:val="004D0426"/>
    <w:rsid w:val="004D06D9"/>
    <w:rsid w:val="004D0C66"/>
    <w:rsid w:val="004D1110"/>
    <w:rsid w:val="004D15B5"/>
    <w:rsid w:val="004D1ED5"/>
    <w:rsid w:val="004D1FE1"/>
    <w:rsid w:val="004D2449"/>
    <w:rsid w:val="004D3402"/>
    <w:rsid w:val="004D3543"/>
    <w:rsid w:val="004D35CD"/>
    <w:rsid w:val="004D38F9"/>
    <w:rsid w:val="004D3912"/>
    <w:rsid w:val="004D3929"/>
    <w:rsid w:val="004D3BDE"/>
    <w:rsid w:val="004D4444"/>
    <w:rsid w:val="004D4537"/>
    <w:rsid w:val="004D5D83"/>
    <w:rsid w:val="004D6061"/>
    <w:rsid w:val="004D618E"/>
    <w:rsid w:val="004D645D"/>
    <w:rsid w:val="004D6BAF"/>
    <w:rsid w:val="004D70C5"/>
    <w:rsid w:val="004D73A1"/>
    <w:rsid w:val="004D7835"/>
    <w:rsid w:val="004E00B7"/>
    <w:rsid w:val="004E0130"/>
    <w:rsid w:val="004E05CD"/>
    <w:rsid w:val="004E08BE"/>
    <w:rsid w:val="004E10C3"/>
    <w:rsid w:val="004E13EA"/>
    <w:rsid w:val="004E154E"/>
    <w:rsid w:val="004E1AF0"/>
    <w:rsid w:val="004E1D9B"/>
    <w:rsid w:val="004E1F1E"/>
    <w:rsid w:val="004E238C"/>
    <w:rsid w:val="004E249C"/>
    <w:rsid w:val="004E27FC"/>
    <w:rsid w:val="004E2C7C"/>
    <w:rsid w:val="004E395B"/>
    <w:rsid w:val="004E3A36"/>
    <w:rsid w:val="004E3B64"/>
    <w:rsid w:val="004E41CC"/>
    <w:rsid w:val="004E4373"/>
    <w:rsid w:val="004E4512"/>
    <w:rsid w:val="004E45B9"/>
    <w:rsid w:val="004E522C"/>
    <w:rsid w:val="004E600B"/>
    <w:rsid w:val="004E62EC"/>
    <w:rsid w:val="004E7263"/>
    <w:rsid w:val="004E732C"/>
    <w:rsid w:val="004E7569"/>
    <w:rsid w:val="004F04C2"/>
    <w:rsid w:val="004F06D8"/>
    <w:rsid w:val="004F0E61"/>
    <w:rsid w:val="004F10AF"/>
    <w:rsid w:val="004F16B9"/>
    <w:rsid w:val="004F1B85"/>
    <w:rsid w:val="004F1E1C"/>
    <w:rsid w:val="004F1F41"/>
    <w:rsid w:val="004F2259"/>
    <w:rsid w:val="004F2455"/>
    <w:rsid w:val="004F2713"/>
    <w:rsid w:val="004F30A7"/>
    <w:rsid w:val="004F3656"/>
    <w:rsid w:val="004F39C5"/>
    <w:rsid w:val="004F4315"/>
    <w:rsid w:val="004F5641"/>
    <w:rsid w:val="004F572D"/>
    <w:rsid w:val="004F57EB"/>
    <w:rsid w:val="004F57F6"/>
    <w:rsid w:val="004F5A29"/>
    <w:rsid w:val="004F5B31"/>
    <w:rsid w:val="004F5D90"/>
    <w:rsid w:val="004F5F1D"/>
    <w:rsid w:val="004F6814"/>
    <w:rsid w:val="004F6E56"/>
    <w:rsid w:val="004F6F7B"/>
    <w:rsid w:val="004F7074"/>
    <w:rsid w:val="004F7646"/>
    <w:rsid w:val="004F7892"/>
    <w:rsid w:val="004F7D7F"/>
    <w:rsid w:val="004F7FD8"/>
    <w:rsid w:val="00500224"/>
    <w:rsid w:val="0050037B"/>
    <w:rsid w:val="005004DD"/>
    <w:rsid w:val="00500D4F"/>
    <w:rsid w:val="0050191C"/>
    <w:rsid w:val="00501C5E"/>
    <w:rsid w:val="005021CC"/>
    <w:rsid w:val="00502344"/>
    <w:rsid w:val="00502CD6"/>
    <w:rsid w:val="00502EE7"/>
    <w:rsid w:val="00503634"/>
    <w:rsid w:val="00503FA6"/>
    <w:rsid w:val="00504975"/>
    <w:rsid w:val="00504C3D"/>
    <w:rsid w:val="005053B9"/>
    <w:rsid w:val="00505F6A"/>
    <w:rsid w:val="00506222"/>
    <w:rsid w:val="0050637B"/>
    <w:rsid w:val="00506886"/>
    <w:rsid w:val="005068FA"/>
    <w:rsid w:val="00506FB4"/>
    <w:rsid w:val="00507324"/>
    <w:rsid w:val="00507453"/>
    <w:rsid w:val="0050769B"/>
    <w:rsid w:val="005076C4"/>
    <w:rsid w:val="0050788A"/>
    <w:rsid w:val="00507FD0"/>
    <w:rsid w:val="00510014"/>
    <w:rsid w:val="005101BB"/>
    <w:rsid w:val="00510707"/>
    <w:rsid w:val="0051134F"/>
    <w:rsid w:val="00511892"/>
    <w:rsid w:val="00512415"/>
    <w:rsid w:val="00512860"/>
    <w:rsid w:val="005128FF"/>
    <w:rsid w:val="00512DAC"/>
    <w:rsid w:val="0051358A"/>
    <w:rsid w:val="005135C7"/>
    <w:rsid w:val="00513CF6"/>
    <w:rsid w:val="0051433E"/>
    <w:rsid w:val="0051454C"/>
    <w:rsid w:val="0051454E"/>
    <w:rsid w:val="005149CC"/>
    <w:rsid w:val="00514A35"/>
    <w:rsid w:val="00514EFD"/>
    <w:rsid w:val="00514F2C"/>
    <w:rsid w:val="00515BCC"/>
    <w:rsid w:val="00516BB3"/>
    <w:rsid w:val="00516C03"/>
    <w:rsid w:val="00517EC5"/>
    <w:rsid w:val="00520024"/>
    <w:rsid w:val="00520A01"/>
    <w:rsid w:val="00520D72"/>
    <w:rsid w:val="0052129E"/>
    <w:rsid w:val="005219F5"/>
    <w:rsid w:val="00521B08"/>
    <w:rsid w:val="0052201F"/>
    <w:rsid w:val="005220BE"/>
    <w:rsid w:val="005225E4"/>
    <w:rsid w:val="005225F7"/>
    <w:rsid w:val="00522D2C"/>
    <w:rsid w:val="00522E5D"/>
    <w:rsid w:val="00523509"/>
    <w:rsid w:val="005235B2"/>
    <w:rsid w:val="00523A91"/>
    <w:rsid w:val="00523D01"/>
    <w:rsid w:val="00523E71"/>
    <w:rsid w:val="00524367"/>
    <w:rsid w:val="0052497E"/>
    <w:rsid w:val="00524C57"/>
    <w:rsid w:val="00525B1C"/>
    <w:rsid w:val="00526275"/>
    <w:rsid w:val="005263FA"/>
    <w:rsid w:val="00526635"/>
    <w:rsid w:val="0052667F"/>
    <w:rsid w:val="00526DC6"/>
    <w:rsid w:val="00527209"/>
    <w:rsid w:val="00527650"/>
    <w:rsid w:val="00527D85"/>
    <w:rsid w:val="005300D0"/>
    <w:rsid w:val="00530770"/>
    <w:rsid w:val="00530C07"/>
    <w:rsid w:val="005322CB"/>
    <w:rsid w:val="00532364"/>
    <w:rsid w:val="005326CD"/>
    <w:rsid w:val="00532726"/>
    <w:rsid w:val="0053290B"/>
    <w:rsid w:val="00532B13"/>
    <w:rsid w:val="00532EF1"/>
    <w:rsid w:val="00533DDA"/>
    <w:rsid w:val="005343C0"/>
    <w:rsid w:val="00534567"/>
    <w:rsid w:val="00534DE8"/>
    <w:rsid w:val="005350D3"/>
    <w:rsid w:val="00535136"/>
    <w:rsid w:val="005353F6"/>
    <w:rsid w:val="00535A9D"/>
    <w:rsid w:val="00536CFB"/>
    <w:rsid w:val="00536E54"/>
    <w:rsid w:val="00537071"/>
    <w:rsid w:val="00537713"/>
    <w:rsid w:val="00537985"/>
    <w:rsid w:val="005400A3"/>
    <w:rsid w:val="005400A9"/>
    <w:rsid w:val="0054084F"/>
    <w:rsid w:val="00540BE7"/>
    <w:rsid w:val="00540C0A"/>
    <w:rsid w:val="00540EC1"/>
    <w:rsid w:val="00540F54"/>
    <w:rsid w:val="00541151"/>
    <w:rsid w:val="005411B1"/>
    <w:rsid w:val="00541518"/>
    <w:rsid w:val="00541666"/>
    <w:rsid w:val="00542ED3"/>
    <w:rsid w:val="00542FFC"/>
    <w:rsid w:val="00543394"/>
    <w:rsid w:val="005435E8"/>
    <w:rsid w:val="005440CC"/>
    <w:rsid w:val="00544114"/>
    <w:rsid w:val="005445CA"/>
    <w:rsid w:val="005453BD"/>
    <w:rsid w:val="00545740"/>
    <w:rsid w:val="00546016"/>
    <w:rsid w:val="00546173"/>
    <w:rsid w:val="005461ED"/>
    <w:rsid w:val="00546436"/>
    <w:rsid w:val="00546B21"/>
    <w:rsid w:val="00546B97"/>
    <w:rsid w:val="0054710A"/>
    <w:rsid w:val="00547C8A"/>
    <w:rsid w:val="00550066"/>
    <w:rsid w:val="00550FF0"/>
    <w:rsid w:val="00551058"/>
    <w:rsid w:val="00552F01"/>
    <w:rsid w:val="00552FBF"/>
    <w:rsid w:val="005530ED"/>
    <w:rsid w:val="005533A7"/>
    <w:rsid w:val="0055373F"/>
    <w:rsid w:val="0055482F"/>
    <w:rsid w:val="005548B0"/>
    <w:rsid w:val="00554950"/>
    <w:rsid w:val="00554BA5"/>
    <w:rsid w:val="00554E70"/>
    <w:rsid w:val="005550BA"/>
    <w:rsid w:val="0055583A"/>
    <w:rsid w:val="005563C1"/>
    <w:rsid w:val="00556861"/>
    <w:rsid w:val="005568D1"/>
    <w:rsid w:val="00556A7E"/>
    <w:rsid w:val="00556F90"/>
    <w:rsid w:val="005577B7"/>
    <w:rsid w:val="005579D4"/>
    <w:rsid w:val="005602E9"/>
    <w:rsid w:val="00560534"/>
    <w:rsid w:val="005616E0"/>
    <w:rsid w:val="00561B08"/>
    <w:rsid w:val="0056204F"/>
    <w:rsid w:val="005624FF"/>
    <w:rsid w:val="0056286C"/>
    <w:rsid w:val="00562CCF"/>
    <w:rsid w:val="00562F5C"/>
    <w:rsid w:val="0056314C"/>
    <w:rsid w:val="005631E2"/>
    <w:rsid w:val="00563560"/>
    <w:rsid w:val="005636DF"/>
    <w:rsid w:val="00563B9F"/>
    <w:rsid w:val="00564618"/>
    <w:rsid w:val="005649F4"/>
    <w:rsid w:val="00566AC4"/>
    <w:rsid w:val="005677C5"/>
    <w:rsid w:val="00567870"/>
    <w:rsid w:val="005678EE"/>
    <w:rsid w:val="00570313"/>
    <w:rsid w:val="00571325"/>
    <w:rsid w:val="00571347"/>
    <w:rsid w:val="00571C56"/>
    <w:rsid w:val="005729A3"/>
    <w:rsid w:val="00572E8E"/>
    <w:rsid w:val="00573161"/>
    <w:rsid w:val="005731C0"/>
    <w:rsid w:val="005731DC"/>
    <w:rsid w:val="00573379"/>
    <w:rsid w:val="005733CB"/>
    <w:rsid w:val="005733FC"/>
    <w:rsid w:val="00573705"/>
    <w:rsid w:val="00573EE8"/>
    <w:rsid w:val="00574016"/>
    <w:rsid w:val="00574328"/>
    <w:rsid w:val="0057443A"/>
    <w:rsid w:val="00574B24"/>
    <w:rsid w:val="00574C73"/>
    <w:rsid w:val="00575102"/>
    <w:rsid w:val="005754A3"/>
    <w:rsid w:val="005755A0"/>
    <w:rsid w:val="00576748"/>
    <w:rsid w:val="00576AFA"/>
    <w:rsid w:val="00576B5F"/>
    <w:rsid w:val="00576C29"/>
    <w:rsid w:val="00576CD1"/>
    <w:rsid w:val="00576FB4"/>
    <w:rsid w:val="00577081"/>
    <w:rsid w:val="00577188"/>
    <w:rsid w:val="005779B1"/>
    <w:rsid w:val="00580106"/>
    <w:rsid w:val="005801B0"/>
    <w:rsid w:val="005807E0"/>
    <w:rsid w:val="00580C81"/>
    <w:rsid w:val="00580DE7"/>
    <w:rsid w:val="00581131"/>
    <w:rsid w:val="00581C46"/>
    <w:rsid w:val="005820DF"/>
    <w:rsid w:val="0058286F"/>
    <w:rsid w:val="0058297E"/>
    <w:rsid w:val="00582C6A"/>
    <w:rsid w:val="00582E23"/>
    <w:rsid w:val="0058331E"/>
    <w:rsid w:val="00583582"/>
    <w:rsid w:val="00583644"/>
    <w:rsid w:val="005839D7"/>
    <w:rsid w:val="00584142"/>
    <w:rsid w:val="005849FB"/>
    <w:rsid w:val="00584CF2"/>
    <w:rsid w:val="00584E14"/>
    <w:rsid w:val="005854DB"/>
    <w:rsid w:val="00585AC4"/>
    <w:rsid w:val="00585C8E"/>
    <w:rsid w:val="00585CCA"/>
    <w:rsid w:val="00585D77"/>
    <w:rsid w:val="00585EB7"/>
    <w:rsid w:val="005864E4"/>
    <w:rsid w:val="0058655C"/>
    <w:rsid w:val="005874D8"/>
    <w:rsid w:val="00587589"/>
    <w:rsid w:val="005875B9"/>
    <w:rsid w:val="0058760C"/>
    <w:rsid w:val="0058773D"/>
    <w:rsid w:val="00587BC7"/>
    <w:rsid w:val="00590287"/>
    <w:rsid w:val="005903C7"/>
    <w:rsid w:val="005904E0"/>
    <w:rsid w:val="0059067B"/>
    <w:rsid w:val="00590DD0"/>
    <w:rsid w:val="00591308"/>
    <w:rsid w:val="00591AE5"/>
    <w:rsid w:val="00591D92"/>
    <w:rsid w:val="005921C0"/>
    <w:rsid w:val="00592483"/>
    <w:rsid w:val="00592629"/>
    <w:rsid w:val="005926B8"/>
    <w:rsid w:val="005928B8"/>
    <w:rsid w:val="005931FE"/>
    <w:rsid w:val="005932C1"/>
    <w:rsid w:val="005940E3"/>
    <w:rsid w:val="00594337"/>
    <w:rsid w:val="005944CE"/>
    <w:rsid w:val="00594F45"/>
    <w:rsid w:val="0059506E"/>
    <w:rsid w:val="00595884"/>
    <w:rsid w:val="00595971"/>
    <w:rsid w:val="00596281"/>
    <w:rsid w:val="005964F9"/>
    <w:rsid w:val="00596C53"/>
    <w:rsid w:val="005976B3"/>
    <w:rsid w:val="00597945"/>
    <w:rsid w:val="00597CB0"/>
    <w:rsid w:val="00597E76"/>
    <w:rsid w:val="005A0C15"/>
    <w:rsid w:val="005A0D9E"/>
    <w:rsid w:val="005A15C6"/>
    <w:rsid w:val="005A18E5"/>
    <w:rsid w:val="005A1A9E"/>
    <w:rsid w:val="005A1D49"/>
    <w:rsid w:val="005A2220"/>
    <w:rsid w:val="005A26B3"/>
    <w:rsid w:val="005A2A29"/>
    <w:rsid w:val="005A3104"/>
    <w:rsid w:val="005A3495"/>
    <w:rsid w:val="005A3829"/>
    <w:rsid w:val="005A391B"/>
    <w:rsid w:val="005A3D97"/>
    <w:rsid w:val="005A4B7B"/>
    <w:rsid w:val="005A4B97"/>
    <w:rsid w:val="005A4D41"/>
    <w:rsid w:val="005A5005"/>
    <w:rsid w:val="005A501C"/>
    <w:rsid w:val="005A513C"/>
    <w:rsid w:val="005A53CD"/>
    <w:rsid w:val="005A5B02"/>
    <w:rsid w:val="005A5F61"/>
    <w:rsid w:val="005A639A"/>
    <w:rsid w:val="005A6D6A"/>
    <w:rsid w:val="005A718A"/>
    <w:rsid w:val="005A729C"/>
    <w:rsid w:val="005A755D"/>
    <w:rsid w:val="005A7BFE"/>
    <w:rsid w:val="005B0351"/>
    <w:rsid w:val="005B042D"/>
    <w:rsid w:val="005B0503"/>
    <w:rsid w:val="005B061C"/>
    <w:rsid w:val="005B071E"/>
    <w:rsid w:val="005B0ABD"/>
    <w:rsid w:val="005B0CDF"/>
    <w:rsid w:val="005B0F9F"/>
    <w:rsid w:val="005B103F"/>
    <w:rsid w:val="005B1174"/>
    <w:rsid w:val="005B167D"/>
    <w:rsid w:val="005B18A0"/>
    <w:rsid w:val="005B2396"/>
    <w:rsid w:val="005B2629"/>
    <w:rsid w:val="005B2C3E"/>
    <w:rsid w:val="005B2D82"/>
    <w:rsid w:val="005B31C6"/>
    <w:rsid w:val="005B36E3"/>
    <w:rsid w:val="005B3878"/>
    <w:rsid w:val="005B3893"/>
    <w:rsid w:val="005B4072"/>
    <w:rsid w:val="005B4256"/>
    <w:rsid w:val="005B42F3"/>
    <w:rsid w:val="005B48D6"/>
    <w:rsid w:val="005B48F5"/>
    <w:rsid w:val="005B4C70"/>
    <w:rsid w:val="005B4FAE"/>
    <w:rsid w:val="005B5128"/>
    <w:rsid w:val="005B589D"/>
    <w:rsid w:val="005B5A6B"/>
    <w:rsid w:val="005B5A9C"/>
    <w:rsid w:val="005B5AEC"/>
    <w:rsid w:val="005B5FB9"/>
    <w:rsid w:val="005B60B3"/>
    <w:rsid w:val="005B6473"/>
    <w:rsid w:val="005B67EC"/>
    <w:rsid w:val="005B6813"/>
    <w:rsid w:val="005B681E"/>
    <w:rsid w:val="005B686A"/>
    <w:rsid w:val="005B6A63"/>
    <w:rsid w:val="005B6B74"/>
    <w:rsid w:val="005B6DE4"/>
    <w:rsid w:val="005B73E3"/>
    <w:rsid w:val="005B747F"/>
    <w:rsid w:val="005B75E1"/>
    <w:rsid w:val="005C090A"/>
    <w:rsid w:val="005C0BDB"/>
    <w:rsid w:val="005C1037"/>
    <w:rsid w:val="005C11A8"/>
    <w:rsid w:val="005C2C7E"/>
    <w:rsid w:val="005C2E74"/>
    <w:rsid w:val="005C321A"/>
    <w:rsid w:val="005C3651"/>
    <w:rsid w:val="005C3935"/>
    <w:rsid w:val="005C3F9C"/>
    <w:rsid w:val="005C450C"/>
    <w:rsid w:val="005C4EDB"/>
    <w:rsid w:val="005C4FD1"/>
    <w:rsid w:val="005C56ED"/>
    <w:rsid w:val="005C723F"/>
    <w:rsid w:val="005C7750"/>
    <w:rsid w:val="005C78FF"/>
    <w:rsid w:val="005C7FBF"/>
    <w:rsid w:val="005D07BC"/>
    <w:rsid w:val="005D0AFC"/>
    <w:rsid w:val="005D1291"/>
    <w:rsid w:val="005D2373"/>
    <w:rsid w:val="005D29B1"/>
    <w:rsid w:val="005D2E37"/>
    <w:rsid w:val="005D2E61"/>
    <w:rsid w:val="005D2FCA"/>
    <w:rsid w:val="005D3CEF"/>
    <w:rsid w:val="005D3D0D"/>
    <w:rsid w:val="005D4713"/>
    <w:rsid w:val="005D478C"/>
    <w:rsid w:val="005D5638"/>
    <w:rsid w:val="005D5ADE"/>
    <w:rsid w:val="005D5F6C"/>
    <w:rsid w:val="005D6B66"/>
    <w:rsid w:val="005D7C59"/>
    <w:rsid w:val="005D7E90"/>
    <w:rsid w:val="005E0000"/>
    <w:rsid w:val="005E0375"/>
    <w:rsid w:val="005E0655"/>
    <w:rsid w:val="005E0B05"/>
    <w:rsid w:val="005E12AC"/>
    <w:rsid w:val="005E1869"/>
    <w:rsid w:val="005E187E"/>
    <w:rsid w:val="005E1B0B"/>
    <w:rsid w:val="005E1CC5"/>
    <w:rsid w:val="005E2CA7"/>
    <w:rsid w:val="005E305D"/>
    <w:rsid w:val="005E30C6"/>
    <w:rsid w:val="005E36AA"/>
    <w:rsid w:val="005E3E51"/>
    <w:rsid w:val="005E4503"/>
    <w:rsid w:val="005E470B"/>
    <w:rsid w:val="005E6918"/>
    <w:rsid w:val="005E6D85"/>
    <w:rsid w:val="005E703A"/>
    <w:rsid w:val="005E72F5"/>
    <w:rsid w:val="005E76B1"/>
    <w:rsid w:val="005E77A9"/>
    <w:rsid w:val="005F0473"/>
    <w:rsid w:val="005F065A"/>
    <w:rsid w:val="005F07BC"/>
    <w:rsid w:val="005F0BCA"/>
    <w:rsid w:val="005F0CE4"/>
    <w:rsid w:val="005F11A1"/>
    <w:rsid w:val="005F1350"/>
    <w:rsid w:val="005F1669"/>
    <w:rsid w:val="005F1674"/>
    <w:rsid w:val="005F191E"/>
    <w:rsid w:val="005F2118"/>
    <w:rsid w:val="005F3F95"/>
    <w:rsid w:val="005F4662"/>
    <w:rsid w:val="005F4966"/>
    <w:rsid w:val="005F4E22"/>
    <w:rsid w:val="005F520F"/>
    <w:rsid w:val="005F554B"/>
    <w:rsid w:val="005F5718"/>
    <w:rsid w:val="005F58CF"/>
    <w:rsid w:val="005F6555"/>
    <w:rsid w:val="005F69FD"/>
    <w:rsid w:val="005F6A0D"/>
    <w:rsid w:val="005F6E1E"/>
    <w:rsid w:val="005F78C5"/>
    <w:rsid w:val="005F7916"/>
    <w:rsid w:val="005F7B19"/>
    <w:rsid w:val="006003CA"/>
    <w:rsid w:val="006007A0"/>
    <w:rsid w:val="00600E90"/>
    <w:rsid w:val="0060127C"/>
    <w:rsid w:val="00601DF6"/>
    <w:rsid w:val="00602326"/>
    <w:rsid w:val="00602D65"/>
    <w:rsid w:val="00602F87"/>
    <w:rsid w:val="0060302A"/>
    <w:rsid w:val="006030F7"/>
    <w:rsid w:val="00603A90"/>
    <w:rsid w:val="00603B95"/>
    <w:rsid w:val="00604ED5"/>
    <w:rsid w:val="00604EF3"/>
    <w:rsid w:val="00604F69"/>
    <w:rsid w:val="00605411"/>
    <w:rsid w:val="006057D5"/>
    <w:rsid w:val="00605892"/>
    <w:rsid w:val="00605B8C"/>
    <w:rsid w:val="0060641C"/>
    <w:rsid w:val="00607080"/>
    <w:rsid w:val="00607A82"/>
    <w:rsid w:val="00607AAD"/>
    <w:rsid w:val="00607CD5"/>
    <w:rsid w:val="00607F5A"/>
    <w:rsid w:val="00607FA0"/>
    <w:rsid w:val="00607FF5"/>
    <w:rsid w:val="006107CB"/>
    <w:rsid w:val="0061137A"/>
    <w:rsid w:val="00612294"/>
    <w:rsid w:val="00612F77"/>
    <w:rsid w:val="006136E6"/>
    <w:rsid w:val="00614760"/>
    <w:rsid w:val="00614A0B"/>
    <w:rsid w:val="00614AC1"/>
    <w:rsid w:val="00614C71"/>
    <w:rsid w:val="006154F5"/>
    <w:rsid w:val="006156CC"/>
    <w:rsid w:val="00615D62"/>
    <w:rsid w:val="00615E23"/>
    <w:rsid w:val="006161A5"/>
    <w:rsid w:val="00616218"/>
    <w:rsid w:val="00616728"/>
    <w:rsid w:val="006170C7"/>
    <w:rsid w:val="00617528"/>
    <w:rsid w:val="00620724"/>
    <w:rsid w:val="00620A1D"/>
    <w:rsid w:val="00620DAE"/>
    <w:rsid w:val="00620EDC"/>
    <w:rsid w:val="0062113C"/>
    <w:rsid w:val="00621969"/>
    <w:rsid w:val="00621FC8"/>
    <w:rsid w:val="0062250D"/>
    <w:rsid w:val="006225D5"/>
    <w:rsid w:val="006225F1"/>
    <w:rsid w:val="00622911"/>
    <w:rsid w:val="00622966"/>
    <w:rsid w:val="00622BA2"/>
    <w:rsid w:val="00622FDA"/>
    <w:rsid w:val="00623313"/>
    <w:rsid w:val="006234DD"/>
    <w:rsid w:val="00623AD3"/>
    <w:rsid w:val="00624382"/>
    <w:rsid w:val="00624638"/>
    <w:rsid w:val="00624CDD"/>
    <w:rsid w:val="006254DA"/>
    <w:rsid w:val="00625694"/>
    <w:rsid w:val="00625DE9"/>
    <w:rsid w:val="00625F79"/>
    <w:rsid w:val="00625FC4"/>
    <w:rsid w:val="0062618A"/>
    <w:rsid w:val="00626574"/>
    <w:rsid w:val="0062671B"/>
    <w:rsid w:val="00626943"/>
    <w:rsid w:val="00627519"/>
    <w:rsid w:val="0062791D"/>
    <w:rsid w:val="00630104"/>
    <w:rsid w:val="00630328"/>
    <w:rsid w:val="00630467"/>
    <w:rsid w:val="00630581"/>
    <w:rsid w:val="0063091E"/>
    <w:rsid w:val="00631627"/>
    <w:rsid w:val="006327F8"/>
    <w:rsid w:val="00632B2E"/>
    <w:rsid w:val="00632FED"/>
    <w:rsid w:val="006339BD"/>
    <w:rsid w:val="00633C65"/>
    <w:rsid w:val="00634251"/>
    <w:rsid w:val="006342AC"/>
    <w:rsid w:val="006344D4"/>
    <w:rsid w:val="00634FC0"/>
    <w:rsid w:val="00636070"/>
    <w:rsid w:val="006361E8"/>
    <w:rsid w:val="006363A7"/>
    <w:rsid w:val="00636D72"/>
    <w:rsid w:val="0064035E"/>
    <w:rsid w:val="006403B9"/>
    <w:rsid w:val="006408C9"/>
    <w:rsid w:val="00640A40"/>
    <w:rsid w:val="00640AAA"/>
    <w:rsid w:val="00640D7A"/>
    <w:rsid w:val="00640DA7"/>
    <w:rsid w:val="006415C1"/>
    <w:rsid w:val="0064199F"/>
    <w:rsid w:val="00642BFF"/>
    <w:rsid w:val="00642D42"/>
    <w:rsid w:val="00642EF8"/>
    <w:rsid w:val="0064361B"/>
    <w:rsid w:val="00643F00"/>
    <w:rsid w:val="00643F69"/>
    <w:rsid w:val="0064404A"/>
    <w:rsid w:val="0064473B"/>
    <w:rsid w:val="00644C54"/>
    <w:rsid w:val="00645511"/>
    <w:rsid w:val="00645950"/>
    <w:rsid w:val="006461B1"/>
    <w:rsid w:val="0064622F"/>
    <w:rsid w:val="006467AC"/>
    <w:rsid w:val="00646B3B"/>
    <w:rsid w:val="00647E87"/>
    <w:rsid w:val="006505CC"/>
    <w:rsid w:val="00650CCA"/>
    <w:rsid w:val="00650DBC"/>
    <w:rsid w:val="00651CD1"/>
    <w:rsid w:val="00652B14"/>
    <w:rsid w:val="00653508"/>
    <w:rsid w:val="00653B35"/>
    <w:rsid w:val="00653BDC"/>
    <w:rsid w:val="00653C11"/>
    <w:rsid w:val="00653EE3"/>
    <w:rsid w:val="006544A2"/>
    <w:rsid w:val="00654628"/>
    <w:rsid w:val="00654856"/>
    <w:rsid w:val="00654F6A"/>
    <w:rsid w:val="00654FA2"/>
    <w:rsid w:val="006551AD"/>
    <w:rsid w:val="00655292"/>
    <w:rsid w:val="006553F8"/>
    <w:rsid w:val="00655A8A"/>
    <w:rsid w:val="00656E9E"/>
    <w:rsid w:val="00657667"/>
    <w:rsid w:val="00657939"/>
    <w:rsid w:val="0066026F"/>
    <w:rsid w:val="006603A4"/>
    <w:rsid w:val="00660526"/>
    <w:rsid w:val="006605B4"/>
    <w:rsid w:val="00660A67"/>
    <w:rsid w:val="00660AF4"/>
    <w:rsid w:val="00660C7C"/>
    <w:rsid w:val="0066158D"/>
    <w:rsid w:val="0066226C"/>
    <w:rsid w:val="0066228F"/>
    <w:rsid w:val="0066299D"/>
    <w:rsid w:val="006631E3"/>
    <w:rsid w:val="006635E9"/>
    <w:rsid w:val="0066368A"/>
    <w:rsid w:val="00663985"/>
    <w:rsid w:val="00663B98"/>
    <w:rsid w:val="006642C8"/>
    <w:rsid w:val="00664899"/>
    <w:rsid w:val="00664F33"/>
    <w:rsid w:val="00664FF2"/>
    <w:rsid w:val="00665070"/>
    <w:rsid w:val="006659FA"/>
    <w:rsid w:val="0066664B"/>
    <w:rsid w:val="006667EA"/>
    <w:rsid w:val="00666D1F"/>
    <w:rsid w:val="006676AC"/>
    <w:rsid w:val="00667CE0"/>
    <w:rsid w:val="00667DF4"/>
    <w:rsid w:val="00670AE7"/>
    <w:rsid w:val="006714FE"/>
    <w:rsid w:val="0067181B"/>
    <w:rsid w:val="00671B5E"/>
    <w:rsid w:val="006720CE"/>
    <w:rsid w:val="006729D4"/>
    <w:rsid w:val="00673765"/>
    <w:rsid w:val="00673997"/>
    <w:rsid w:val="00673A5E"/>
    <w:rsid w:val="00673CE6"/>
    <w:rsid w:val="006743A6"/>
    <w:rsid w:val="006745CF"/>
    <w:rsid w:val="006745D8"/>
    <w:rsid w:val="0067462E"/>
    <w:rsid w:val="006757DA"/>
    <w:rsid w:val="0067585E"/>
    <w:rsid w:val="006758A3"/>
    <w:rsid w:val="00675B9C"/>
    <w:rsid w:val="00675BB5"/>
    <w:rsid w:val="006761CE"/>
    <w:rsid w:val="00676540"/>
    <w:rsid w:val="00676958"/>
    <w:rsid w:val="00676F49"/>
    <w:rsid w:val="006771A5"/>
    <w:rsid w:val="00677272"/>
    <w:rsid w:val="0067733D"/>
    <w:rsid w:val="00677394"/>
    <w:rsid w:val="006774BC"/>
    <w:rsid w:val="00677911"/>
    <w:rsid w:val="00677D38"/>
    <w:rsid w:val="00680471"/>
    <w:rsid w:val="006804FC"/>
    <w:rsid w:val="00681573"/>
    <w:rsid w:val="00681A37"/>
    <w:rsid w:val="00681DA0"/>
    <w:rsid w:val="006833D7"/>
    <w:rsid w:val="0068446F"/>
    <w:rsid w:val="00685233"/>
    <w:rsid w:val="006856E7"/>
    <w:rsid w:val="00686C8D"/>
    <w:rsid w:val="00686C96"/>
    <w:rsid w:val="00686ECD"/>
    <w:rsid w:val="006874C5"/>
    <w:rsid w:val="0069013B"/>
    <w:rsid w:val="00690200"/>
    <w:rsid w:val="00690AFF"/>
    <w:rsid w:val="006912A9"/>
    <w:rsid w:val="0069143F"/>
    <w:rsid w:val="0069162B"/>
    <w:rsid w:val="00691FA8"/>
    <w:rsid w:val="00692A72"/>
    <w:rsid w:val="00692F2E"/>
    <w:rsid w:val="006936C5"/>
    <w:rsid w:val="006948B4"/>
    <w:rsid w:val="006957B4"/>
    <w:rsid w:val="006957CB"/>
    <w:rsid w:val="006958DF"/>
    <w:rsid w:val="00695CC5"/>
    <w:rsid w:val="00696079"/>
    <w:rsid w:val="00696AF0"/>
    <w:rsid w:val="00696BCE"/>
    <w:rsid w:val="006976D6"/>
    <w:rsid w:val="0069785B"/>
    <w:rsid w:val="006A05CD"/>
    <w:rsid w:val="006A064D"/>
    <w:rsid w:val="006A0A89"/>
    <w:rsid w:val="006A0CC5"/>
    <w:rsid w:val="006A0D91"/>
    <w:rsid w:val="006A0DF9"/>
    <w:rsid w:val="006A0F91"/>
    <w:rsid w:val="006A1587"/>
    <w:rsid w:val="006A1863"/>
    <w:rsid w:val="006A19AC"/>
    <w:rsid w:val="006A1D4B"/>
    <w:rsid w:val="006A1D5D"/>
    <w:rsid w:val="006A29E3"/>
    <w:rsid w:val="006A2C11"/>
    <w:rsid w:val="006A2E8D"/>
    <w:rsid w:val="006A3531"/>
    <w:rsid w:val="006A35CF"/>
    <w:rsid w:val="006A3EB1"/>
    <w:rsid w:val="006A438B"/>
    <w:rsid w:val="006A4C40"/>
    <w:rsid w:val="006A4F73"/>
    <w:rsid w:val="006A51F7"/>
    <w:rsid w:val="006A569B"/>
    <w:rsid w:val="006A5737"/>
    <w:rsid w:val="006A57AD"/>
    <w:rsid w:val="006A5A2C"/>
    <w:rsid w:val="006A638F"/>
    <w:rsid w:val="006A674D"/>
    <w:rsid w:val="006A6C2C"/>
    <w:rsid w:val="006A6E81"/>
    <w:rsid w:val="006A7108"/>
    <w:rsid w:val="006A76B4"/>
    <w:rsid w:val="006A780E"/>
    <w:rsid w:val="006A7853"/>
    <w:rsid w:val="006A7CE3"/>
    <w:rsid w:val="006B0A8E"/>
    <w:rsid w:val="006B12A5"/>
    <w:rsid w:val="006B157C"/>
    <w:rsid w:val="006B2439"/>
    <w:rsid w:val="006B261B"/>
    <w:rsid w:val="006B2B18"/>
    <w:rsid w:val="006B3594"/>
    <w:rsid w:val="006B3F01"/>
    <w:rsid w:val="006B5CE9"/>
    <w:rsid w:val="006B5F6E"/>
    <w:rsid w:val="006B5FAB"/>
    <w:rsid w:val="006B64A7"/>
    <w:rsid w:val="006B66A0"/>
    <w:rsid w:val="006B689F"/>
    <w:rsid w:val="006B6E8B"/>
    <w:rsid w:val="006B703A"/>
    <w:rsid w:val="006B7614"/>
    <w:rsid w:val="006C0189"/>
    <w:rsid w:val="006C0211"/>
    <w:rsid w:val="006C06C7"/>
    <w:rsid w:val="006C082C"/>
    <w:rsid w:val="006C0C5F"/>
    <w:rsid w:val="006C0D1D"/>
    <w:rsid w:val="006C0FF1"/>
    <w:rsid w:val="006C159E"/>
    <w:rsid w:val="006C1D4B"/>
    <w:rsid w:val="006C252F"/>
    <w:rsid w:val="006C28FC"/>
    <w:rsid w:val="006C2F2B"/>
    <w:rsid w:val="006C3058"/>
    <w:rsid w:val="006C319C"/>
    <w:rsid w:val="006C3D2A"/>
    <w:rsid w:val="006C4124"/>
    <w:rsid w:val="006C4287"/>
    <w:rsid w:val="006C4B9E"/>
    <w:rsid w:val="006C4C61"/>
    <w:rsid w:val="006C4F7C"/>
    <w:rsid w:val="006C551D"/>
    <w:rsid w:val="006C5C98"/>
    <w:rsid w:val="006C620E"/>
    <w:rsid w:val="006C6687"/>
    <w:rsid w:val="006C73E4"/>
    <w:rsid w:val="006C76BA"/>
    <w:rsid w:val="006C7ED4"/>
    <w:rsid w:val="006D0012"/>
    <w:rsid w:val="006D068B"/>
    <w:rsid w:val="006D0781"/>
    <w:rsid w:val="006D0D2B"/>
    <w:rsid w:val="006D0FBE"/>
    <w:rsid w:val="006D1305"/>
    <w:rsid w:val="006D195C"/>
    <w:rsid w:val="006D2309"/>
    <w:rsid w:val="006D265D"/>
    <w:rsid w:val="006D2E26"/>
    <w:rsid w:val="006D3735"/>
    <w:rsid w:val="006D3FDB"/>
    <w:rsid w:val="006D440F"/>
    <w:rsid w:val="006D4F30"/>
    <w:rsid w:val="006D56F4"/>
    <w:rsid w:val="006D5D3A"/>
    <w:rsid w:val="006D5E0A"/>
    <w:rsid w:val="006D6523"/>
    <w:rsid w:val="006D7B98"/>
    <w:rsid w:val="006E0D2B"/>
    <w:rsid w:val="006E15F9"/>
    <w:rsid w:val="006E1B2A"/>
    <w:rsid w:val="006E26A7"/>
    <w:rsid w:val="006E2902"/>
    <w:rsid w:val="006E2AFA"/>
    <w:rsid w:val="006E2C22"/>
    <w:rsid w:val="006E2C7E"/>
    <w:rsid w:val="006E3827"/>
    <w:rsid w:val="006E3BA1"/>
    <w:rsid w:val="006E438B"/>
    <w:rsid w:val="006E49F9"/>
    <w:rsid w:val="006E4BBB"/>
    <w:rsid w:val="006E5371"/>
    <w:rsid w:val="006E60A9"/>
    <w:rsid w:val="006E6200"/>
    <w:rsid w:val="006E62C0"/>
    <w:rsid w:val="006E6849"/>
    <w:rsid w:val="006E6DB0"/>
    <w:rsid w:val="006E6E0B"/>
    <w:rsid w:val="006E708B"/>
    <w:rsid w:val="006E7145"/>
    <w:rsid w:val="006E74D3"/>
    <w:rsid w:val="006E77BD"/>
    <w:rsid w:val="006E7B7B"/>
    <w:rsid w:val="006E7BE8"/>
    <w:rsid w:val="006F0118"/>
    <w:rsid w:val="006F0198"/>
    <w:rsid w:val="006F085D"/>
    <w:rsid w:val="006F08DC"/>
    <w:rsid w:val="006F094D"/>
    <w:rsid w:val="006F0BE7"/>
    <w:rsid w:val="006F1B00"/>
    <w:rsid w:val="006F1C4E"/>
    <w:rsid w:val="006F2363"/>
    <w:rsid w:val="006F24AB"/>
    <w:rsid w:val="006F27EE"/>
    <w:rsid w:val="006F3CC0"/>
    <w:rsid w:val="006F4546"/>
    <w:rsid w:val="006F4CAF"/>
    <w:rsid w:val="006F56EF"/>
    <w:rsid w:val="006F61D4"/>
    <w:rsid w:val="006F6608"/>
    <w:rsid w:val="006F681C"/>
    <w:rsid w:val="006F6992"/>
    <w:rsid w:val="006F7218"/>
    <w:rsid w:val="006F7E5B"/>
    <w:rsid w:val="006F7E73"/>
    <w:rsid w:val="007002F3"/>
    <w:rsid w:val="00700C24"/>
    <w:rsid w:val="00700DA6"/>
    <w:rsid w:val="00700FDF"/>
    <w:rsid w:val="00701D6C"/>
    <w:rsid w:val="00701F15"/>
    <w:rsid w:val="00701F58"/>
    <w:rsid w:val="007029FA"/>
    <w:rsid w:val="00702A09"/>
    <w:rsid w:val="00702B4F"/>
    <w:rsid w:val="00702CB5"/>
    <w:rsid w:val="00702D93"/>
    <w:rsid w:val="00703863"/>
    <w:rsid w:val="007038E9"/>
    <w:rsid w:val="00704440"/>
    <w:rsid w:val="00705A2E"/>
    <w:rsid w:val="00706854"/>
    <w:rsid w:val="00706CD1"/>
    <w:rsid w:val="00707438"/>
    <w:rsid w:val="00707A69"/>
    <w:rsid w:val="00710197"/>
    <w:rsid w:val="007103D3"/>
    <w:rsid w:val="007107A1"/>
    <w:rsid w:val="00710CFB"/>
    <w:rsid w:val="00711706"/>
    <w:rsid w:val="00711D8B"/>
    <w:rsid w:val="0071255A"/>
    <w:rsid w:val="007125A1"/>
    <w:rsid w:val="00712C4C"/>
    <w:rsid w:val="00712E06"/>
    <w:rsid w:val="00712EF7"/>
    <w:rsid w:val="00713942"/>
    <w:rsid w:val="00713BF2"/>
    <w:rsid w:val="00713BFD"/>
    <w:rsid w:val="0071403E"/>
    <w:rsid w:val="00714EFC"/>
    <w:rsid w:val="00715B3E"/>
    <w:rsid w:val="00715CDF"/>
    <w:rsid w:val="00716029"/>
    <w:rsid w:val="00717200"/>
    <w:rsid w:val="0072031E"/>
    <w:rsid w:val="00720867"/>
    <w:rsid w:val="00720B23"/>
    <w:rsid w:val="0072128A"/>
    <w:rsid w:val="007212FE"/>
    <w:rsid w:val="0072197B"/>
    <w:rsid w:val="007226C5"/>
    <w:rsid w:val="00722B28"/>
    <w:rsid w:val="00722E43"/>
    <w:rsid w:val="00723065"/>
    <w:rsid w:val="007232B6"/>
    <w:rsid w:val="007238B5"/>
    <w:rsid w:val="007238E8"/>
    <w:rsid w:val="00723BCB"/>
    <w:rsid w:val="0072407B"/>
    <w:rsid w:val="007242D7"/>
    <w:rsid w:val="007249CE"/>
    <w:rsid w:val="00724C77"/>
    <w:rsid w:val="00724D43"/>
    <w:rsid w:val="00725451"/>
    <w:rsid w:val="00725AF1"/>
    <w:rsid w:val="007260C2"/>
    <w:rsid w:val="00726268"/>
    <w:rsid w:val="007270CD"/>
    <w:rsid w:val="0072716E"/>
    <w:rsid w:val="00727459"/>
    <w:rsid w:val="00727B5F"/>
    <w:rsid w:val="00727FA7"/>
    <w:rsid w:val="007308E1"/>
    <w:rsid w:val="00730D29"/>
    <w:rsid w:val="007311EB"/>
    <w:rsid w:val="00731338"/>
    <w:rsid w:val="00731AEA"/>
    <w:rsid w:val="00732016"/>
    <w:rsid w:val="0073257D"/>
    <w:rsid w:val="00732C8F"/>
    <w:rsid w:val="00732F63"/>
    <w:rsid w:val="0073337D"/>
    <w:rsid w:val="00733464"/>
    <w:rsid w:val="00733C09"/>
    <w:rsid w:val="00733D15"/>
    <w:rsid w:val="00733D99"/>
    <w:rsid w:val="007343DB"/>
    <w:rsid w:val="00734CB8"/>
    <w:rsid w:val="00734DC3"/>
    <w:rsid w:val="007355CF"/>
    <w:rsid w:val="00736484"/>
    <w:rsid w:val="00736954"/>
    <w:rsid w:val="00737064"/>
    <w:rsid w:val="00737219"/>
    <w:rsid w:val="00737542"/>
    <w:rsid w:val="0073781B"/>
    <w:rsid w:val="007378DA"/>
    <w:rsid w:val="007407BC"/>
    <w:rsid w:val="00740877"/>
    <w:rsid w:val="00740B50"/>
    <w:rsid w:val="00740E5A"/>
    <w:rsid w:val="00740F08"/>
    <w:rsid w:val="00740F0C"/>
    <w:rsid w:val="00741195"/>
    <w:rsid w:val="0074170F"/>
    <w:rsid w:val="0074175B"/>
    <w:rsid w:val="00741787"/>
    <w:rsid w:val="00741A5D"/>
    <w:rsid w:val="00741B2A"/>
    <w:rsid w:val="00741D2F"/>
    <w:rsid w:val="00741E3A"/>
    <w:rsid w:val="00742FCA"/>
    <w:rsid w:val="00743026"/>
    <w:rsid w:val="00743500"/>
    <w:rsid w:val="007439E0"/>
    <w:rsid w:val="00743C50"/>
    <w:rsid w:val="00744518"/>
    <w:rsid w:val="0074459F"/>
    <w:rsid w:val="007451D2"/>
    <w:rsid w:val="00745DF1"/>
    <w:rsid w:val="00745EC5"/>
    <w:rsid w:val="0074660E"/>
    <w:rsid w:val="007474A3"/>
    <w:rsid w:val="007477BA"/>
    <w:rsid w:val="0074780C"/>
    <w:rsid w:val="00747B42"/>
    <w:rsid w:val="00747F69"/>
    <w:rsid w:val="00747FB4"/>
    <w:rsid w:val="0075020C"/>
    <w:rsid w:val="00750B90"/>
    <w:rsid w:val="00751864"/>
    <w:rsid w:val="00751E21"/>
    <w:rsid w:val="0075274F"/>
    <w:rsid w:val="007527E8"/>
    <w:rsid w:val="00752906"/>
    <w:rsid w:val="00752B6C"/>
    <w:rsid w:val="00752C10"/>
    <w:rsid w:val="00752F7E"/>
    <w:rsid w:val="00753113"/>
    <w:rsid w:val="007533E1"/>
    <w:rsid w:val="0075369B"/>
    <w:rsid w:val="0075420A"/>
    <w:rsid w:val="00754FB6"/>
    <w:rsid w:val="0075574A"/>
    <w:rsid w:val="00756C13"/>
    <w:rsid w:val="00756CC1"/>
    <w:rsid w:val="00756DF8"/>
    <w:rsid w:val="00756E5C"/>
    <w:rsid w:val="00756F36"/>
    <w:rsid w:val="0075724B"/>
    <w:rsid w:val="007600F8"/>
    <w:rsid w:val="007606FD"/>
    <w:rsid w:val="00760C2D"/>
    <w:rsid w:val="00761110"/>
    <w:rsid w:val="007611D7"/>
    <w:rsid w:val="0076186E"/>
    <w:rsid w:val="007620E9"/>
    <w:rsid w:val="00762511"/>
    <w:rsid w:val="007627D7"/>
    <w:rsid w:val="00762DBF"/>
    <w:rsid w:val="00762F64"/>
    <w:rsid w:val="007636F0"/>
    <w:rsid w:val="0076370C"/>
    <w:rsid w:val="007639AB"/>
    <w:rsid w:val="00763CA5"/>
    <w:rsid w:val="00763E7F"/>
    <w:rsid w:val="007643E3"/>
    <w:rsid w:val="007644CF"/>
    <w:rsid w:val="00764500"/>
    <w:rsid w:val="0076459C"/>
    <w:rsid w:val="00764B9C"/>
    <w:rsid w:val="00765CA9"/>
    <w:rsid w:val="0076635D"/>
    <w:rsid w:val="00766368"/>
    <w:rsid w:val="007676C4"/>
    <w:rsid w:val="00767ADF"/>
    <w:rsid w:val="00767CD4"/>
    <w:rsid w:val="007705A4"/>
    <w:rsid w:val="00770659"/>
    <w:rsid w:val="00770DC1"/>
    <w:rsid w:val="00771A2B"/>
    <w:rsid w:val="00771A68"/>
    <w:rsid w:val="00772352"/>
    <w:rsid w:val="00772620"/>
    <w:rsid w:val="007726EE"/>
    <w:rsid w:val="00772701"/>
    <w:rsid w:val="00772C20"/>
    <w:rsid w:val="00772C23"/>
    <w:rsid w:val="00772FD4"/>
    <w:rsid w:val="007732EC"/>
    <w:rsid w:val="007737E3"/>
    <w:rsid w:val="00773D5C"/>
    <w:rsid w:val="00775005"/>
    <w:rsid w:val="0077595A"/>
    <w:rsid w:val="00775B3A"/>
    <w:rsid w:val="00775E19"/>
    <w:rsid w:val="00776E9C"/>
    <w:rsid w:val="00780B99"/>
    <w:rsid w:val="00781798"/>
    <w:rsid w:val="0078258B"/>
    <w:rsid w:val="00782E7F"/>
    <w:rsid w:val="00783127"/>
    <w:rsid w:val="0078377A"/>
    <w:rsid w:val="00783CF1"/>
    <w:rsid w:val="0078463A"/>
    <w:rsid w:val="00784A31"/>
    <w:rsid w:val="00785358"/>
    <w:rsid w:val="00785848"/>
    <w:rsid w:val="00785D0F"/>
    <w:rsid w:val="00785DA0"/>
    <w:rsid w:val="0078611E"/>
    <w:rsid w:val="00786220"/>
    <w:rsid w:val="00786934"/>
    <w:rsid w:val="00787A0F"/>
    <w:rsid w:val="007905D9"/>
    <w:rsid w:val="00790CE9"/>
    <w:rsid w:val="00790ED7"/>
    <w:rsid w:val="00790F8E"/>
    <w:rsid w:val="0079107F"/>
    <w:rsid w:val="0079205D"/>
    <w:rsid w:val="007920AB"/>
    <w:rsid w:val="007923F1"/>
    <w:rsid w:val="0079341D"/>
    <w:rsid w:val="007937E4"/>
    <w:rsid w:val="0079400B"/>
    <w:rsid w:val="0079439A"/>
    <w:rsid w:val="007947B7"/>
    <w:rsid w:val="00794872"/>
    <w:rsid w:val="00794AC7"/>
    <w:rsid w:val="00794F3A"/>
    <w:rsid w:val="00795249"/>
    <w:rsid w:val="00795317"/>
    <w:rsid w:val="00795592"/>
    <w:rsid w:val="00796363"/>
    <w:rsid w:val="00796580"/>
    <w:rsid w:val="00796750"/>
    <w:rsid w:val="00796D2E"/>
    <w:rsid w:val="00796FCD"/>
    <w:rsid w:val="00797275"/>
    <w:rsid w:val="007976A9"/>
    <w:rsid w:val="0079773D"/>
    <w:rsid w:val="00797747"/>
    <w:rsid w:val="00797828"/>
    <w:rsid w:val="00797B5C"/>
    <w:rsid w:val="007A05D5"/>
    <w:rsid w:val="007A0619"/>
    <w:rsid w:val="007A0D4F"/>
    <w:rsid w:val="007A1EEF"/>
    <w:rsid w:val="007A2114"/>
    <w:rsid w:val="007A280B"/>
    <w:rsid w:val="007A29E8"/>
    <w:rsid w:val="007A30DF"/>
    <w:rsid w:val="007A3F57"/>
    <w:rsid w:val="007A4209"/>
    <w:rsid w:val="007A4C4A"/>
    <w:rsid w:val="007A4C78"/>
    <w:rsid w:val="007A5603"/>
    <w:rsid w:val="007A5A03"/>
    <w:rsid w:val="007A5F67"/>
    <w:rsid w:val="007A65BB"/>
    <w:rsid w:val="007A67ED"/>
    <w:rsid w:val="007A6A32"/>
    <w:rsid w:val="007A6F3C"/>
    <w:rsid w:val="007A6F5E"/>
    <w:rsid w:val="007A735E"/>
    <w:rsid w:val="007A7734"/>
    <w:rsid w:val="007A7FFE"/>
    <w:rsid w:val="007B0CEF"/>
    <w:rsid w:val="007B0E08"/>
    <w:rsid w:val="007B168D"/>
    <w:rsid w:val="007B1A89"/>
    <w:rsid w:val="007B1A8C"/>
    <w:rsid w:val="007B21F2"/>
    <w:rsid w:val="007B22CE"/>
    <w:rsid w:val="007B23AA"/>
    <w:rsid w:val="007B2D13"/>
    <w:rsid w:val="007B300B"/>
    <w:rsid w:val="007B385C"/>
    <w:rsid w:val="007B4396"/>
    <w:rsid w:val="007B47A6"/>
    <w:rsid w:val="007B487E"/>
    <w:rsid w:val="007B5F58"/>
    <w:rsid w:val="007B6463"/>
    <w:rsid w:val="007B6B45"/>
    <w:rsid w:val="007B6F8F"/>
    <w:rsid w:val="007B7226"/>
    <w:rsid w:val="007B74A8"/>
    <w:rsid w:val="007B7F21"/>
    <w:rsid w:val="007C010E"/>
    <w:rsid w:val="007C04CC"/>
    <w:rsid w:val="007C0678"/>
    <w:rsid w:val="007C09BF"/>
    <w:rsid w:val="007C0E46"/>
    <w:rsid w:val="007C0EDB"/>
    <w:rsid w:val="007C18F7"/>
    <w:rsid w:val="007C2A4A"/>
    <w:rsid w:val="007C2CBE"/>
    <w:rsid w:val="007C34F5"/>
    <w:rsid w:val="007C3A20"/>
    <w:rsid w:val="007C4005"/>
    <w:rsid w:val="007C49C8"/>
    <w:rsid w:val="007C54E9"/>
    <w:rsid w:val="007C645F"/>
    <w:rsid w:val="007C6838"/>
    <w:rsid w:val="007C694A"/>
    <w:rsid w:val="007C6B87"/>
    <w:rsid w:val="007C716E"/>
    <w:rsid w:val="007C7522"/>
    <w:rsid w:val="007C7DC8"/>
    <w:rsid w:val="007D06BB"/>
    <w:rsid w:val="007D0FD5"/>
    <w:rsid w:val="007D11E5"/>
    <w:rsid w:val="007D3D4C"/>
    <w:rsid w:val="007D3F5D"/>
    <w:rsid w:val="007D47C0"/>
    <w:rsid w:val="007D4E79"/>
    <w:rsid w:val="007D565A"/>
    <w:rsid w:val="007D5C4E"/>
    <w:rsid w:val="007D5E39"/>
    <w:rsid w:val="007D658D"/>
    <w:rsid w:val="007D68AA"/>
    <w:rsid w:val="007D68E5"/>
    <w:rsid w:val="007D7C10"/>
    <w:rsid w:val="007E01B4"/>
    <w:rsid w:val="007E046C"/>
    <w:rsid w:val="007E09D2"/>
    <w:rsid w:val="007E0BED"/>
    <w:rsid w:val="007E0D1C"/>
    <w:rsid w:val="007E12AD"/>
    <w:rsid w:val="007E19AE"/>
    <w:rsid w:val="007E2FC8"/>
    <w:rsid w:val="007E3519"/>
    <w:rsid w:val="007E3736"/>
    <w:rsid w:val="007E38A8"/>
    <w:rsid w:val="007E3BF1"/>
    <w:rsid w:val="007E3E91"/>
    <w:rsid w:val="007E4038"/>
    <w:rsid w:val="007E40E3"/>
    <w:rsid w:val="007E4214"/>
    <w:rsid w:val="007E4460"/>
    <w:rsid w:val="007E5CB3"/>
    <w:rsid w:val="007E5D89"/>
    <w:rsid w:val="007E6088"/>
    <w:rsid w:val="007E66D4"/>
    <w:rsid w:val="007E6776"/>
    <w:rsid w:val="007E69C6"/>
    <w:rsid w:val="007E6BCA"/>
    <w:rsid w:val="007E6D36"/>
    <w:rsid w:val="007E6E27"/>
    <w:rsid w:val="007E70C2"/>
    <w:rsid w:val="007E7442"/>
    <w:rsid w:val="007E7A49"/>
    <w:rsid w:val="007F0398"/>
    <w:rsid w:val="007F0820"/>
    <w:rsid w:val="007F09D1"/>
    <w:rsid w:val="007F0CDB"/>
    <w:rsid w:val="007F0E68"/>
    <w:rsid w:val="007F106C"/>
    <w:rsid w:val="007F116E"/>
    <w:rsid w:val="007F1300"/>
    <w:rsid w:val="007F150B"/>
    <w:rsid w:val="007F15F7"/>
    <w:rsid w:val="007F19ED"/>
    <w:rsid w:val="007F1B4A"/>
    <w:rsid w:val="007F1D85"/>
    <w:rsid w:val="007F2363"/>
    <w:rsid w:val="007F2F4A"/>
    <w:rsid w:val="007F329E"/>
    <w:rsid w:val="007F3D1F"/>
    <w:rsid w:val="007F424A"/>
    <w:rsid w:val="007F42E2"/>
    <w:rsid w:val="007F45A7"/>
    <w:rsid w:val="007F460D"/>
    <w:rsid w:val="007F4671"/>
    <w:rsid w:val="007F5461"/>
    <w:rsid w:val="007F5712"/>
    <w:rsid w:val="007F6154"/>
    <w:rsid w:val="007F68DB"/>
    <w:rsid w:val="007F6913"/>
    <w:rsid w:val="007F6A5B"/>
    <w:rsid w:val="007F6C83"/>
    <w:rsid w:val="007F71FC"/>
    <w:rsid w:val="007F7B00"/>
    <w:rsid w:val="00800210"/>
    <w:rsid w:val="00801966"/>
    <w:rsid w:val="008019EB"/>
    <w:rsid w:val="008024DF"/>
    <w:rsid w:val="008026F3"/>
    <w:rsid w:val="0080276F"/>
    <w:rsid w:val="00802C7F"/>
    <w:rsid w:val="00802F14"/>
    <w:rsid w:val="008032C8"/>
    <w:rsid w:val="00803953"/>
    <w:rsid w:val="00805230"/>
    <w:rsid w:val="00805BD0"/>
    <w:rsid w:val="00805D57"/>
    <w:rsid w:val="00806580"/>
    <w:rsid w:val="00806C1C"/>
    <w:rsid w:val="00807550"/>
    <w:rsid w:val="00807681"/>
    <w:rsid w:val="008110EA"/>
    <w:rsid w:val="008117C1"/>
    <w:rsid w:val="00811B04"/>
    <w:rsid w:val="00811DFC"/>
    <w:rsid w:val="00811F33"/>
    <w:rsid w:val="00811F62"/>
    <w:rsid w:val="008122E9"/>
    <w:rsid w:val="008122FE"/>
    <w:rsid w:val="00812491"/>
    <w:rsid w:val="00812A47"/>
    <w:rsid w:val="00812FEC"/>
    <w:rsid w:val="0081354B"/>
    <w:rsid w:val="00813CFC"/>
    <w:rsid w:val="00813EE3"/>
    <w:rsid w:val="00814712"/>
    <w:rsid w:val="00814A46"/>
    <w:rsid w:val="00814B6C"/>
    <w:rsid w:val="00814DA3"/>
    <w:rsid w:val="00815372"/>
    <w:rsid w:val="0081568D"/>
    <w:rsid w:val="00815D93"/>
    <w:rsid w:val="00816169"/>
    <w:rsid w:val="0081731B"/>
    <w:rsid w:val="00817775"/>
    <w:rsid w:val="00817FDD"/>
    <w:rsid w:val="00820637"/>
    <w:rsid w:val="00820974"/>
    <w:rsid w:val="00820A42"/>
    <w:rsid w:val="00820B1D"/>
    <w:rsid w:val="00820CC2"/>
    <w:rsid w:val="00820CF1"/>
    <w:rsid w:val="00821322"/>
    <w:rsid w:val="00821FCD"/>
    <w:rsid w:val="00822244"/>
    <w:rsid w:val="00822572"/>
    <w:rsid w:val="008229C3"/>
    <w:rsid w:val="0082308D"/>
    <w:rsid w:val="0082337B"/>
    <w:rsid w:val="00823DDD"/>
    <w:rsid w:val="00823F91"/>
    <w:rsid w:val="008240C9"/>
    <w:rsid w:val="00824EDE"/>
    <w:rsid w:val="008257CA"/>
    <w:rsid w:val="008258EA"/>
    <w:rsid w:val="00825C69"/>
    <w:rsid w:val="00825F35"/>
    <w:rsid w:val="0082688F"/>
    <w:rsid w:val="00826A7F"/>
    <w:rsid w:val="00826C30"/>
    <w:rsid w:val="0082731F"/>
    <w:rsid w:val="0083007A"/>
    <w:rsid w:val="008301BA"/>
    <w:rsid w:val="00831289"/>
    <w:rsid w:val="00831315"/>
    <w:rsid w:val="00831DB0"/>
    <w:rsid w:val="008321DC"/>
    <w:rsid w:val="008323C3"/>
    <w:rsid w:val="00832623"/>
    <w:rsid w:val="00832A1A"/>
    <w:rsid w:val="0083317D"/>
    <w:rsid w:val="00833731"/>
    <w:rsid w:val="00833AA5"/>
    <w:rsid w:val="00833C71"/>
    <w:rsid w:val="00833D57"/>
    <w:rsid w:val="00833E2B"/>
    <w:rsid w:val="00833E92"/>
    <w:rsid w:val="008341EF"/>
    <w:rsid w:val="00834375"/>
    <w:rsid w:val="00835A88"/>
    <w:rsid w:val="008360CA"/>
    <w:rsid w:val="00836702"/>
    <w:rsid w:val="00836B3A"/>
    <w:rsid w:val="00837A7A"/>
    <w:rsid w:val="00837B63"/>
    <w:rsid w:val="00837E00"/>
    <w:rsid w:val="00837EBF"/>
    <w:rsid w:val="00840160"/>
    <w:rsid w:val="0084018B"/>
    <w:rsid w:val="00841734"/>
    <w:rsid w:val="008417E8"/>
    <w:rsid w:val="00841ED6"/>
    <w:rsid w:val="00842107"/>
    <w:rsid w:val="008433B1"/>
    <w:rsid w:val="00844459"/>
    <w:rsid w:val="008445D6"/>
    <w:rsid w:val="008449DA"/>
    <w:rsid w:val="00845299"/>
    <w:rsid w:val="008452D6"/>
    <w:rsid w:val="00845720"/>
    <w:rsid w:val="00845B59"/>
    <w:rsid w:val="00845B88"/>
    <w:rsid w:val="008463CE"/>
    <w:rsid w:val="008471A8"/>
    <w:rsid w:val="008471F7"/>
    <w:rsid w:val="0084731E"/>
    <w:rsid w:val="00847381"/>
    <w:rsid w:val="0084791F"/>
    <w:rsid w:val="00847EBA"/>
    <w:rsid w:val="00850484"/>
    <w:rsid w:val="008506F7"/>
    <w:rsid w:val="00850C0B"/>
    <w:rsid w:val="00850DB4"/>
    <w:rsid w:val="008510B4"/>
    <w:rsid w:val="00851135"/>
    <w:rsid w:val="008511EB"/>
    <w:rsid w:val="00851C7D"/>
    <w:rsid w:val="00851D4F"/>
    <w:rsid w:val="00852066"/>
    <w:rsid w:val="00852394"/>
    <w:rsid w:val="00852649"/>
    <w:rsid w:val="00852958"/>
    <w:rsid w:val="00852BE1"/>
    <w:rsid w:val="00852D3B"/>
    <w:rsid w:val="0085302E"/>
    <w:rsid w:val="00853155"/>
    <w:rsid w:val="008537B6"/>
    <w:rsid w:val="00853C24"/>
    <w:rsid w:val="00853F4A"/>
    <w:rsid w:val="00854D61"/>
    <w:rsid w:val="00854F20"/>
    <w:rsid w:val="00855120"/>
    <w:rsid w:val="00855D48"/>
    <w:rsid w:val="00855E7B"/>
    <w:rsid w:val="0085616B"/>
    <w:rsid w:val="00856479"/>
    <w:rsid w:val="008564E1"/>
    <w:rsid w:val="008565F4"/>
    <w:rsid w:val="00856704"/>
    <w:rsid w:val="00856DF4"/>
    <w:rsid w:val="00856E04"/>
    <w:rsid w:val="00857421"/>
    <w:rsid w:val="0085747E"/>
    <w:rsid w:val="00857574"/>
    <w:rsid w:val="00857A98"/>
    <w:rsid w:val="00860307"/>
    <w:rsid w:val="00860A54"/>
    <w:rsid w:val="00860CBE"/>
    <w:rsid w:val="00860D17"/>
    <w:rsid w:val="00861555"/>
    <w:rsid w:val="00861939"/>
    <w:rsid w:val="008620CC"/>
    <w:rsid w:val="0086240D"/>
    <w:rsid w:val="00862635"/>
    <w:rsid w:val="008626B4"/>
    <w:rsid w:val="00862AE6"/>
    <w:rsid w:val="00862FA1"/>
    <w:rsid w:val="0086356B"/>
    <w:rsid w:val="00863AE2"/>
    <w:rsid w:val="00863B98"/>
    <w:rsid w:val="00863CA1"/>
    <w:rsid w:val="00864153"/>
    <w:rsid w:val="00864212"/>
    <w:rsid w:val="00864B6D"/>
    <w:rsid w:val="00864B8A"/>
    <w:rsid w:val="00864BB5"/>
    <w:rsid w:val="00864D9E"/>
    <w:rsid w:val="00864EF2"/>
    <w:rsid w:val="00864F79"/>
    <w:rsid w:val="0086564E"/>
    <w:rsid w:val="00865AD0"/>
    <w:rsid w:val="00865DC5"/>
    <w:rsid w:val="00865F51"/>
    <w:rsid w:val="00865F67"/>
    <w:rsid w:val="00866187"/>
    <w:rsid w:val="00866D0E"/>
    <w:rsid w:val="00866D41"/>
    <w:rsid w:val="00867800"/>
    <w:rsid w:val="0087027C"/>
    <w:rsid w:val="00870368"/>
    <w:rsid w:val="00870AF9"/>
    <w:rsid w:val="008711AD"/>
    <w:rsid w:val="00871B01"/>
    <w:rsid w:val="00872479"/>
    <w:rsid w:val="00872A80"/>
    <w:rsid w:val="00872FE1"/>
    <w:rsid w:val="00873484"/>
    <w:rsid w:val="008737AC"/>
    <w:rsid w:val="00873C5C"/>
    <w:rsid w:val="00873CD1"/>
    <w:rsid w:val="00873CE4"/>
    <w:rsid w:val="008744EB"/>
    <w:rsid w:val="00874999"/>
    <w:rsid w:val="00874B78"/>
    <w:rsid w:val="00875495"/>
    <w:rsid w:val="008755B7"/>
    <w:rsid w:val="008758D4"/>
    <w:rsid w:val="00875E8A"/>
    <w:rsid w:val="0087620F"/>
    <w:rsid w:val="008763DF"/>
    <w:rsid w:val="008764FC"/>
    <w:rsid w:val="008768A7"/>
    <w:rsid w:val="00876C43"/>
    <w:rsid w:val="00876F19"/>
    <w:rsid w:val="008774A2"/>
    <w:rsid w:val="0087793F"/>
    <w:rsid w:val="00882021"/>
    <w:rsid w:val="008820A9"/>
    <w:rsid w:val="0088236C"/>
    <w:rsid w:val="0088372A"/>
    <w:rsid w:val="00883FD3"/>
    <w:rsid w:val="008843FD"/>
    <w:rsid w:val="00884DA5"/>
    <w:rsid w:val="00884F81"/>
    <w:rsid w:val="0088509F"/>
    <w:rsid w:val="00885180"/>
    <w:rsid w:val="00885711"/>
    <w:rsid w:val="0088581D"/>
    <w:rsid w:val="00885AB9"/>
    <w:rsid w:val="00885BC0"/>
    <w:rsid w:val="008865DE"/>
    <w:rsid w:val="008866D5"/>
    <w:rsid w:val="00886E5D"/>
    <w:rsid w:val="00887698"/>
    <w:rsid w:val="00887886"/>
    <w:rsid w:val="00887FF9"/>
    <w:rsid w:val="0089006A"/>
    <w:rsid w:val="008908C8"/>
    <w:rsid w:val="00890C36"/>
    <w:rsid w:val="00890DAF"/>
    <w:rsid w:val="00891BA4"/>
    <w:rsid w:val="00891C7F"/>
    <w:rsid w:val="00892542"/>
    <w:rsid w:val="00892637"/>
    <w:rsid w:val="008929C5"/>
    <w:rsid w:val="00892C13"/>
    <w:rsid w:val="008932EE"/>
    <w:rsid w:val="0089342E"/>
    <w:rsid w:val="00893C88"/>
    <w:rsid w:val="008941D2"/>
    <w:rsid w:val="008948A2"/>
    <w:rsid w:val="008952DC"/>
    <w:rsid w:val="00896379"/>
    <w:rsid w:val="00897021"/>
    <w:rsid w:val="00897865"/>
    <w:rsid w:val="00897967"/>
    <w:rsid w:val="00897CB1"/>
    <w:rsid w:val="00897D8F"/>
    <w:rsid w:val="008A00AA"/>
    <w:rsid w:val="008A0145"/>
    <w:rsid w:val="008A0B8A"/>
    <w:rsid w:val="008A26EF"/>
    <w:rsid w:val="008A26F5"/>
    <w:rsid w:val="008A287A"/>
    <w:rsid w:val="008A2DBF"/>
    <w:rsid w:val="008A4094"/>
    <w:rsid w:val="008A40F2"/>
    <w:rsid w:val="008A46A6"/>
    <w:rsid w:val="008A4B91"/>
    <w:rsid w:val="008A4F09"/>
    <w:rsid w:val="008A5705"/>
    <w:rsid w:val="008A58F8"/>
    <w:rsid w:val="008A600E"/>
    <w:rsid w:val="008A652F"/>
    <w:rsid w:val="008A65CF"/>
    <w:rsid w:val="008A6B97"/>
    <w:rsid w:val="008A6C99"/>
    <w:rsid w:val="008A7052"/>
    <w:rsid w:val="008A72B0"/>
    <w:rsid w:val="008A76FC"/>
    <w:rsid w:val="008A797E"/>
    <w:rsid w:val="008A7D09"/>
    <w:rsid w:val="008B0571"/>
    <w:rsid w:val="008B05D9"/>
    <w:rsid w:val="008B082A"/>
    <w:rsid w:val="008B0DF0"/>
    <w:rsid w:val="008B14CA"/>
    <w:rsid w:val="008B1566"/>
    <w:rsid w:val="008B173D"/>
    <w:rsid w:val="008B1C45"/>
    <w:rsid w:val="008B274C"/>
    <w:rsid w:val="008B39A0"/>
    <w:rsid w:val="008B39B8"/>
    <w:rsid w:val="008B3AA1"/>
    <w:rsid w:val="008B401F"/>
    <w:rsid w:val="008B4158"/>
    <w:rsid w:val="008B42AF"/>
    <w:rsid w:val="008B4402"/>
    <w:rsid w:val="008B455D"/>
    <w:rsid w:val="008B461E"/>
    <w:rsid w:val="008B464B"/>
    <w:rsid w:val="008B4934"/>
    <w:rsid w:val="008B4D64"/>
    <w:rsid w:val="008B4FA2"/>
    <w:rsid w:val="008B54FE"/>
    <w:rsid w:val="008B62FA"/>
    <w:rsid w:val="008B632D"/>
    <w:rsid w:val="008B679E"/>
    <w:rsid w:val="008B67A1"/>
    <w:rsid w:val="008B6969"/>
    <w:rsid w:val="008B6EE9"/>
    <w:rsid w:val="008B7AC2"/>
    <w:rsid w:val="008C0042"/>
    <w:rsid w:val="008C00FD"/>
    <w:rsid w:val="008C0583"/>
    <w:rsid w:val="008C06FF"/>
    <w:rsid w:val="008C0B8F"/>
    <w:rsid w:val="008C241B"/>
    <w:rsid w:val="008C2721"/>
    <w:rsid w:val="008C2F8B"/>
    <w:rsid w:val="008C348B"/>
    <w:rsid w:val="008C3B54"/>
    <w:rsid w:val="008C3C6D"/>
    <w:rsid w:val="008C3F3C"/>
    <w:rsid w:val="008C41B5"/>
    <w:rsid w:val="008C4619"/>
    <w:rsid w:val="008C53BD"/>
    <w:rsid w:val="008C5817"/>
    <w:rsid w:val="008C5A9F"/>
    <w:rsid w:val="008C5EC1"/>
    <w:rsid w:val="008C5F33"/>
    <w:rsid w:val="008C6127"/>
    <w:rsid w:val="008C6187"/>
    <w:rsid w:val="008C62A5"/>
    <w:rsid w:val="008C6403"/>
    <w:rsid w:val="008C67F8"/>
    <w:rsid w:val="008C6C4F"/>
    <w:rsid w:val="008C6FF5"/>
    <w:rsid w:val="008C749F"/>
    <w:rsid w:val="008C7AC7"/>
    <w:rsid w:val="008D016D"/>
    <w:rsid w:val="008D02F6"/>
    <w:rsid w:val="008D05CC"/>
    <w:rsid w:val="008D0757"/>
    <w:rsid w:val="008D1657"/>
    <w:rsid w:val="008D19E4"/>
    <w:rsid w:val="008D1A0F"/>
    <w:rsid w:val="008D1B24"/>
    <w:rsid w:val="008D22C0"/>
    <w:rsid w:val="008D26B4"/>
    <w:rsid w:val="008D292F"/>
    <w:rsid w:val="008D38B5"/>
    <w:rsid w:val="008D3945"/>
    <w:rsid w:val="008D3E37"/>
    <w:rsid w:val="008D41F9"/>
    <w:rsid w:val="008D42B7"/>
    <w:rsid w:val="008D47A6"/>
    <w:rsid w:val="008D4D8D"/>
    <w:rsid w:val="008D4E84"/>
    <w:rsid w:val="008D5A08"/>
    <w:rsid w:val="008D5DE0"/>
    <w:rsid w:val="008D5EB9"/>
    <w:rsid w:val="008D723D"/>
    <w:rsid w:val="008D774F"/>
    <w:rsid w:val="008E09B6"/>
    <w:rsid w:val="008E1727"/>
    <w:rsid w:val="008E17AC"/>
    <w:rsid w:val="008E1BAA"/>
    <w:rsid w:val="008E1C4E"/>
    <w:rsid w:val="008E1E06"/>
    <w:rsid w:val="008E2059"/>
    <w:rsid w:val="008E21AB"/>
    <w:rsid w:val="008E2A26"/>
    <w:rsid w:val="008E2CEE"/>
    <w:rsid w:val="008E38D7"/>
    <w:rsid w:val="008E3C8B"/>
    <w:rsid w:val="008E4372"/>
    <w:rsid w:val="008E4593"/>
    <w:rsid w:val="008E54DE"/>
    <w:rsid w:val="008E55B7"/>
    <w:rsid w:val="008E5913"/>
    <w:rsid w:val="008E6150"/>
    <w:rsid w:val="008E6FF8"/>
    <w:rsid w:val="008E737E"/>
    <w:rsid w:val="008E7800"/>
    <w:rsid w:val="008E7AA9"/>
    <w:rsid w:val="008E7AF5"/>
    <w:rsid w:val="008E7C9A"/>
    <w:rsid w:val="008E7D9C"/>
    <w:rsid w:val="008F14DD"/>
    <w:rsid w:val="008F1622"/>
    <w:rsid w:val="008F1CDC"/>
    <w:rsid w:val="008F22EA"/>
    <w:rsid w:val="008F275B"/>
    <w:rsid w:val="008F2781"/>
    <w:rsid w:val="008F2905"/>
    <w:rsid w:val="008F3111"/>
    <w:rsid w:val="008F3253"/>
    <w:rsid w:val="008F367E"/>
    <w:rsid w:val="008F3694"/>
    <w:rsid w:val="008F369D"/>
    <w:rsid w:val="008F3785"/>
    <w:rsid w:val="008F3CEF"/>
    <w:rsid w:val="008F4405"/>
    <w:rsid w:val="008F528C"/>
    <w:rsid w:val="008F5BAA"/>
    <w:rsid w:val="008F5C29"/>
    <w:rsid w:val="008F5F34"/>
    <w:rsid w:val="008F62CA"/>
    <w:rsid w:val="008F6951"/>
    <w:rsid w:val="008F6A1C"/>
    <w:rsid w:val="008F6D61"/>
    <w:rsid w:val="008F6E30"/>
    <w:rsid w:val="008F75BC"/>
    <w:rsid w:val="008F7747"/>
    <w:rsid w:val="008F7938"/>
    <w:rsid w:val="008F7DC3"/>
    <w:rsid w:val="0090013F"/>
    <w:rsid w:val="0090065B"/>
    <w:rsid w:val="00900679"/>
    <w:rsid w:val="009012F8"/>
    <w:rsid w:val="0090133F"/>
    <w:rsid w:val="00901E99"/>
    <w:rsid w:val="00901F68"/>
    <w:rsid w:val="009022E1"/>
    <w:rsid w:val="00902878"/>
    <w:rsid w:val="0090386F"/>
    <w:rsid w:val="00903D6D"/>
    <w:rsid w:val="0090403B"/>
    <w:rsid w:val="00904E5C"/>
    <w:rsid w:val="0090525E"/>
    <w:rsid w:val="0090566E"/>
    <w:rsid w:val="009058AF"/>
    <w:rsid w:val="00905BF4"/>
    <w:rsid w:val="009062EA"/>
    <w:rsid w:val="0090655B"/>
    <w:rsid w:val="00906AD4"/>
    <w:rsid w:val="00906EA5"/>
    <w:rsid w:val="00906F0E"/>
    <w:rsid w:val="0090739D"/>
    <w:rsid w:val="009077AE"/>
    <w:rsid w:val="00907C87"/>
    <w:rsid w:val="00911538"/>
    <w:rsid w:val="00911573"/>
    <w:rsid w:val="00911633"/>
    <w:rsid w:val="00911AB7"/>
    <w:rsid w:val="00911DA1"/>
    <w:rsid w:val="00912365"/>
    <w:rsid w:val="009123F5"/>
    <w:rsid w:val="0091240C"/>
    <w:rsid w:val="0091240F"/>
    <w:rsid w:val="009124EB"/>
    <w:rsid w:val="00912C12"/>
    <w:rsid w:val="00912DC4"/>
    <w:rsid w:val="009133C7"/>
    <w:rsid w:val="009134BF"/>
    <w:rsid w:val="00913736"/>
    <w:rsid w:val="00913AFB"/>
    <w:rsid w:val="00913BE4"/>
    <w:rsid w:val="00913EB0"/>
    <w:rsid w:val="00913F05"/>
    <w:rsid w:val="00913FCC"/>
    <w:rsid w:val="00914038"/>
    <w:rsid w:val="009144F1"/>
    <w:rsid w:val="00914AC7"/>
    <w:rsid w:val="00914AD8"/>
    <w:rsid w:val="00915129"/>
    <w:rsid w:val="009151F2"/>
    <w:rsid w:val="00916177"/>
    <w:rsid w:val="009162C8"/>
    <w:rsid w:val="00916E00"/>
    <w:rsid w:val="00916F63"/>
    <w:rsid w:val="009173D4"/>
    <w:rsid w:val="00917655"/>
    <w:rsid w:val="00917A01"/>
    <w:rsid w:val="00917B79"/>
    <w:rsid w:val="00920A26"/>
    <w:rsid w:val="00921669"/>
    <w:rsid w:val="00921707"/>
    <w:rsid w:val="009219CA"/>
    <w:rsid w:val="00921E13"/>
    <w:rsid w:val="00921FE7"/>
    <w:rsid w:val="009220BD"/>
    <w:rsid w:val="0092233A"/>
    <w:rsid w:val="00922D41"/>
    <w:rsid w:val="00923F25"/>
    <w:rsid w:val="00924055"/>
    <w:rsid w:val="009244E0"/>
    <w:rsid w:val="00924717"/>
    <w:rsid w:val="00925862"/>
    <w:rsid w:val="00926205"/>
    <w:rsid w:val="00926256"/>
    <w:rsid w:val="009262BD"/>
    <w:rsid w:val="00926B8A"/>
    <w:rsid w:val="00926BC1"/>
    <w:rsid w:val="00926E74"/>
    <w:rsid w:val="00926ECD"/>
    <w:rsid w:val="009274A7"/>
    <w:rsid w:val="00927720"/>
    <w:rsid w:val="00927991"/>
    <w:rsid w:val="00927B63"/>
    <w:rsid w:val="00927E37"/>
    <w:rsid w:val="00927E9B"/>
    <w:rsid w:val="0093185B"/>
    <w:rsid w:val="00931BEE"/>
    <w:rsid w:val="00931D63"/>
    <w:rsid w:val="009320D6"/>
    <w:rsid w:val="009325B4"/>
    <w:rsid w:val="00932C0B"/>
    <w:rsid w:val="0093307C"/>
    <w:rsid w:val="0093325C"/>
    <w:rsid w:val="0093386C"/>
    <w:rsid w:val="00933A0F"/>
    <w:rsid w:val="00933A1F"/>
    <w:rsid w:val="00933A92"/>
    <w:rsid w:val="00933F59"/>
    <w:rsid w:val="009344F4"/>
    <w:rsid w:val="00934660"/>
    <w:rsid w:val="009348B4"/>
    <w:rsid w:val="00934D99"/>
    <w:rsid w:val="009350D5"/>
    <w:rsid w:val="00935A5C"/>
    <w:rsid w:val="00935B15"/>
    <w:rsid w:val="00935C0E"/>
    <w:rsid w:val="00935D6C"/>
    <w:rsid w:val="00935E50"/>
    <w:rsid w:val="009370CB"/>
    <w:rsid w:val="009374C7"/>
    <w:rsid w:val="009376B2"/>
    <w:rsid w:val="00937E8D"/>
    <w:rsid w:val="00937F6B"/>
    <w:rsid w:val="00940922"/>
    <w:rsid w:val="00940C98"/>
    <w:rsid w:val="00940F37"/>
    <w:rsid w:val="009413A7"/>
    <w:rsid w:val="00941442"/>
    <w:rsid w:val="00941880"/>
    <w:rsid w:val="00941939"/>
    <w:rsid w:val="00941C7D"/>
    <w:rsid w:val="00941DBA"/>
    <w:rsid w:val="009421CD"/>
    <w:rsid w:val="009425E1"/>
    <w:rsid w:val="009429E5"/>
    <w:rsid w:val="00942AC0"/>
    <w:rsid w:val="00943575"/>
    <w:rsid w:val="009435BA"/>
    <w:rsid w:val="009437E2"/>
    <w:rsid w:val="00943F98"/>
    <w:rsid w:val="00943FD2"/>
    <w:rsid w:val="00944786"/>
    <w:rsid w:val="009452D4"/>
    <w:rsid w:val="00945991"/>
    <w:rsid w:val="0094635E"/>
    <w:rsid w:val="00947551"/>
    <w:rsid w:val="00947652"/>
    <w:rsid w:val="00947682"/>
    <w:rsid w:val="00947BC5"/>
    <w:rsid w:val="0095048A"/>
    <w:rsid w:val="009506D0"/>
    <w:rsid w:val="00950A26"/>
    <w:rsid w:val="00951238"/>
    <w:rsid w:val="009524A4"/>
    <w:rsid w:val="009524E3"/>
    <w:rsid w:val="00952F83"/>
    <w:rsid w:val="00953879"/>
    <w:rsid w:val="00953BC4"/>
    <w:rsid w:val="00954596"/>
    <w:rsid w:val="009548DA"/>
    <w:rsid w:val="00954A83"/>
    <w:rsid w:val="00954FF6"/>
    <w:rsid w:val="0095555C"/>
    <w:rsid w:val="00955F52"/>
    <w:rsid w:val="0095620E"/>
    <w:rsid w:val="0095668E"/>
    <w:rsid w:val="00956971"/>
    <w:rsid w:val="00956E4C"/>
    <w:rsid w:val="00957342"/>
    <w:rsid w:val="00957443"/>
    <w:rsid w:val="009574EA"/>
    <w:rsid w:val="00957B0D"/>
    <w:rsid w:val="00957C52"/>
    <w:rsid w:val="00957E90"/>
    <w:rsid w:val="009608C9"/>
    <w:rsid w:val="00960C4D"/>
    <w:rsid w:val="00961004"/>
    <w:rsid w:val="0096135D"/>
    <w:rsid w:val="00961F4B"/>
    <w:rsid w:val="00961F91"/>
    <w:rsid w:val="00962071"/>
    <w:rsid w:val="00962DA5"/>
    <w:rsid w:val="009643F1"/>
    <w:rsid w:val="00964507"/>
    <w:rsid w:val="009647B5"/>
    <w:rsid w:val="00965114"/>
    <w:rsid w:val="009656E0"/>
    <w:rsid w:val="00966170"/>
    <w:rsid w:val="00966AD3"/>
    <w:rsid w:val="00966ADA"/>
    <w:rsid w:val="00967023"/>
    <w:rsid w:val="0096716A"/>
    <w:rsid w:val="00967381"/>
    <w:rsid w:val="00967433"/>
    <w:rsid w:val="0096764B"/>
    <w:rsid w:val="00967D29"/>
    <w:rsid w:val="00970217"/>
    <w:rsid w:val="00971299"/>
    <w:rsid w:val="009719BF"/>
    <w:rsid w:val="00971CB5"/>
    <w:rsid w:val="00971D5A"/>
    <w:rsid w:val="00971E2D"/>
    <w:rsid w:val="0097268E"/>
    <w:rsid w:val="00973B7B"/>
    <w:rsid w:val="00973E6B"/>
    <w:rsid w:val="00974195"/>
    <w:rsid w:val="0097473C"/>
    <w:rsid w:val="00975623"/>
    <w:rsid w:val="00975C47"/>
    <w:rsid w:val="0097602E"/>
    <w:rsid w:val="009768CF"/>
    <w:rsid w:val="00976D31"/>
    <w:rsid w:val="00976E7B"/>
    <w:rsid w:val="00976F03"/>
    <w:rsid w:val="00977323"/>
    <w:rsid w:val="009774D3"/>
    <w:rsid w:val="00977524"/>
    <w:rsid w:val="00977B7C"/>
    <w:rsid w:val="00977F14"/>
    <w:rsid w:val="00980419"/>
    <w:rsid w:val="0098110A"/>
    <w:rsid w:val="00981309"/>
    <w:rsid w:val="0098216B"/>
    <w:rsid w:val="0098233A"/>
    <w:rsid w:val="00982C5A"/>
    <w:rsid w:val="009830C5"/>
    <w:rsid w:val="0098350C"/>
    <w:rsid w:val="00983547"/>
    <w:rsid w:val="00983878"/>
    <w:rsid w:val="009839B4"/>
    <w:rsid w:val="00983AB2"/>
    <w:rsid w:val="00983E21"/>
    <w:rsid w:val="009844C8"/>
    <w:rsid w:val="00984711"/>
    <w:rsid w:val="00985837"/>
    <w:rsid w:val="00985F28"/>
    <w:rsid w:val="00986BB8"/>
    <w:rsid w:val="00986BE2"/>
    <w:rsid w:val="00990824"/>
    <w:rsid w:val="00990B98"/>
    <w:rsid w:val="00990E55"/>
    <w:rsid w:val="0099164A"/>
    <w:rsid w:val="00991815"/>
    <w:rsid w:val="00991A73"/>
    <w:rsid w:val="00991F0B"/>
    <w:rsid w:val="0099313D"/>
    <w:rsid w:val="009931B7"/>
    <w:rsid w:val="00993484"/>
    <w:rsid w:val="00993C89"/>
    <w:rsid w:val="00995E4D"/>
    <w:rsid w:val="009969D7"/>
    <w:rsid w:val="009969DF"/>
    <w:rsid w:val="00996AC0"/>
    <w:rsid w:val="009A08EC"/>
    <w:rsid w:val="009A0A98"/>
    <w:rsid w:val="009A0CAC"/>
    <w:rsid w:val="009A0D3B"/>
    <w:rsid w:val="009A1791"/>
    <w:rsid w:val="009A1822"/>
    <w:rsid w:val="009A19C3"/>
    <w:rsid w:val="009A1E81"/>
    <w:rsid w:val="009A1EC9"/>
    <w:rsid w:val="009A2162"/>
    <w:rsid w:val="009A2667"/>
    <w:rsid w:val="009A2751"/>
    <w:rsid w:val="009A288F"/>
    <w:rsid w:val="009A34F4"/>
    <w:rsid w:val="009A35F2"/>
    <w:rsid w:val="009A36D4"/>
    <w:rsid w:val="009A3CBE"/>
    <w:rsid w:val="009A3F92"/>
    <w:rsid w:val="009A3FCE"/>
    <w:rsid w:val="009A4B07"/>
    <w:rsid w:val="009A4C77"/>
    <w:rsid w:val="009A4C80"/>
    <w:rsid w:val="009A54D0"/>
    <w:rsid w:val="009A5BEC"/>
    <w:rsid w:val="009A5D4A"/>
    <w:rsid w:val="009A6202"/>
    <w:rsid w:val="009A652C"/>
    <w:rsid w:val="009A682D"/>
    <w:rsid w:val="009A734C"/>
    <w:rsid w:val="009A73D9"/>
    <w:rsid w:val="009A7683"/>
    <w:rsid w:val="009A7923"/>
    <w:rsid w:val="009A7927"/>
    <w:rsid w:val="009A7BBB"/>
    <w:rsid w:val="009A7DB3"/>
    <w:rsid w:val="009B1062"/>
    <w:rsid w:val="009B1374"/>
    <w:rsid w:val="009B1376"/>
    <w:rsid w:val="009B14B1"/>
    <w:rsid w:val="009B1503"/>
    <w:rsid w:val="009B211E"/>
    <w:rsid w:val="009B2593"/>
    <w:rsid w:val="009B401B"/>
    <w:rsid w:val="009B43EE"/>
    <w:rsid w:val="009B49E1"/>
    <w:rsid w:val="009B568F"/>
    <w:rsid w:val="009B6BCF"/>
    <w:rsid w:val="009B6D5E"/>
    <w:rsid w:val="009B6DAA"/>
    <w:rsid w:val="009B73D8"/>
    <w:rsid w:val="009B797A"/>
    <w:rsid w:val="009C0076"/>
    <w:rsid w:val="009C0432"/>
    <w:rsid w:val="009C0A55"/>
    <w:rsid w:val="009C2113"/>
    <w:rsid w:val="009C268E"/>
    <w:rsid w:val="009C2FCF"/>
    <w:rsid w:val="009C3A13"/>
    <w:rsid w:val="009C3E9A"/>
    <w:rsid w:val="009C3F27"/>
    <w:rsid w:val="009C3F93"/>
    <w:rsid w:val="009C4B66"/>
    <w:rsid w:val="009C52AC"/>
    <w:rsid w:val="009C5429"/>
    <w:rsid w:val="009C562F"/>
    <w:rsid w:val="009C5758"/>
    <w:rsid w:val="009C5ADF"/>
    <w:rsid w:val="009C5C3F"/>
    <w:rsid w:val="009C5D2C"/>
    <w:rsid w:val="009C604A"/>
    <w:rsid w:val="009C6197"/>
    <w:rsid w:val="009C64E6"/>
    <w:rsid w:val="009C666C"/>
    <w:rsid w:val="009C66E8"/>
    <w:rsid w:val="009C6B13"/>
    <w:rsid w:val="009C74C3"/>
    <w:rsid w:val="009C7639"/>
    <w:rsid w:val="009C7BBD"/>
    <w:rsid w:val="009C7E2B"/>
    <w:rsid w:val="009D04FE"/>
    <w:rsid w:val="009D10B6"/>
    <w:rsid w:val="009D10C1"/>
    <w:rsid w:val="009D14CD"/>
    <w:rsid w:val="009D1879"/>
    <w:rsid w:val="009D1FA5"/>
    <w:rsid w:val="009D204D"/>
    <w:rsid w:val="009D2866"/>
    <w:rsid w:val="009D2DE9"/>
    <w:rsid w:val="009D2E3A"/>
    <w:rsid w:val="009D327E"/>
    <w:rsid w:val="009D3781"/>
    <w:rsid w:val="009D385C"/>
    <w:rsid w:val="009D3925"/>
    <w:rsid w:val="009D3B7E"/>
    <w:rsid w:val="009D3FEE"/>
    <w:rsid w:val="009D4CA1"/>
    <w:rsid w:val="009D4D50"/>
    <w:rsid w:val="009D4E8E"/>
    <w:rsid w:val="009D4F1B"/>
    <w:rsid w:val="009D5E08"/>
    <w:rsid w:val="009D63AB"/>
    <w:rsid w:val="009D63D5"/>
    <w:rsid w:val="009D657A"/>
    <w:rsid w:val="009D6FB2"/>
    <w:rsid w:val="009D751C"/>
    <w:rsid w:val="009D7E24"/>
    <w:rsid w:val="009E0473"/>
    <w:rsid w:val="009E0977"/>
    <w:rsid w:val="009E0B95"/>
    <w:rsid w:val="009E0DD2"/>
    <w:rsid w:val="009E1339"/>
    <w:rsid w:val="009E1612"/>
    <w:rsid w:val="009E17D3"/>
    <w:rsid w:val="009E1B14"/>
    <w:rsid w:val="009E1C92"/>
    <w:rsid w:val="009E1EF3"/>
    <w:rsid w:val="009E24D6"/>
    <w:rsid w:val="009E2B91"/>
    <w:rsid w:val="009E2CDB"/>
    <w:rsid w:val="009E3D9A"/>
    <w:rsid w:val="009E49FE"/>
    <w:rsid w:val="009E4D7C"/>
    <w:rsid w:val="009E5EB6"/>
    <w:rsid w:val="009E6B4C"/>
    <w:rsid w:val="009E6BEF"/>
    <w:rsid w:val="009E7562"/>
    <w:rsid w:val="009E77A8"/>
    <w:rsid w:val="009E7E41"/>
    <w:rsid w:val="009F0013"/>
    <w:rsid w:val="009F068F"/>
    <w:rsid w:val="009F06F3"/>
    <w:rsid w:val="009F0D73"/>
    <w:rsid w:val="009F175E"/>
    <w:rsid w:val="009F18E6"/>
    <w:rsid w:val="009F22CF"/>
    <w:rsid w:val="009F2B5D"/>
    <w:rsid w:val="009F313A"/>
    <w:rsid w:val="009F374A"/>
    <w:rsid w:val="009F3BF0"/>
    <w:rsid w:val="009F4140"/>
    <w:rsid w:val="009F4AEC"/>
    <w:rsid w:val="009F5023"/>
    <w:rsid w:val="009F52DA"/>
    <w:rsid w:val="009F5914"/>
    <w:rsid w:val="009F59B9"/>
    <w:rsid w:val="009F59F8"/>
    <w:rsid w:val="009F5C7C"/>
    <w:rsid w:val="009F5E62"/>
    <w:rsid w:val="009F6665"/>
    <w:rsid w:val="009F6A5F"/>
    <w:rsid w:val="009F6E9F"/>
    <w:rsid w:val="009F72CD"/>
    <w:rsid w:val="009F77CD"/>
    <w:rsid w:val="00A000B3"/>
    <w:rsid w:val="00A009D8"/>
    <w:rsid w:val="00A00F69"/>
    <w:rsid w:val="00A00FC1"/>
    <w:rsid w:val="00A0104C"/>
    <w:rsid w:val="00A017D5"/>
    <w:rsid w:val="00A01A18"/>
    <w:rsid w:val="00A01E63"/>
    <w:rsid w:val="00A0201D"/>
    <w:rsid w:val="00A024BB"/>
    <w:rsid w:val="00A02543"/>
    <w:rsid w:val="00A029B4"/>
    <w:rsid w:val="00A02CF7"/>
    <w:rsid w:val="00A02DE1"/>
    <w:rsid w:val="00A02E58"/>
    <w:rsid w:val="00A03337"/>
    <w:rsid w:val="00A03768"/>
    <w:rsid w:val="00A03BBF"/>
    <w:rsid w:val="00A043CF"/>
    <w:rsid w:val="00A05263"/>
    <w:rsid w:val="00A05325"/>
    <w:rsid w:val="00A054D9"/>
    <w:rsid w:val="00A058E9"/>
    <w:rsid w:val="00A05C3F"/>
    <w:rsid w:val="00A065B7"/>
    <w:rsid w:val="00A070DD"/>
    <w:rsid w:val="00A0714D"/>
    <w:rsid w:val="00A0718F"/>
    <w:rsid w:val="00A07F7A"/>
    <w:rsid w:val="00A10727"/>
    <w:rsid w:val="00A10CCC"/>
    <w:rsid w:val="00A10D81"/>
    <w:rsid w:val="00A112D1"/>
    <w:rsid w:val="00A11D4F"/>
    <w:rsid w:val="00A12429"/>
    <w:rsid w:val="00A1245A"/>
    <w:rsid w:val="00A12611"/>
    <w:rsid w:val="00A1264F"/>
    <w:rsid w:val="00A1275C"/>
    <w:rsid w:val="00A12A42"/>
    <w:rsid w:val="00A13484"/>
    <w:rsid w:val="00A13A42"/>
    <w:rsid w:val="00A13D60"/>
    <w:rsid w:val="00A13F01"/>
    <w:rsid w:val="00A1414D"/>
    <w:rsid w:val="00A1461A"/>
    <w:rsid w:val="00A14D85"/>
    <w:rsid w:val="00A14EC3"/>
    <w:rsid w:val="00A1551D"/>
    <w:rsid w:val="00A155D8"/>
    <w:rsid w:val="00A155EE"/>
    <w:rsid w:val="00A15CBD"/>
    <w:rsid w:val="00A16393"/>
    <w:rsid w:val="00A16B8E"/>
    <w:rsid w:val="00A16E5D"/>
    <w:rsid w:val="00A1738E"/>
    <w:rsid w:val="00A1756C"/>
    <w:rsid w:val="00A20168"/>
    <w:rsid w:val="00A20326"/>
    <w:rsid w:val="00A2044D"/>
    <w:rsid w:val="00A207BE"/>
    <w:rsid w:val="00A20BA3"/>
    <w:rsid w:val="00A20DDA"/>
    <w:rsid w:val="00A21255"/>
    <w:rsid w:val="00A215A5"/>
    <w:rsid w:val="00A21B81"/>
    <w:rsid w:val="00A2357B"/>
    <w:rsid w:val="00A239A6"/>
    <w:rsid w:val="00A23E5A"/>
    <w:rsid w:val="00A24061"/>
    <w:rsid w:val="00A24490"/>
    <w:rsid w:val="00A245FD"/>
    <w:rsid w:val="00A247B7"/>
    <w:rsid w:val="00A24D09"/>
    <w:rsid w:val="00A2595A"/>
    <w:rsid w:val="00A266F1"/>
    <w:rsid w:val="00A267EC"/>
    <w:rsid w:val="00A26942"/>
    <w:rsid w:val="00A26AA9"/>
    <w:rsid w:val="00A26B80"/>
    <w:rsid w:val="00A26E43"/>
    <w:rsid w:val="00A27323"/>
    <w:rsid w:val="00A27399"/>
    <w:rsid w:val="00A27747"/>
    <w:rsid w:val="00A2774E"/>
    <w:rsid w:val="00A27753"/>
    <w:rsid w:val="00A27BC5"/>
    <w:rsid w:val="00A30044"/>
    <w:rsid w:val="00A30230"/>
    <w:rsid w:val="00A30AAF"/>
    <w:rsid w:val="00A33218"/>
    <w:rsid w:val="00A332E0"/>
    <w:rsid w:val="00A3355C"/>
    <w:rsid w:val="00A33651"/>
    <w:rsid w:val="00A33727"/>
    <w:rsid w:val="00A337C6"/>
    <w:rsid w:val="00A33E2A"/>
    <w:rsid w:val="00A34027"/>
    <w:rsid w:val="00A34125"/>
    <w:rsid w:val="00A34A08"/>
    <w:rsid w:val="00A35435"/>
    <w:rsid w:val="00A35C21"/>
    <w:rsid w:val="00A365CD"/>
    <w:rsid w:val="00A37284"/>
    <w:rsid w:val="00A37493"/>
    <w:rsid w:val="00A37A7B"/>
    <w:rsid w:val="00A40245"/>
    <w:rsid w:val="00A40748"/>
    <w:rsid w:val="00A408AA"/>
    <w:rsid w:val="00A41274"/>
    <w:rsid w:val="00A413FE"/>
    <w:rsid w:val="00A4173A"/>
    <w:rsid w:val="00A419B4"/>
    <w:rsid w:val="00A41AED"/>
    <w:rsid w:val="00A41BA2"/>
    <w:rsid w:val="00A41CD4"/>
    <w:rsid w:val="00A41DE0"/>
    <w:rsid w:val="00A424B3"/>
    <w:rsid w:val="00A429C7"/>
    <w:rsid w:val="00A42E76"/>
    <w:rsid w:val="00A432AD"/>
    <w:rsid w:val="00A43E34"/>
    <w:rsid w:val="00A44385"/>
    <w:rsid w:val="00A444FB"/>
    <w:rsid w:val="00A44519"/>
    <w:rsid w:val="00A44693"/>
    <w:rsid w:val="00A44DED"/>
    <w:rsid w:val="00A44EB9"/>
    <w:rsid w:val="00A44F5F"/>
    <w:rsid w:val="00A45418"/>
    <w:rsid w:val="00A45E34"/>
    <w:rsid w:val="00A45FFB"/>
    <w:rsid w:val="00A46473"/>
    <w:rsid w:val="00A47C3D"/>
    <w:rsid w:val="00A50460"/>
    <w:rsid w:val="00A50697"/>
    <w:rsid w:val="00A50832"/>
    <w:rsid w:val="00A50845"/>
    <w:rsid w:val="00A50B38"/>
    <w:rsid w:val="00A50CEE"/>
    <w:rsid w:val="00A51009"/>
    <w:rsid w:val="00A5102E"/>
    <w:rsid w:val="00A5126B"/>
    <w:rsid w:val="00A51EC0"/>
    <w:rsid w:val="00A52075"/>
    <w:rsid w:val="00A524E5"/>
    <w:rsid w:val="00A5318E"/>
    <w:rsid w:val="00A53327"/>
    <w:rsid w:val="00A53498"/>
    <w:rsid w:val="00A5357B"/>
    <w:rsid w:val="00A53A71"/>
    <w:rsid w:val="00A53B7D"/>
    <w:rsid w:val="00A53D7F"/>
    <w:rsid w:val="00A543B8"/>
    <w:rsid w:val="00A544AE"/>
    <w:rsid w:val="00A55009"/>
    <w:rsid w:val="00A553BE"/>
    <w:rsid w:val="00A5574D"/>
    <w:rsid w:val="00A55B15"/>
    <w:rsid w:val="00A561C8"/>
    <w:rsid w:val="00A5646A"/>
    <w:rsid w:val="00A56812"/>
    <w:rsid w:val="00A56944"/>
    <w:rsid w:val="00A5709E"/>
    <w:rsid w:val="00A5725D"/>
    <w:rsid w:val="00A5728D"/>
    <w:rsid w:val="00A57550"/>
    <w:rsid w:val="00A57AA0"/>
    <w:rsid w:val="00A57B60"/>
    <w:rsid w:val="00A57FFD"/>
    <w:rsid w:val="00A606B4"/>
    <w:rsid w:val="00A60C14"/>
    <w:rsid w:val="00A60EEF"/>
    <w:rsid w:val="00A612B8"/>
    <w:rsid w:val="00A61476"/>
    <w:rsid w:val="00A61DB3"/>
    <w:rsid w:val="00A620C7"/>
    <w:rsid w:val="00A624ED"/>
    <w:rsid w:val="00A630BE"/>
    <w:rsid w:val="00A6321C"/>
    <w:rsid w:val="00A63338"/>
    <w:rsid w:val="00A63973"/>
    <w:rsid w:val="00A63A63"/>
    <w:rsid w:val="00A63BF0"/>
    <w:rsid w:val="00A643B8"/>
    <w:rsid w:val="00A64464"/>
    <w:rsid w:val="00A6463B"/>
    <w:rsid w:val="00A64BAB"/>
    <w:rsid w:val="00A64BD6"/>
    <w:rsid w:val="00A65A47"/>
    <w:rsid w:val="00A65A84"/>
    <w:rsid w:val="00A66093"/>
    <w:rsid w:val="00A66D40"/>
    <w:rsid w:val="00A67230"/>
    <w:rsid w:val="00A67907"/>
    <w:rsid w:val="00A679E2"/>
    <w:rsid w:val="00A70028"/>
    <w:rsid w:val="00A70C0E"/>
    <w:rsid w:val="00A70D9B"/>
    <w:rsid w:val="00A731E6"/>
    <w:rsid w:val="00A7323F"/>
    <w:rsid w:val="00A73240"/>
    <w:rsid w:val="00A734AC"/>
    <w:rsid w:val="00A73611"/>
    <w:rsid w:val="00A73DE4"/>
    <w:rsid w:val="00A73FF5"/>
    <w:rsid w:val="00A742E7"/>
    <w:rsid w:val="00A74EF8"/>
    <w:rsid w:val="00A76698"/>
    <w:rsid w:val="00A76AEB"/>
    <w:rsid w:val="00A773AD"/>
    <w:rsid w:val="00A77653"/>
    <w:rsid w:val="00A77707"/>
    <w:rsid w:val="00A803DD"/>
    <w:rsid w:val="00A80743"/>
    <w:rsid w:val="00A80A4D"/>
    <w:rsid w:val="00A80A95"/>
    <w:rsid w:val="00A80D0D"/>
    <w:rsid w:val="00A811CC"/>
    <w:rsid w:val="00A82169"/>
    <w:rsid w:val="00A82939"/>
    <w:rsid w:val="00A829A0"/>
    <w:rsid w:val="00A835F9"/>
    <w:rsid w:val="00A8363D"/>
    <w:rsid w:val="00A837B0"/>
    <w:rsid w:val="00A83810"/>
    <w:rsid w:val="00A838A7"/>
    <w:rsid w:val="00A83C99"/>
    <w:rsid w:val="00A84679"/>
    <w:rsid w:val="00A8475D"/>
    <w:rsid w:val="00A851E6"/>
    <w:rsid w:val="00A85DE3"/>
    <w:rsid w:val="00A86277"/>
    <w:rsid w:val="00A86A19"/>
    <w:rsid w:val="00A86D70"/>
    <w:rsid w:val="00A879FE"/>
    <w:rsid w:val="00A87FA6"/>
    <w:rsid w:val="00A90610"/>
    <w:rsid w:val="00A90E3D"/>
    <w:rsid w:val="00A9149B"/>
    <w:rsid w:val="00A915A3"/>
    <w:rsid w:val="00A91B74"/>
    <w:rsid w:val="00A927E0"/>
    <w:rsid w:val="00A939A7"/>
    <w:rsid w:val="00A93A76"/>
    <w:rsid w:val="00A93FAF"/>
    <w:rsid w:val="00A941F4"/>
    <w:rsid w:val="00A942B2"/>
    <w:rsid w:val="00A95429"/>
    <w:rsid w:val="00A95947"/>
    <w:rsid w:val="00A959FC"/>
    <w:rsid w:val="00A95DC2"/>
    <w:rsid w:val="00A95DD6"/>
    <w:rsid w:val="00A962DD"/>
    <w:rsid w:val="00A963D0"/>
    <w:rsid w:val="00A96643"/>
    <w:rsid w:val="00A96BEB"/>
    <w:rsid w:val="00A96F52"/>
    <w:rsid w:val="00A97109"/>
    <w:rsid w:val="00A972B6"/>
    <w:rsid w:val="00A972FB"/>
    <w:rsid w:val="00A97409"/>
    <w:rsid w:val="00A977AF"/>
    <w:rsid w:val="00A977BD"/>
    <w:rsid w:val="00AA007E"/>
    <w:rsid w:val="00AA04A1"/>
    <w:rsid w:val="00AA07A0"/>
    <w:rsid w:val="00AA0CD9"/>
    <w:rsid w:val="00AA10E8"/>
    <w:rsid w:val="00AA1212"/>
    <w:rsid w:val="00AA1A0E"/>
    <w:rsid w:val="00AA1A26"/>
    <w:rsid w:val="00AA1D86"/>
    <w:rsid w:val="00AA2AEB"/>
    <w:rsid w:val="00AA2BE9"/>
    <w:rsid w:val="00AA4EF8"/>
    <w:rsid w:val="00AA5584"/>
    <w:rsid w:val="00AA5AEF"/>
    <w:rsid w:val="00AA5B98"/>
    <w:rsid w:val="00AA667A"/>
    <w:rsid w:val="00AA6D45"/>
    <w:rsid w:val="00AA6D64"/>
    <w:rsid w:val="00AA6ECF"/>
    <w:rsid w:val="00AA751D"/>
    <w:rsid w:val="00AA79B3"/>
    <w:rsid w:val="00AB0249"/>
    <w:rsid w:val="00AB029A"/>
    <w:rsid w:val="00AB046D"/>
    <w:rsid w:val="00AB08F3"/>
    <w:rsid w:val="00AB0952"/>
    <w:rsid w:val="00AB0C81"/>
    <w:rsid w:val="00AB0DE2"/>
    <w:rsid w:val="00AB13E6"/>
    <w:rsid w:val="00AB15E8"/>
    <w:rsid w:val="00AB1CA9"/>
    <w:rsid w:val="00AB2124"/>
    <w:rsid w:val="00AB2EF7"/>
    <w:rsid w:val="00AB2FD2"/>
    <w:rsid w:val="00AB3067"/>
    <w:rsid w:val="00AB3710"/>
    <w:rsid w:val="00AB3CDE"/>
    <w:rsid w:val="00AB577D"/>
    <w:rsid w:val="00AB5F18"/>
    <w:rsid w:val="00AB60E5"/>
    <w:rsid w:val="00AB6444"/>
    <w:rsid w:val="00AB6676"/>
    <w:rsid w:val="00AB66AC"/>
    <w:rsid w:val="00AB749B"/>
    <w:rsid w:val="00AB75AC"/>
    <w:rsid w:val="00AB77A6"/>
    <w:rsid w:val="00AB78BE"/>
    <w:rsid w:val="00AB79DB"/>
    <w:rsid w:val="00AB7C34"/>
    <w:rsid w:val="00AC10FC"/>
    <w:rsid w:val="00AC12D3"/>
    <w:rsid w:val="00AC1476"/>
    <w:rsid w:val="00AC148F"/>
    <w:rsid w:val="00AC1576"/>
    <w:rsid w:val="00AC162B"/>
    <w:rsid w:val="00AC20EB"/>
    <w:rsid w:val="00AC233C"/>
    <w:rsid w:val="00AC2446"/>
    <w:rsid w:val="00AC257F"/>
    <w:rsid w:val="00AC2C1D"/>
    <w:rsid w:val="00AC2D19"/>
    <w:rsid w:val="00AC328F"/>
    <w:rsid w:val="00AC3FA3"/>
    <w:rsid w:val="00AC54D2"/>
    <w:rsid w:val="00AC5647"/>
    <w:rsid w:val="00AC673F"/>
    <w:rsid w:val="00AC695F"/>
    <w:rsid w:val="00AC7A20"/>
    <w:rsid w:val="00AC7C82"/>
    <w:rsid w:val="00AC7D7D"/>
    <w:rsid w:val="00AD048C"/>
    <w:rsid w:val="00AD04B1"/>
    <w:rsid w:val="00AD086B"/>
    <w:rsid w:val="00AD0E60"/>
    <w:rsid w:val="00AD1C1B"/>
    <w:rsid w:val="00AD2665"/>
    <w:rsid w:val="00AD27FE"/>
    <w:rsid w:val="00AD34AE"/>
    <w:rsid w:val="00AD3EC9"/>
    <w:rsid w:val="00AD4738"/>
    <w:rsid w:val="00AD531D"/>
    <w:rsid w:val="00AD5AB6"/>
    <w:rsid w:val="00AD5C56"/>
    <w:rsid w:val="00AD6D4D"/>
    <w:rsid w:val="00AD7132"/>
    <w:rsid w:val="00AD71B6"/>
    <w:rsid w:val="00AD7266"/>
    <w:rsid w:val="00AD7570"/>
    <w:rsid w:val="00AD75E6"/>
    <w:rsid w:val="00AE01A0"/>
    <w:rsid w:val="00AE0AEB"/>
    <w:rsid w:val="00AE0BDE"/>
    <w:rsid w:val="00AE1A69"/>
    <w:rsid w:val="00AE1D0A"/>
    <w:rsid w:val="00AE2161"/>
    <w:rsid w:val="00AE27EC"/>
    <w:rsid w:val="00AE2B01"/>
    <w:rsid w:val="00AE3370"/>
    <w:rsid w:val="00AE38EF"/>
    <w:rsid w:val="00AE39FE"/>
    <w:rsid w:val="00AE3BAA"/>
    <w:rsid w:val="00AE3BCC"/>
    <w:rsid w:val="00AE3EB3"/>
    <w:rsid w:val="00AE4910"/>
    <w:rsid w:val="00AE4E28"/>
    <w:rsid w:val="00AE4E3D"/>
    <w:rsid w:val="00AE4F2C"/>
    <w:rsid w:val="00AE50E4"/>
    <w:rsid w:val="00AE550E"/>
    <w:rsid w:val="00AE5694"/>
    <w:rsid w:val="00AE58FC"/>
    <w:rsid w:val="00AE5960"/>
    <w:rsid w:val="00AE5B0D"/>
    <w:rsid w:val="00AE6258"/>
    <w:rsid w:val="00AE626D"/>
    <w:rsid w:val="00AE679E"/>
    <w:rsid w:val="00AE6BF1"/>
    <w:rsid w:val="00AE7308"/>
    <w:rsid w:val="00AE76EF"/>
    <w:rsid w:val="00AE7802"/>
    <w:rsid w:val="00AE7A53"/>
    <w:rsid w:val="00AF0478"/>
    <w:rsid w:val="00AF0543"/>
    <w:rsid w:val="00AF0850"/>
    <w:rsid w:val="00AF0DB7"/>
    <w:rsid w:val="00AF139E"/>
    <w:rsid w:val="00AF21EC"/>
    <w:rsid w:val="00AF273A"/>
    <w:rsid w:val="00AF343E"/>
    <w:rsid w:val="00AF35BC"/>
    <w:rsid w:val="00AF35D0"/>
    <w:rsid w:val="00AF39E9"/>
    <w:rsid w:val="00AF3A36"/>
    <w:rsid w:val="00AF483D"/>
    <w:rsid w:val="00AF4A48"/>
    <w:rsid w:val="00AF4AD4"/>
    <w:rsid w:val="00AF5089"/>
    <w:rsid w:val="00AF5409"/>
    <w:rsid w:val="00AF54BE"/>
    <w:rsid w:val="00AF5708"/>
    <w:rsid w:val="00AF5FDF"/>
    <w:rsid w:val="00AF60C6"/>
    <w:rsid w:val="00AF696F"/>
    <w:rsid w:val="00AF6AEF"/>
    <w:rsid w:val="00AF7167"/>
    <w:rsid w:val="00AF72F1"/>
    <w:rsid w:val="00AF7656"/>
    <w:rsid w:val="00AF781F"/>
    <w:rsid w:val="00AF7896"/>
    <w:rsid w:val="00AF7FC3"/>
    <w:rsid w:val="00B0050F"/>
    <w:rsid w:val="00B0053E"/>
    <w:rsid w:val="00B00696"/>
    <w:rsid w:val="00B01328"/>
    <w:rsid w:val="00B01C69"/>
    <w:rsid w:val="00B0214B"/>
    <w:rsid w:val="00B02542"/>
    <w:rsid w:val="00B02647"/>
    <w:rsid w:val="00B026BA"/>
    <w:rsid w:val="00B03650"/>
    <w:rsid w:val="00B03891"/>
    <w:rsid w:val="00B03E9A"/>
    <w:rsid w:val="00B046C7"/>
    <w:rsid w:val="00B0480D"/>
    <w:rsid w:val="00B04C38"/>
    <w:rsid w:val="00B04DEF"/>
    <w:rsid w:val="00B05683"/>
    <w:rsid w:val="00B0623B"/>
    <w:rsid w:val="00B071BD"/>
    <w:rsid w:val="00B07BBD"/>
    <w:rsid w:val="00B07DA5"/>
    <w:rsid w:val="00B101D2"/>
    <w:rsid w:val="00B102FF"/>
    <w:rsid w:val="00B10B09"/>
    <w:rsid w:val="00B10B69"/>
    <w:rsid w:val="00B10C44"/>
    <w:rsid w:val="00B111DA"/>
    <w:rsid w:val="00B113DF"/>
    <w:rsid w:val="00B11618"/>
    <w:rsid w:val="00B11B42"/>
    <w:rsid w:val="00B11D5B"/>
    <w:rsid w:val="00B11D9D"/>
    <w:rsid w:val="00B1243A"/>
    <w:rsid w:val="00B13460"/>
    <w:rsid w:val="00B13810"/>
    <w:rsid w:val="00B13B55"/>
    <w:rsid w:val="00B13BCE"/>
    <w:rsid w:val="00B13F75"/>
    <w:rsid w:val="00B14140"/>
    <w:rsid w:val="00B145D3"/>
    <w:rsid w:val="00B149B5"/>
    <w:rsid w:val="00B168A0"/>
    <w:rsid w:val="00B16FA8"/>
    <w:rsid w:val="00B17219"/>
    <w:rsid w:val="00B17759"/>
    <w:rsid w:val="00B17865"/>
    <w:rsid w:val="00B1790D"/>
    <w:rsid w:val="00B17C3C"/>
    <w:rsid w:val="00B17CF9"/>
    <w:rsid w:val="00B20230"/>
    <w:rsid w:val="00B20C38"/>
    <w:rsid w:val="00B21225"/>
    <w:rsid w:val="00B21293"/>
    <w:rsid w:val="00B21AAF"/>
    <w:rsid w:val="00B21B8B"/>
    <w:rsid w:val="00B221B0"/>
    <w:rsid w:val="00B222A7"/>
    <w:rsid w:val="00B2270B"/>
    <w:rsid w:val="00B227B7"/>
    <w:rsid w:val="00B2286E"/>
    <w:rsid w:val="00B22E84"/>
    <w:rsid w:val="00B23DF7"/>
    <w:rsid w:val="00B241E1"/>
    <w:rsid w:val="00B24F85"/>
    <w:rsid w:val="00B25336"/>
    <w:rsid w:val="00B255AD"/>
    <w:rsid w:val="00B25B2A"/>
    <w:rsid w:val="00B25E6F"/>
    <w:rsid w:val="00B25EC0"/>
    <w:rsid w:val="00B261B8"/>
    <w:rsid w:val="00B265FC"/>
    <w:rsid w:val="00B26B16"/>
    <w:rsid w:val="00B27793"/>
    <w:rsid w:val="00B27B67"/>
    <w:rsid w:val="00B27D07"/>
    <w:rsid w:val="00B3066E"/>
    <w:rsid w:val="00B30E7A"/>
    <w:rsid w:val="00B320C9"/>
    <w:rsid w:val="00B32D61"/>
    <w:rsid w:val="00B33655"/>
    <w:rsid w:val="00B3394E"/>
    <w:rsid w:val="00B33D21"/>
    <w:rsid w:val="00B3404A"/>
    <w:rsid w:val="00B34425"/>
    <w:rsid w:val="00B34963"/>
    <w:rsid w:val="00B34A21"/>
    <w:rsid w:val="00B34B85"/>
    <w:rsid w:val="00B35078"/>
    <w:rsid w:val="00B35693"/>
    <w:rsid w:val="00B36100"/>
    <w:rsid w:val="00B36355"/>
    <w:rsid w:val="00B365B5"/>
    <w:rsid w:val="00B36774"/>
    <w:rsid w:val="00B36791"/>
    <w:rsid w:val="00B367B3"/>
    <w:rsid w:val="00B36EC0"/>
    <w:rsid w:val="00B3715A"/>
    <w:rsid w:val="00B374AE"/>
    <w:rsid w:val="00B37647"/>
    <w:rsid w:val="00B378DA"/>
    <w:rsid w:val="00B37C89"/>
    <w:rsid w:val="00B40572"/>
    <w:rsid w:val="00B40632"/>
    <w:rsid w:val="00B40C5D"/>
    <w:rsid w:val="00B40EF2"/>
    <w:rsid w:val="00B4131C"/>
    <w:rsid w:val="00B4186E"/>
    <w:rsid w:val="00B41963"/>
    <w:rsid w:val="00B41ADE"/>
    <w:rsid w:val="00B41B3C"/>
    <w:rsid w:val="00B41BA2"/>
    <w:rsid w:val="00B42048"/>
    <w:rsid w:val="00B4268B"/>
    <w:rsid w:val="00B42E57"/>
    <w:rsid w:val="00B432E0"/>
    <w:rsid w:val="00B43543"/>
    <w:rsid w:val="00B43AD1"/>
    <w:rsid w:val="00B43C66"/>
    <w:rsid w:val="00B443F6"/>
    <w:rsid w:val="00B446A6"/>
    <w:rsid w:val="00B44926"/>
    <w:rsid w:val="00B44E06"/>
    <w:rsid w:val="00B454C9"/>
    <w:rsid w:val="00B455AF"/>
    <w:rsid w:val="00B45919"/>
    <w:rsid w:val="00B46015"/>
    <w:rsid w:val="00B460B3"/>
    <w:rsid w:val="00B460C4"/>
    <w:rsid w:val="00B4669B"/>
    <w:rsid w:val="00B468CA"/>
    <w:rsid w:val="00B46957"/>
    <w:rsid w:val="00B472B9"/>
    <w:rsid w:val="00B47A10"/>
    <w:rsid w:val="00B47A62"/>
    <w:rsid w:val="00B506DA"/>
    <w:rsid w:val="00B50C30"/>
    <w:rsid w:val="00B518B3"/>
    <w:rsid w:val="00B51BAA"/>
    <w:rsid w:val="00B52242"/>
    <w:rsid w:val="00B52312"/>
    <w:rsid w:val="00B52443"/>
    <w:rsid w:val="00B52B5C"/>
    <w:rsid w:val="00B52BFE"/>
    <w:rsid w:val="00B52CAF"/>
    <w:rsid w:val="00B52F85"/>
    <w:rsid w:val="00B5396F"/>
    <w:rsid w:val="00B545B3"/>
    <w:rsid w:val="00B54FC7"/>
    <w:rsid w:val="00B56599"/>
    <w:rsid w:val="00B566CB"/>
    <w:rsid w:val="00B5676C"/>
    <w:rsid w:val="00B56AD2"/>
    <w:rsid w:val="00B56CA7"/>
    <w:rsid w:val="00B577EA"/>
    <w:rsid w:val="00B60026"/>
    <w:rsid w:val="00B601B8"/>
    <w:rsid w:val="00B60322"/>
    <w:rsid w:val="00B60721"/>
    <w:rsid w:val="00B6263F"/>
    <w:rsid w:val="00B62F31"/>
    <w:rsid w:val="00B6314B"/>
    <w:rsid w:val="00B63648"/>
    <w:rsid w:val="00B64B8D"/>
    <w:rsid w:val="00B64F98"/>
    <w:rsid w:val="00B65342"/>
    <w:rsid w:val="00B65AC3"/>
    <w:rsid w:val="00B67145"/>
    <w:rsid w:val="00B6714C"/>
    <w:rsid w:val="00B67AE7"/>
    <w:rsid w:val="00B67C5F"/>
    <w:rsid w:val="00B70BFF"/>
    <w:rsid w:val="00B70D6D"/>
    <w:rsid w:val="00B714DE"/>
    <w:rsid w:val="00B716F9"/>
    <w:rsid w:val="00B71883"/>
    <w:rsid w:val="00B71975"/>
    <w:rsid w:val="00B71A51"/>
    <w:rsid w:val="00B72D66"/>
    <w:rsid w:val="00B72DD2"/>
    <w:rsid w:val="00B738CC"/>
    <w:rsid w:val="00B74E20"/>
    <w:rsid w:val="00B7530C"/>
    <w:rsid w:val="00B75A7C"/>
    <w:rsid w:val="00B7602C"/>
    <w:rsid w:val="00B7733E"/>
    <w:rsid w:val="00B77373"/>
    <w:rsid w:val="00B77456"/>
    <w:rsid w:val="00B7775D"/>
    <w:rsid w:val="00B77B25"/>
    <w:rsid w:val="00B77C20"/>
    <w:rsid w:val="00B80815"/>
    <w:rsid w:val="00B80A8B"/>
    <w:rsid w:val="00B80EA6"/>
    <w:rsid w:val="00B81676"/>
    <w:rsid w:val="00B81A0E"/>
    <w:rsid w:val="00B82363"/>
    <w:rsid w:val="00B82672"/>
    <w:rsid w:val="00B8276F"/>
    <w:rsid w:val="00B82CF4"/>
    <w:rsid w:val="00B83768"/>
    <w:rsid w:val="00B839B8"/>
    <w:rsid w:val="00B83DE2"/>
    <w:rsid w:val="00B84566"/>
    <w:rsid w:val="00B84C90"/>
    <w:rsid w:val="00B85917"/>
    <w:rsid w:val="00B860A5"/>
    <w:rsid w:val="00B860D9"/>
    <w:rsid w:val="00B8698E"/>
    <w:rsid w:val="00B86DEF"/>
    <w:rsid w:val="00B86E6E"/>
    <w:rsid w:val="00B87282"/>
    <w:rsid w:val="00B87292"/>
    <w:rsid w:val="00B907EF"/>
    <w:rsid w:val="00B907F5"/>
    <w:rsid w:val="00B90990"/>
    <w:rsid w:val="00B91196"/>
    <w:rsid w:val="00B92860"/>
    <w:rsid w:val="00B9379F"/>
    <w:rsid w:val="00B93B2E"/>
    <w:rsid w:val="00B93C9B"/>
    <w:rsid w:val="00B94030"/>
    <w:rsid w:val="00B94234"/>
    <w:rsid w:val="00B944A8"/>
    <w:rsid w:val="00B94A07"/>
    <w:rsid w:val="00B94A1A"/>
    <w:rsid w:val="00B954DC"/>
    <w:rsid w:val="00B95B24"/>
    <w:rsid w:val="00B95BE2"/>
    <w:rsid w:val="00B95D5E"/>
    <w:rsid w:val="00B963E4"/>
    <w:rsid w:val="00B965C2"/>
    <w:rsid w:val="00B967A7"/>
    <w:rsid w:val="00B9692B"/>
    <w:rsid w:val="00B96981"/>
    <w:rsid w:val="00B96A2B"/>
    <w:rsid w:val="00B970CB"/>
    <w:rsid w:val="00B972A2"/>
    <w:rsid w:val="00B9774A"/>
    <w:rsid w:val="00BA0797"/>
    <w:rsid w:val="00BA1458"/>
    <w:rsid w:val="00BA1E4D"/>
    <w:rsid w:val="00BA2171"/>
    <w:rsid w:val="00BA281F"/>
    <w:rsid w:val="00BA349A"/>
    <w:rsid w:val="00BA362F"/>
    <w:rsid w:val="00BA36FC"/>
    <w:rsid w:val="00BA3933"/>
    <w:rsid w:val="00BA3A6F"/>
    <w:rsid w:val="00BA467F"/>
    <w:rsid w:val="00BA4B26"/>
    <w:rsid w:val="00BA4BCF"/>
    <w:rsid w:val="00BA4E74"/>
    <w:rsid w:val="00BA5784"/>
    <w:rsid w:val="00BA5FE9"/>
    <w:rsid w:val="00BA6126"/>
    <w:rsid w:val="00BA62B7"/>
    <w:rsid w:val="00BA6416"/>
    <w:rsid w:val="00BA6667"/>
    <w:rsid w:val="00BA6814"/>
    <w:rsid w:val="00BA6F16"/>
    <w:rsid w:val="00BA776F"/>
    <w:rsid w:val="00BA79C0"/>
    <w:rsid w:val="00BB003C"/>
    <w:rsid w:val="00BB01B8"/>
    <w:rsid w:val="00BB0F50"/>
    <w:rsid w:val="00BB12FF"/>
    <w:rsid w:val="00BB1368"/>
    <w:rsid w:val="00BB16C0"/>
    <w:rsid w:val="00BB1E9A"/>
    <w:rsid w:val="00BB2517"/>
    <w:rsid w:val="00BB33FE"/>
    <w:rsid w:val="00BB3ABB"/>
    <w:rsid w:val="00BB3B0E"/>
    <w:rsid w:val="00BB3CBB"/>
    <w:rsid w:val="00BB409E"/>
    <w:rsid w:val="00BB4DEE"/>
    <w:rsid w:val="00BB513D"/>
    <w:rsid w:val="00BB5200"/>
    <w:rsid w:val="00BB548A"/>
    <w:rsid w:val="00BB5C00"/>
    <w:rsid w:val="00BB5DB2"/>
    <w:rsid w:val="00BB600B"/>
    <w:rsid w:val="00BB609E"/>
    <w:rsid w:val="00BB638D"/>
    <w:rsid w:val="00BB683C"/>
    <w:rsid w:val="00BB6954"/>
    <w:rsid w:val="00BB6AB5"/>
    <w:rsid w:val="00BB6E5C"/>
    <w:rsid w:val="00BB75EE"/>
    <w:rsid w:val="00BB78CC"/>
    <w:rsid w:val="00BC0239"/>
    <w:rsid w:val="00BC02BB"/>
    <w:rsid w:val="00BC0A85"/>
    <w:rsid w:val="00BC1867"/>
    <w:rsid w:val="00BC1FA1"/>
    <w:rsid w:val="00BC2945"/>
    <w:rsid w:val="00BC323A"/>
    <w:rsid w:val="00BC3B95"/>
    <w:rsid w:val="00BC3C31"/>
    <w:rsid w:val="00BC4031"/>
    <w:rsid w:val="00BC470A"/>
    <w:rsid w:val="00BC47BD"/>
    <w:rsid w:val="00BC4A64"/>
    <w:rsid w:val="00BC4B88"/>
    <w:rsid w:val="00BC6065"/>
    <w:rsid w:val="00BC644A"/>
    <w:rsid w:val="00BC6C18"/>
    <w:rsid w:val="00BC6E41"/>
    <w:rsid w:val="00BD0124"/>
    <w:rsid w:val="00BD0197"/>
    <w:rsid w:val="00BD022B"/>
    <w:rsid w:val="00BD0432"/>
    <w:rsid w:val="00BD04AA"/>
    <w:rsid w:val="00BD0630"/>
    <w:rsid w:val="00BD0757"/>
    <w:rsid w:val="00BD0ABC"/>
    <w:rsid w:val="00BD0D32"/>
    <w:rsid w:val="00BD0E02"/>
    <w:rsid w:val="00BD0E03"/>
    <w:rsid w:val="00BD118C"/>
    <w:rsid w:val="00BD18F6"/>
    <w:rsid w:val="00BD197F"/>
    <w:rsid w:val="00BD1E81"/>
    <w:rsid w:val="00BD222D"/>
    <w:rsid w:val="00BD291B"/>
    <w:rsid w:val="00BD378C"/>
    <w:rsid w:val="00BD3ACF"/>
    <w:rsid w:val="00BD3AF9"/>
    <w:rsid w:val="00BD3F44"/>
    <w:rsid w:val="00BD43A4"/>
    <w:rsid w:val="00BD55D2"/>
    <w:rsid w:val="00BD5673"/>
    <w:rsid w:val="00BD5790"/>
    <w:rsid w:val="00BD5B30"/>
    <w:rsid w:val="00BD6286"/>
    <w:rsid w:val="00BD6410"/>
    <w:rsid w:val="00BD6692"/>
    <w:rsid w:val="00BD6D8B"/>
    <w:rsid w:val="00BD73A3"/>
    <w:rsid w:val="00BD76AB"/>
    <w:rsid w:val="00BD7780"/>
    <w:rsid w:val="00BD794D"/>
    <w:rsid w:val="00BD7E9F"/>
    <w:rsid w:val="00BE0642"/>
    <w:rsid w:val="00BE0D46"/>
    <w:rsid w:val="00BE180C"/>
    <w:rsid w:val="00BE1872"/>
    <w:rsid w:val="00BE1B84"/>
    <w:rsid w:val="00BE2555"/>
    <w:rsid w:val="00BE2ACA"/>
    <w:rsid w:val="00BE3769"/>
    <w:rsid w:val="00BE3860"/>
    <w:rsid w:val="00BE3AA6"/>
    <w:rsid w:val="00BE43A1"/>
    <w:rsid w:val="00BE4B61"/>
    <w:rsid w:val="00BE53E6"/>
    <w:rsid w:val="00BE644C"/>
    <w:rsid w:val="00BE690C"/>
    <w:rsid w:val="00BE6D81"/>
    <w:rsid w:val="00BE7074"/>
    <w:rsid w:val="00BE757B"/>
    <w:rsid w:val="00BE77C8"/>
    <w:rsid w:val="00BE77CB"/>
    <w:rsid w:val="00BE7A04"/>
    <w:rsid w:val="00BE7C2D"/>
    <w:rsid w:val="00BE7FBE"/>
    <w:rsid w:val="00BF02E5"/>
    <w:rsid w:val="00BF094F"/>
    <w:rsid w:val="00BF0D0F"/>
    <w:rsid w:val="00BF114E"/>
    <w:rsid w:val="00BF118D"/>
    <w:rsid w:val="00BF1954"/>
    <w:rsid w:val="00BF199F"/>
    <w:rsid w:val="00BF1B47"/>
    <w:rsid w:val="00BF1E5C"/>
    <w:rsid w:val="00BF213C"/>
    <w:rsid w:val="00BF25C5"/>
    <w:rsid w:val="00BF2814"/>
    <w:rsid w:val="00BF3150"/>
    <w:rsid w:val="00BF3358"/>
    <w:rsid w:val="00BF377E"/>
    <w:rsid w:val="00BF40BD"/>
    <w:rsid w:val="00BF40BE"/>
    <w:rsid w:val="00BF41A7"/>
    <w:rsid w:val="00BF425A"/>
    <w:rsid w:val="00BF4B79"/>
    <w:rsid w:val="00BF4BC0"/>
    <w:rsid w:val="00BF4C99"/>
    <w:rsid w:val="00BF4FAB"/>
    <w:rsid w:val="00BF54F2"/>
    <w:rsid w:val="00BF591F"/>
    <w:rsid w:val="00BF5A46"/>
    <w:rsid w:val="00BF5BB8"/>
    <w:rsid w:val="00BF6AEA"/>
    <w:rsid w:val="00BF7F30"/>
    <w:rsid w:val="00C000A4"/>
    <w:rsid w:val="00C0013D"/>
    <w:rsid w:val="00C00370"/>
    <w:rsid w:val="00C0087D"/>
    <w:rsid w:val="00C00C4F"/>
    <w:rsid w:val="00C00DC7"/>
    <w:rsid w:val="00C01D1F"/>
    <w:rsid w:val="00C01E8E"/>
    <w:rsid w:val="00C02173"/>
    <w:rsid w:val="00C02642"/>
    <w:rsid w:val="00C02989"/>
    <w:rsid w:val="00C0316D"/>
    <w:rsid w:val="00C035D5"/>
    <w:rsid w:val="00C035F3"/>
    <w:rsid w:val="00C03C66"/>
    <w:rsid w:val="00C03CBD"/>
    <w:rsid w:val="00C03D5C"/>
    <w:rsid w:val="00C03DBB"/>
    <w:rsid w:val="00C03F10"/>
    <w:rsid w:val="00C04CB6"/>
    <w:rsid w:val="00C04EAC"/>
    <w:rsid w:val="00C0523E"/>
    <w:rsid w:val="00C057F4"/>
    <w:rsid w:val="00C05DEC"/>
    <w:rsid w:val="00C060EC"/>
    <w:rsid w:val="00C062C9"/>
    <w:rsid w:val="00C06B9C"/>
    <w:rsid w:val="00C06DB0"/>
    <w:rsid w:val="00C06EC5"/>
    <w:rsid w:val="00C0745D"/>
    <w:rsid w:val="00C0771E"/>
    <w:rsid w:val="00C102C9"/>
    <w:rsid w:val="00C10578"/>
    <w:rsid w:val="00C10786"/>
    <w:rsid w:val="00C11713"/>
    <w:rsid w:val="00C11CD0"/>
    <w:rsid w:val="00C11E2C"/>
    <w:rsid w:val="00C126AD"/>
    <w:rsid w:val="00C13585"/>
    <w:rsid w:val="00C13C84"/>
    <w:rsid w:val="00C14919"/>
    <w:rsid w:val="00C14AAB"/>
    <w:rsid w:val="00C14EDB"/>
    <w:rsid w:val="00C15408"/>
    <w:rsid w:val="00C158CA"/>
    <w:rsid w:val="00C15C37"/>
    <w:rsid w:val="00C161EF"/>
    <w:rsid w:val="00C166AA"/>
    <w:rsid w:val="00C16B3D"/>
    <w:rsid w:val="00C17080"/>
    <w:rsid w:val="00C1744D"/>
    <w:rsid w:val="00C20F2F"/>
    <w:rsid w:val="00C21B42"/>
    <w:rsid w:val="00C21D9B"/>
    <w:rsid w:val="00C222CE"/>
    <w:rsid w:val="00C22D0C"/>
    <w:rsid w:val="00C22D9B"/>
    <w:rsid w:val="00C22E3A"/>
    <w:rsid w:val="00C2408B"/>
    <w:rsid w:val="00C2448D"/>
    <w:rsid w:val="00C24533"/>
    <w:rsid w:val="00C246CB"/>
    <w:rsid w:val="00C25405"/>
    <w:rsid w:val="00C25A25"/>
    <w:rsid w:val="00C25D9E"/>
    <w:rsid w:val="00C262F6"/>
    <w:rsid w:val="00C26706"/>
    <w:rsid w:val="00C27539"/>
    <w:rsid w:val="00C27ED1"/>
    <w:rsid w:val="00C30886"/>
    <w:rsid w:val="00C30A81"/>
    <w:rsid w:val="00C31020"/>
    <w:rsid w:val="00C313F9"/>
    <w:rsid w:val="00C31AFF"/>
    <w:rsid w:val="00C31F0E"/>
    <w:rsid w:val="00C3341C"/>
    <w:rsid w:val="00C33434"/>
    <w:rsid w:val="00C33469"/>
    <w:rsid w:val="00C34263"/>
    <w:rsid w:val="00C34663"/>
    <w:rsid w:val="00C34B7E"/>
    <w:rsid w:val="00C352F8"/>
    <w:rsid w:val="00C366D0"/>
    <w:rsid w:val="00C37310"/>
    <w:rsid w:val="00C3754C"/>
    <w:rsid w:val="00C3754F"/>
    <w:rsid w:val="00C37BFE"/>
    <w:rsid w:val="00C37CA9"/>
    <w:rsid w:val="00C37D3C"/>
    <w:rsid w:val="00C37E69"/>
    <w:rsid w:val="00C410FA"/>
    <w:rsid w:val="00C412D4"/>
    <w:rsid w:val="00C42527"/>
    <w:rsid w:val="00C425C5"/>
    <w:rsid w:val="00C425F7"/>
    <w:rsid w:val="00C42AD4"/>
    <w:rsid w:val="00C43A8B"/>
    <w:rsid w:val="00C43E8E"/>
    <w:rsid w:val="00C43F1B"/>
    <w:rsid w:val="00C442A9"/>
    <w:rsid w:val="00C4434C"/>
    <w:rsid w:val="00C44544"/>
    <w:rsid w:val="00C445C8"/>
    <w:rsid w:val="00C447E6"/>
    <w:rsid w:val="00C44B58"/>
    <w:rsid w:val="00C44B7B"/>
    <w:rsid w:val="00C45E02"/>
    <w:rsid w:val="00C46E15"/>
    <w:rsid w:val="00C47DDB"/>
    <w:rsid w:val="00C47E7A"/>
    <w:rsid w:val="00C47E90"/>
    <w:rsid w:val="00C50801"/>
    <w:rsid w:val="00C50F43"/>
    <w:rsid w:val="00C51226"/>
    <w:rsid w:val="00C5184D"/>
    <w:rsid w:val="00C51C0E"/>
    <w:rsid w:val="00C51EE3"/>
    <w:rsid w:val="00C51FDC"/>
    <w:rsid w:val="00C520C2"/>
    <w:rsid w:val="00C52695"/>
    <w:rsid w:val="00C5341B"/>
    <w:rsid w:val="00C53938"/>
    <w:rsid w:val="00C53991"/>
    <w:rsid w:val="00C53A03"/>
    <w:rsid w:val="00C5404F"/>
    <w:rsid w:val="00C54379"/>
    <w:rsid w:val="00C543AC"/>
    <w:rsid w:val="00C543E5"/>
    <w:rsid w:val="00C546D4"/>
    <w:rsid w:val="00C553A2"/>
    <w:rsid w:val="00C55583"/>
    <w:rsid w:val="00C55F0E"/>
    <w:rsid w:val="00C55FCE"/>
    <w:rsid w:val="00C571DC"/>
    <w:rsid w:val="00C57755"/>
    <w:rsid w:val="00C579E8"/>
    <w:rsid w:val="00C57AF4"/>
    <w:rsid w:val="00C606DF"/>
    <w:rsid w:val="00C61E8A"/>
    <w:rsid w:val="00C62288"/>
    <w:rsid w:val="00C6251D"/>
    <w:rsid w:val="00C626D6"/>
    <w:rsid w:val="00C6272F"/>
    <w:rsid w:val="00C62994"/>
    <w:rsid w:val="00C62E7F"/>
    <w:rsid w:val="00C6344B"/>
    <w:rsid w:val="00C63485"/>
    <w:rsid w:val="00C6420F"/>
    <w:rsid w:val="00C64708"/>
    <w:rsid w:val="00C64BAB"/>
    <w:rsid w:val="00C6540D"/>
    <w:rsid w:val="00C65542"/>
    <w:rsid w:val="00C65A8A"/>
    <w:rsid w:val="00C6670B"/>
    <w:rsid w:val="00C66827"/>
    <w:rsid w:val="00C66DB3"/>
    <w:rsid w:val="00C66F31"/>
    <w:rsid w:val="00C672C1"/>
    <w:rsid w:val="00C7007F"/>
    <w:rsid w:val="00C701C5"/>
    <w:rsid w:val="00C70CCC"/>
    <w:rsid w:val="00C711FC"/>
    <w:rsid w:val="00C71995"/>
    <w:rsid w:val="00C71F02"/>
    <w:rsid w:val="00C720FC"/>
    <w:rsid w:val="00C72257"/>
    <w:rsid w:val="00C728D2"/>
    <w:rsid w:val="00C72E1F"/>
    <w:rsid w:val="00C738B2"/>
    <w:rsid w:val="00C73E3F"/>
    <w:rsid w:val="00C73EF6"/>
    <w:rsid w:val="00C73F9B"/>
    <w:rsid w:val="00C745E7"/>
    <w:rsid w:val="00C74979"/>
    <w:rsid w:val="00C7580B"/>
    <w:rsid w:val="00C75F38"/>
    <w:rsid w:val="00C7624B"/>
    <w:rsid w:val="00C76296"/>
    <w:rsid w:val="00C7633A"/>
    <w:rsid w:val="00C769F3"/>
    <w:rsid w:val="00C76C9C"/>
    <w:rsid w:val="00C775CE"/>
    <w:rsid w:val="00C778B2"/>
    <w:rsid w:val="00C77E75"/>
    <w:rsid w:val="00C77F46"/>
    <w:rsid w:val="00C806F6"/>
    <w:rsid w:val="00C80A55"/>
    <w:rsid w:val="00C80E05"/>
    <w:rsid w:val="00C81042"/>
    <w:rsid w:val="00C8113D"/>
    <w:rsid w:val="00C8136D"/>
    <w:rsid w:val="00C817B9"/>
    <w:rsid w:val="00C81D01"/>
    <w:rsid w:val="00C81FC7"/>
    <w:rsid w:val="00C8220C"/>
    <w:rsid w:val="00C822A2"/>
    <w:rsid w:val="00C823B2"/>
    <w:rsid w:val="00C828EB"/>
    <w:rsid w:val="00C8297A"/>
    <w:rsid w:val="00C82BAE"/>
    <w:rsid w:val="00C8340F"/>
    <w:rsid w:val="00C83939"/>
    <w:rsid w:val="00C8508B"/>
    <w:rsid w:val="00C8581D"/>
    <w:rsid w:val="00C85C0B"/>
    <w:rsid w:val="00C87A30"/>
    <w:rsid w:val="00C87B58"/>
    <w:rsid w:val="00C87F2E"/>
    <w:rsid w:val="00C90895"/>
    <w:rsid w:val="00C90971"/>
    <w:rsid w:val="00C90B34"/>
    <w:rsid w:val="00C915EB"/>
    <w:rsid w:val="00C91D58"/>
    <w:rsid w:val="00C92B89"/>
    <w:rsid w:val="00C92F18"/>
    <w:rsid w:val="00C93601"/>
    <w:rsid w:val="00C93A9C"/>
    <w:rsid w:val="00C94051"/>
    <w:rsid w:val="00C94343"/>
    <w:rsid w:val="00C94755"/>
    <w:rsid w:val="00C94763"/>
    <w:rsid w:val="00C9482D"/>
    <w:rsid w:val="00C94F66"/>
    <w:rsid w:val="00C95BC0"/>
    <w:rsid w:val="00C95E8A"/>
    <w:rsid w:val="00C95FAB"/>
    <w:rsid w:val="00C967D2"/>
    <w:rsid w:val="00C972B0"/>
    <w:rsid w:val="00C97354"/>
    <w:rsid w:val="00C9748F"/>
    <w:rsid w:val="00C976E1"/>
    <w:rsid w:val="00C97E8A"/>
    <w:rsid w:val="00CA04CE"/>
    <w:rsid w:val="00CA07D9"/>
    <w:rsid w:val="00CA0D13"/>
    <w:rsid w:val="00CA0DCE"/>
    <w:rsid w:val="00CA10B6"/>
    <w:rsid w:val="00CA157D"/>
    <w:rsid w:val="00CA2C92"/>
    <w:rsid w:val="00CA2F93"/>
    <w:rsid w:val="00CA37D3"/>
    <w:rsid w:val="00CA385C"/>
    <w:rsid w:val="00CA3904"/>
    <w:rsid w:val="00CA3FF9"/>
    <w:rsid w:val="00CA4FDE"/>
    <w:rsid w:val="00CA52F1"/>
    <w:rsid w:val="00CA52FD"/>
    <w:rsid w:val="00CA530A"/>
    <w:rsid w:val="00CA538A"/>
    <w:rsid w:val="00CA561F"/>
    <w:rsid w:val="00CA56B2"/>
    <w:rsid w:val="00CA5A5B"/>
    <w:rsid w:val="00CA5C06"/>
    <w:rsid w:val="00CA6433"/>
    <w:rsid w:val="00CA7E0A"/>
    <w:rsid w:val="00CB07F2"/>
    <w:rsid w:val="00CB1063"/>
    <w:rsid w:val="00CB10B7"/>
    <w:rsid w:val="00CB147C"/>
    <w:rsid w:val="00CB1509"/>
    <w:rsid w:val="00CB169F"/>
    <w:rsid w:val="00CB1B14"/>
    <w:rsid w:val="00CB1F20"/>
    <w:rsid w:val="00CB20DB"/>
    <w:rsid w:val="00CB2BF7"/>
    <w:rsid w:val="00CB3853"/>
    <w:rsid w:val="00CB455A"/>
    <w:rsid w:val="00CB46C1"/>
    <w:rsid w:val="00CB4882"/>
    <w:rsid w:val="00CB663A"/>
    <w:rsid w:val="00CB69FC"/>
    <w:rsid w:val="00CB7273"/>
    <w:rsid w:val="00CB7463"/>
    <w:rsid w:val="00CB7565"/>
    <w:rsid w:val="00CB7B2C"/>
    <w:rsid w:val="00CC00DF"/>
    <w:rsid w:val="00CC0C23"/>
    <w:rsid w:val="00CC111B"/>
    <w:rsid w:val="00CC179E"/>
    <w:rsid w:val="00CC1C96"/>
    <w:rsid w:val="00CC3119"/>
    <w:rsid w:val="00CC319D"/>
    <w:rsid w:val="00CC3318"/>
    <w:rsid w:val="00CC3423"/>
    <w:rsid w:val="00CC3711"/>
    <w:rsid w:val="00CC3D84"/>
    <w:rsid w:val="00CC3E22"/>
    <w:rsid w:val="00CC4383"/>
    <w:rsid w:val="00CC4741"/>
    <w:rsid w:val="00CC4BC1"/>
    <w:rsid w:val="00CC50AA"/>
    <w:rsid w:val="00CC510D"/>
    <w:rsid w:val="00CC530F"/>
    <w:rsid w:val="00CC543F"/>
    <w:rsid w:val="00CC5544"/>
    <w:rsid w:val="00CC5DB0"/>
    <w:rsid w:val="00CC5E29"/>
    <w:rsid w:val="00CC607C"/>
    <w:rsid w:val="00CC6284"/>
    <w:rsid w:val="00CC6740"/>
    <w:rsid w:val="00CC6C51"/>
    <w:rsid w:val="00CC7CBA"/>
    <w:rsid w:val="00CD06A1"/>
    <w:rsid w:val="00CD0CBD"/>
    <w:rsid w:val="00CD0D0F"/>
    <w:rsid w:val="00CD1168"/>
    <w:rsid w:val="00CD12EE"/>
    <w:rsid w:val="00CD1323"/>
    <w:rsid w:val="00CD17B4"/>
    <w:rsid w:val="00CD1A66"/>
    <w:rsid w:val="00CD1DF9"/>
    <w:rsid w:val="00CD1F37"/>
    <w:rsid w:val="00CD2619"/>
    <w:rsid w:val="00CD28CE"/>
    <w:rsid w:val="00CD38B5"/>
    <w:rsid w:val="00CD434B"/>
    <w:rsid w:val="00CD4472"/>
    <w:rsid w:val="00CD4766"/>
    <w:rsid w:val="00CD495F"/>
    <w:rsid w:val="00CD4A78"/>
    <w:rsid w:val="00CD5A4F"/>
    <w:rsid w:val="00CD636E"/>
    <w:rsid w:val="00CD7146"/>
    <w:rsid w:val="00CD7C44"/>
    <w:rsid w:val="00CE0484"/>
    <w:rsid w:val="00CE048C"/>
    <w:rsid w:val="00CE04AC"/>
    <w:rsid w:val="00CE0625"/>
    <w:rsid w:val="00CE0A80"/>
    <w:rsid w:val="00CE0B8E"/>
    <w:rsid w:val="00CE0E38"/>
    <w:rsid w:val="00CE18FA"/>
    <w:rsid w:val="00CE1C47"/>
    <w:rsid w:val="00CE1FF6"/>
    <w:rsid w:val="00CE20E8"/>
    <w:rsid w:val="00CE34E1"/>
    <w:rsid w:val="00CE352A"/>
    <w:rsid w:val="00CE3A3E"/>
    <w:rsid w:val="00CE3C4E"/>
    <w:rsid w:val="00CE3D9A"/>
    <w:rsid w:val="00CE3E11"/>
    <w:rsid w:val="00CE432D"/>
    <w:rsid w:val="00CE4D29"/>
    <w:rsid w:val="00CE5605"/>
    <w:rsid w:val="00CE5BD8"/>
    <w:rsid w:val="00CE6913"/>
    <w:rsid w:val="00CE6D3F"/>
    <w:rsid w:val="00CE734D"/>
    <w:rsid w:val="00CE7654"/>
    <w:rsid w:val="00CE7B32"/>
    <w:rsid w:val="00CE7C9D"/>
    <w:rsid w:val="00CE7DA5"/>
    <w:rsid w:val="00CE7F72"/>
    <w:rsid w:val="00CF0477"/>
    <w:rsid w:val="00CF0AD8"/>
    <w:rsid w:val="00CF14B5"/>
    <w:rsid w:val="00CF2426"/>
    <w:rsid w:val="00CF267B"/>
    <w:rsid w:val="00CF2B8E"/>
    <w:rsid w:val="00CF2E85"/>
    <w:rsid w:val="00CF2F9C"/>
    <w:rsid w:val="00CF30B9"/>
    <w:rsid w:val="00CF31F7"/>
    <w:rsid w:val="00CF4396"/>
    <w:rsid w:val="00CF4BA0"/>
    <w:rsid w:val="00CF4D7B"/>
    <w:rsid w:val="00CF50EA"/>
    <w:rsid w:val="00CF5DCC"/>
    <w:rsid w:val="00CF6127"/>
    <w:rsid w:val="00CF626D"/>
    <w:rsid w:val="00CF63EC"/>
    <w:rsid w:val="00CF6BCB"/>
    <w:rsid w:val="00CF7414"/>
    <w:rsid w:val="00CF770A"/>
    <w:rsid w:val="00CF7D8A"/>
    <w:rsid w:val="00CF7EDD"/>
    <w:rsid w:val="00D007DE"/>
    <w:rsid w:val="00D00CCB"/>
    <w:rsid w:val="00D0124A"/>
    <w:rsid w:val="00D016C6"/>
    <w:rsid w:val="00D01945"/>
    <w:rsid w:val="00D01D16"/>
    <w:rsid w:val="00D02329"/>
    <w:rsid w:val="00D02582"/>
    <w:rsid w:val="00D0264B"/>
    <w:rsid w:val="00D026EE"/>
    <w:rsid w:val="00D02C71"/>
    <w:rsid w:val="00D03030"/>
    <w:rsid w:val="00D030B5"/>
    <w:rsid w:val="00D03172"/>
    <w:rsid w:val="00D04083"/>
    <w:rsid w:val="00D04293"/>
    <w:rsid w:val="00D04674"/>
    <w:rsid w:val="00D0492E"/>
    <w:rsid w:val="00D0525C"/>
    <w:rsid w:val="00D05A70"/>
    <w:rsid w:val="00D065D3"/>
    <w:rsid w:val="00D0694A"/>
    <w:rsid w:val="00D07564"/>
    <w:rsid w:val="00D07AE1"/>
    <w:rsid w:val="00D10159"/>
    <w:rsid w:val="00D104A2"/>
    <w:rsid w:val="00D104E5"/>
    <w:rsid w:val="00D10B18"/>
    <w:rsid w:val="00D10DAF"/>
    <w:rsid w:val="00D11206"/>
    <w:rsid w:val="00D11699"/>
    <w:rsid w:val="00D11717"/>
    <w:rsid w:val="00D1232F"/>
    <w:rsid w:val="00D12617"/>
    <w:rsid w:val="00D126E3"/>
    <w:rsid w:val="00D1296A"/>
    <w:rsid w:val="00D131F9"/>
    <w:rsid w:val="00D13B45"/>
    <w:rsid w:val="00D13F77"/>
    <w:rsid w:val="00D13FF9"/>
    <w:rsid w:val="00D14228"/>
    <w:rsid w:val="00D14736"/>
    <w:rsid w:val="00D148DE"/>
    <w:rsid w:val="00D14B1C"/>
    <w:rsid w:val="00D1551F"/>
    <w:rsid w:val="00D155AA"/>
    <w:rsid w:val="00D157D5"/>
    <w:rsid w:val="00D15E0A"/>
    <w:rsid w:val="00D160B1"/>
    <w:rsid w:val="00D16963"/>
    <w:rsid w:val="00D16C03"/>
    <w:rsid w:val="00D17117"/>
    <w:rsid w:val="00D17231"/>
    <w:rsid w:val="00D17974"/>
    <w:rsid w:val="00D17F88"/>
    <w:rsid w:val="00D209D9"/>
    <w:rsid w:val="00D20A77"/>
    <w:rsid w:val="00D2103D"/>
    <w:rsid w:val="00D2171B"/>
    <w:rsid w:val="00D21940"/>
    <w:rsid w:val="00D21A05"/>
    <w:rsid w:val="00D22205"/>
    <w:rsid w:val="00D22AF2"/>
    <w:rsid w:val="00D22C86"/>
    <w:rsid w:val="00D2398C"/>
    <w:rsid w:val="00D24CFE"/>
    <w:rsid w:val="00D256F6"/>
    <w:rsid w:val="00D25D09"/>
    <w:rsid w:val="00D260A3"/>
    <w:rsid w:val="00D2624E"/>
    <w:rsid w:val="00D2659A"/>
    <w:rsid w:val="00D267EA"/>
    <w:rsid w:val="00D269CC"/>
    <w:rsid w:val="00D2700F"/>
    <w:rsid w:val="00D2732B"/>
    <w:rsid w:val="00D27649"/>
    <w:rsid w:val="00D304DD"/>
    <w:rsid w:val="00D308C7"/>
    <w:rsid w:val="00D30AA0"/>
    <w:rsid w:val="00D30AC8"/>
    <w:rsid w:val="00D31237"/>
    <w:rsid w:val="00D31414"/>
    <w:rsid w:val="00D3172E"/>
    <w:rsid w:val="00D31B35"/>
    <w:rsid w:val="00D31C15"/>
    <w:rsid w:val="00D330FF"/>
    <w:rsid w:val="00D334DF"/>
    <w:rsid w:val="00D33B71"/>
    <w:rsid w:val="00D34675"/>
    <w:rsid w:val="00D346F5"/>
    <w:rsid w:val="00D35142"/>
    <w:rsid w:val="00D356A4"/>
    <w:rsid w:val="00D358C6"/>
    <w:rsid w:val="00D3601B"/>
    <w:rsid w:val="00D36D0B"/>
    <w:rsid w:val="00D36E19"/>
    <w:rsid w:val="00D36FBB"/>
    <w:rsid w:val="00D37D0A"/>
    <w:rsid w:val="00D37F05"/>
    <w:rsid w:val="00D4004B"/>
    <w:rsid w:val="00D401F8"/>
    <w:rsid w:val="00D40419"/>
    <w:rsid w:val="00D40C36"/>
    <w:rsid w:val="00D4145D"/>
    <w:rsid w:val="00D4152A"/>
    <w:rsid w:val="00D41664"/>
    <w:rsid w:val="00D41A17"/>
    <w:rsid w:val="00D41A43"/>
    <w:rsid w:val="00D41AAE"/>
    <w:rsid w:val="00D41CF7"/>
    <w:rsid w:val="00D43157"/>
    <w:rsid w:val="00D436CC"/>
    <w:rsid w:val="00D4412E"/>
    <w:rsid w:val="00D44A0C"/>
    <w:rsid w:val="00D44A64"/>
    <w:rsid w:val="00D44BF0"/>
    <w:rsid w:val="00D44DBD"/>
    <w:rsid w:val="00D4581C"/>
    <w:rsid w:val="00D459DF"/>
    <w:rsid w:val="00D45AD0"/>
    <w:rsid w:val="00D45C49"/>
    <w:rsid w:val="00D45F6B"/>
    <w:rsid w:val="00D4614D"/>
    <w:rsid w:val="00D47A8C"/>
    <w:rsid w:val="00D47FA9"/>
    <w:rsid w:val="00D501AE"/>
    <w:rsid w:val="00D504A6"/>
    <w:rsid w:val="00D5090A"/>
    <w:rsid w:val="00D50BE2"/>
    <w:rsid w:val="00D50F18"/>
    <w:rsid w:val="00D51325"/>
    <w:rsid w:val="00D52541"/>
    <w:rsid w:val="00D527CE"/>
    <w:rsid w:val="00D52B8F"/>
    <w:rsid w:val="00D53164"/>
    <w:rsid w:val="00D54A04"/>
    <w:rsid w:val="00D54E0A"/>
    <w:rsid w:val="00D55142"/>
    <w:rsid w:val="00D570CC"/>
    <w:rsid w:val="00D570E4"/>
    <w:rsid w:val="00D571EB"/>
    <w:rsid w:val="00D57245"/>
    <w:rsid w:val="00D576E1"/>
    <w:rsid w:val="00D577C6"/>
    <w:rsid w:val="00D579EA"/>
    <w:rsid w:val="00D57AF9"/>
    <w:rsid w:val="00D625E3"/>
    <w:rsid w:val="00D625F6"/>
    <w:rsid w:val="00D62EFF"/>
    <w:rsid w:val="00D64969"/>
    <w:rsid w:val="00D64B34"/>
    <w:rsid w:val="00D65057"/>
    <w:rsid w:val="00D704C1"/>
    <w:rsid w:val="00D70651"/>
    <w:rsid w:val="00D7085B"/>
    <w:rsid w:val="00D70D00"/>
    <w:rsid w:val="00D71270"/>
    <w:rsid w:val="00D71931"/>
    <w:rsid w:val="00D71E46"/>
    <w:rsid w:val="00D7290D"/>
    <w:rsid w:val="00D72BED"/>
    <w:rsid w:val="00D72F34"/>
    <w:rsid w:val="00D72FB3"/>
    <w:rsid w:val="00D73126"/>
    <w:rsid w:val="00D7392A"/>
    <w:rsid w:val="00D73AAE"/>
    <w:rsid w:val="00D741A4"/>
    <w:rsid w:val="00D741DB"/>
    <w:rsid w:val="00D7433D"/>
    <w:rsid w:val="00D7482C"/>
    <w:rsid w:val="00D74CE2"/>
    <w:rsid w:val="00D74F50"/>
    <w:rsid w:val="00D75066"/>
    <w:rsid w:val="00D7589D"/>
    <w:rsid w:val="00D761B0"/>
    <w:rsid w:val="00D76DFB"/>
    <w:rsid w:val="00D80C4D"/>
    <w:rsid w:val="00D80DF6"/>
    <w:rsid w:val="00D80E6B"/>
    <w:rsid w:val="00D8120F"/>
    <w:rsid w:val="00D816E7"/>
    <w:rsid w:val="00D81A09"/>
    <w:rsid w:val="00D8237B"/>
    <w:rsid w:val="00D82552"/>
    <w:rsid w:val="00D82711"/>
    <w:rsid w:val="00D82A0B"/>
    <w:rsid w:val="00D82A1F"/>
    <w:rsid w:val="00D82B2D"/>
    <w:rsid w:val="00D831BD"/>
    <w:rsid w:val="00D834D9"/>
    <w:rsid w:val="00D835D1"/>
    <w:rsid w:val="00D83977"/>
    <w:rsid w:val="00D83E12"/>
    <w:rsid w:val="00D84149"/>
    <w:rsid w:val="00D84216"/>
    <w:rsid w:val="00D842E3"/>
    <w:rsid w:val="00D84B02"/>
    <w:rsid w:val="00D84DAB"/>
    <w:rsid w:val="00D84E94"/>
    <w:rsid w:val="00D855B5"/>
    <w:rsid w:val="00D85C0C"/>
    <w:rsid w:val="00D85D87"/>
    <w:rsid w:val="00D86A5F"/>
    <w:rsid w:val="00D86F21"/>
    <w:rsid w:val="00D8792D"/>
    <w:rsid w:val="00D8794C"/>
    <w:rsid w:val="00D87998"/>
    <w:rsid w:val="00D90090"/>
    <w:rsid w:val="00D90191"/>
    <w:rsid w:val="00D91251"/>
    <w:rsid w:val="00D91436"/>
    <w:rsid w:val="00D916C5"/>
    <w:rsid w:val="00D92164"/>
    <w:rsid w:val="00D922F9"/>
    <w:rsid w:val="00D924ED"/>
    <w:rsid w:val="00D92AF4"/>
    <w:rsid w:val="00D93130"/>
    <w:rsid w:val="00D93785"/>
    <w:rsid w:val="00D9381A"/>
    <w:rsid w:val="00D940A9"/>
    <w:rsid w:val="00D94226"/>
    <w:rsid w:val="00D94683"/>
    <w:rsid w:val="00D95421"/>
    <w:rsid w:val="00D95982"/>
    <w:rsid w:val="00D95B6A"/>
    <w:rsid w:val="00D9625A"/>
    <w:rsid w:val="00D9665F"/>
    <w:rsid w:val="00D96950"/>
    <w:rsid w:val="00D97308"/>
    <w:rsid w:val="00D9765E"/>
    <w:rsid w:val="00D97684"/>
    <w:rsid w:val="00D97800"/>
    <w:rsid w:val="00D97810"/>
    <w:rsid w:val="00D97EAF"/>
    <w:rsid w:val="00DA0ADC"/>
    <w:rsid w:val="00DA0E89"/>
    <w:rsid w:val="00DA1D90"/>
    <w:rsid w:val="00DA253E"/>
    <w:rsid w:val="00DA2B6C"/>
    <w:rsid w:val="00DA2FFB"/>
    <w:rsid w:val="00DA3070"/>
    <w:rsid w:val="00DA3622"/>
    <w:rsid w:val="00DA372C"/>
    <w:rsid w:val="00DA380A"/>
    <w:rsid w:val="00DA3913"/>
    <w:rsid w:val="00DA3B2C"/>
    <w:rsid w:val="00DA3E2F"/>
    <w:rsid w:val="00DA3EDB"/>
    <w:rsid w:val="00DA41E3"/>
    <w:rsid w:val="00DA4D50"/>
    <w:rsid w:val="00DA4DAB"/>
    <w:rsid w:val="00DA55B9"/>
    <w:rsid w:val="00DA55FF"/>
    <w:rsid w:val="00DA65C3"/>
    <w:rsid w:val="00DA69D1"/>
    <w:rsid w:val="00DA70D0"/>
    <w:rsid w:val="00DA78FF"/>
    <w:rsid w:val="00DA7C19"/>
    <w:rsid w:val="00DA7CC5"/>
    <w:rsid w:val="00DA7FDC"/>
    <w:rsid w:val="00DB021E"/>
    <w:rsid w:val="00DB03E0"/>
    <w:rsid w:val="00DB0D2A"/>
    <w:rsid w:val="00DB0FBD"/>
    <w:rsid w:val="00DB1296"/>
    <w:rsid w:val="00DB1CEC"/>
    <w:rsid w:val="00DB1D5A"/>
    <w:rsid w:val="00DB1D68"/>
    <w:rsid w:val="00DB204B"/>
    <w:rsid w:val="00DB21B6"/>
    <w:rsid w:val="00DB2B5E"/>
    <w:rsid w:val="00DB2DE7"/>
    <w:rsid w:val="00DB2E31"/>
    <w:rsid w:val="00DB34A4"/>
    <w:rsid w:val="00DB3AFB"/>
    <w:rsid w:val="00DB3C1D"/>
    <w:rsid w:val="00DB3DC4"/>
    <w:rsid w:val="00DB41D5"/>
    <w:rsid w:val="00DB4B8B"/>
    <w:rsid w:val="00DB4C86"/>
    <w:rsid w:val="00DB4DCF"/>
    <w:rsid w:val="00DB4E5B"/>
    <w:rsid w:val="00DB604D"/>
    <w:rsid w:val="00DB68D4"/>
    <w:rsid w:val="00DB68DA"/>
    <w:rsid w:val="00DB6A34"/>
    <w:rsid w:val="00DB6D5F"/>
    <w:rsid w:val="00DB74FC"/>
    <w:rsid w:val="00DB77EA"/>
    <w:rsid w:val="00DB7AEE"/>
    <w:rsid w:val="00DC027C"/>
    <w:rsid w:val="00DC1A9D"/>
    <w:rsid w:val="00DC2212"/>
    <w:rsid w:val="00DC2912"/>
    <w:rsid w:val="00DC2A5B"/>
    <w:rsid w:val="00DC309E"/>
    <w:rsid w:val="00DC3584"/>
    <w:rsid w:val="00DC3B74"/>
    <w:rsid w:val="00DC424B"/>
    <w:rsid w:val="00DC4732"/>
    <w:rsid w:val="00DC4C35"/>
    <w:rsid w:val="00DC4E2F"/>
    <w:rsid w:val="00DC5427"/>
    <w:rsid w:val="00DC5814"/>
    <w:rsid w:val="00DC6284"/>
    <w:rsid w:val="00DC62D2"/>
    <w:rsid w:val="00DC6333"/>
    <w:rsid w:val="00DC6485"/>
    <w:rsid w:val="00DC666C"/>
    <w:rsid w:val="00DC6925"/>
    <w:rsid w:val="00DC6C4E"/>
    <w:rsid w:val="00DC6D78"/>
    <w:rsid w:val="00DC7383"/>
    <w:rsid w:val="00DC740B"/>
    <w:rsid w:val="00DC7B81"/>
    <w:rsid w:val="00DD025D"/>
    <w:rsid w:val="00DD02B7"/>
    <w:rsid w:val="00DD0753"/>
    <w:rsid w:val="00DD077D"/>
    <w:rsid w:val="00DD143E"/>
    <w:rsid w:val="00DD16F0"/>
    <w:rsid w:val="00DD1D5D"/>
    <w:rsid w:val="00DD1DF9"/>
    <w:rsid w:val="00DD3E2C"/>
    <w:rsid w:val="00DD40A1"/>
    <w:rsid w:val="00DD4320"/>
    <w:rsid w:val="00DD4461"/>
    <w:rsid w:val="00DD47FA"/>
    <w:rsid w:val="00DD6172"/>
    <w:rsid w:val="00DD6434"/>
    <w:rsid w:val="00DD6AA5"/>
    <w:rsid w:val="00DD6BEB"/>
    <w:rsid w:val="00DD6EF2"/>
    <w:rsid w:val="00DD724A"/>
    <w:rsid w:val="00DD7B43"/>
    <w:rsid w:val="00DD7B76"/>
    <w:rsid w:val="00DD7F31"/>
    <w:rsid w:val="00DE0056"/>
    <w:rsid w:val="00DE00DE"/>
    <w:rsid w:val="00DE092A"/>
    <w:rsid w:val="00DE0BD5"/>
    <w:rsid w:val="00DE10C9"/>
    <w:rsid w:val="00DE1215"/>
    <w:rsid w:val="00DE12D2"/>
    <w:rsid w:val="00DE1404"/>
    <w:rsid w:val="00DE148A"/>
    <w:rsid w:val="00DE1FF5"/>
    <w:rsid w:val="00DE2090"/>
    <w:rsid w:val="00DE2093"/>
    <w:rsid w:val="00DE209A"/>
    <w:rsid w:val="00DE2AF7"/>
    <w:rsid w:val="00DE2FAF"/>
    <w:rsid w:val="00DE32C8"/>
    <w:rsid w:val="00DE4F60"/>
    <w:rsid w:val="00DE636A"/>
    <w:rsid w:val="00DE6692"/>
    <w:rsid w:val="00DE68F1"/>
    <w:rsid w:val="00DE6ECF"/>
    <w:rsid w:val="00DE70E4"/>
    <w:rsid w:val="00DE79F3"/>
    <w:rsid w:val="00DE7A9D"/>
    <w:rsid w:val="00DE7DC7"/>
    <w:rsid w:val="00DF00BC"/>
    <w:rsid w:val="00DF00F0"/>
    <w:rsid w:val="00DF129D"/>
    <w:rsid w:val="00DF12C1"/>
    <w:rsid w:val="00DF1537"/>
    <w:rsid w:val="00DF1F72"/>
    <w:rsid w:val="00DF21B5"/>
    <w:rsid w:val="00DF2900"/>
    <w:rsid w:val="00DF2C87"/>
    <w:rsid w:val="00DF2CC6"/>
    <w:rsid w:val="00DF3609"/>
    <w:rsid w:val="00DF3910"/>
    <w:rsid w:val="00DF3B03"/>
    <w:rsid w:val="00DF3C0C"/>
    <w:rsid w:val="00DF3C89"/>
    <w:rsid w:val="00DF43EE"/>
    <w:rsid w:val="00DF47EA"/>
    <w:rsid w:val="00DF4CE5"/>
    <w:rsid w:val="00DF4FC1"/>
    <w:rsid w:val="00DF4FDA"/>
    <w:rsid w:val="00DF5047"/>
    <w:rsid w:val="00DF5404"/>
    <w:rsid w:val="00DF557F"/>
    <w:rsid w:val="00DF6220"/>
    <w:rsid w:val="00DF6494"/>
    <w:rsid w:val="00DF6A05"/>
    <w:rsid w:val="00DF6D41"/>
    <w:rsid w:val="00DF6F12"/>
    <w:rsid w:val="00DF6FB9"/>
    <w:rsid w:val="00DF741E"/>
    <w:rsid w:val="00DF747B"/>
    <w:rsid w:val="00DF795B"/>
    <w:rsid w:val="00DF7D0D"/>
    <w:rsid w:val="00E00766"/>
    <w:rsid w:val="00E00D4D"/>
    <w:rsid w:val="00E00E37"/>
    <w:rsid w:val="00E01214"/>
    <w:rsid w:val="00E01217"/>
    <w:rsid w:val="00E01495"/>
    <w:rsid w:val="00E016F5"/>
    <w:rsid w:val="00E01717"/>
    <w:rsid w:val="00E01899"/>
    <w:rsid w:val="00E02706"/>
    <w:rsid w:val="00E0299B"/>
    <w:rsid w:val="00E02E58"/>
    <w:rsid w:val="00E03248"/>
    <w:rsid w:val="00E034C5"/>
    <w:rsid w:val="00E046C9"/>
    <w:rsid w:val="00E04E07"/>
    <w:rsid w:val="00E05762"/>
    <w:rsid w:val="00E05986"/>
    <w:rsid w:val="00E05C3A"/>
    <w:rsid w:val="00E05F94"/>
    <w:rsid w:val="00E066E3"/>
    <w:rsid w:val="00E0719B"/>
    <w:rsid w:val="00E07BBA"/>
    <w:rsid w:val="00E10031"/>
    <w:rsid w:val="00E10043"/>
    <w:rsid w:val="00E100DD"/>
    <w:rsid w:val="00E10280"/>
    <w:rsid w:val="00E102DC"/>
    <w:rsid w:val="00E1134C"/>
    <w:rsid w:val="00E1140C"/>
    <w:rsid w:val="00E117A1"/>
    <w:rsid w:val="00E1184D"/>
    <w:rsid w:val="00E11AA8"/>
    <w:rsid w:val="00E11C9C"/>
    <w:rsid w:val="00E12441"/>
    <w:rsid w:val="00E1386E"/>
    <w:rsid w:val="00E13A9E"/>
    <w:rsid w:val="00E13EA6"/>
    <w:rsid w:val="00E1454C"/>
    <w:rsid w:val="00E14FA7"/>
    <w:rsid w:val="00E15F8E"/>
    <w:rsid w:val="00E16279"/>
    <w:rsid w:val="00E16293"/>
    <w:rsid w:val="00E16321"/>
    <w:rsid w:val="00E1635C"/>
    <w:rsid w:val="00E21377"/>
    <w:rsid w:val="00E214A7"/>
    <w:rsid w:val="00E21C2C"/>
    <w:rsid w:val="00E223F1"/>
    <w:rsid w:val="00E22B7D"/>
    <w:rsid w:val="00E22C35"/>
    <w:rsid w:val="00E22FA8"/>
    <w:rsid w:val="00E2318D"/>
    <w:rsid w:val="00E232BD"/>
    <w:rsid w:val="00E23A67"/>
    <w:rsid w:val="00E23ED8"/>
    <w:rsid w:val="00E24009"/>
    <w:rsid w:val="00E24FC0"/>
    <w:rsid w:val="00E25D73"/>
    <w:rsid w:val="00E26673"/>
    <w:rsid w:val="00E26778"/>
    <w:rsid w:val="00E269B6"/>
    <w:rsid w:val="00E26DBB"/>
    <w:rsid w:val="00E26DC6"/>
    <w:rsid w:val="00E271A8"/>
    <w:rsid w:val="00E2748E"/>
    <w:rsid w:val="00E27692"/>
    <w:rsid w:val="00E27C9B"/>
    <w:rsid w:val="00E27FC1"/>
    <w:rsid w:val="00E30023"/>
    <w:rsid w:val="00E30133"/>
    <w:rsid w:val="00E306A7"/>
    <w:rsid w:val="00E3096C"/>
    <w:rsid w:val="00E3097B"/>
    <w:rsid w:val="00E3129C"/>
    <w:rsid w:val="00E315C6"/>
    <w:rsid w:val="00E31EC2"/>
    <w:rsid w:val="00E322DC"/>
    <w:rsid w:val="00E32470"/>
    <w:rsid w:val="00E328F9"/>
    <w:rsid w:val="00E33DD5"/>
    <w:rsid w:val="00E340DA"/>
    <w:rsid w:val="00E34A0F"/>
    <w:rsid w:val="00E34A69"/>
    <w:rsid w:val="00E35E1B"/>
    <w:rsid w:val="00E363D9"/>
    <w:rsid w:val="00E3656B"/>
    <w:rsid w:val="00E3697A"/>
    <w:rsid w:val="00E4000A"/>
    <w:rsid w:val="00E403F2"/>
    <w:rsid w:val="00E4095F"/>
    <w:rsid w:val="00E40A0B"/>
    <w:rsid w:val="00E41292"/>
    <w:rsid w:val="00E413AD"/>
    <w:rsid w:val="00E41DCD"/>
    <w:rsid w:val="00E4246E"/>
    <w:rsid w:val="00E424D6"/>
    <w:rsid w:val="00E42767"/>
    <w:rsid w:val="00E42C21"/>
    <w:rsid w:val="00E42E79"/>
    <w:rsid w:val="00E43674"/>
    <w:rsid w:val="00E436A0"/>
    <w:rsid w:val="00E43920"/>
    <w:rsid w:val="00E43F88"/>
    <w:rsid w:val="00E43F89"/>
    <w:rsid w:val="00E441DE"/>
    <w:rsid w:val="00E444D5"/>
    <w:rsid w:val="00E44ADB"/>
    <w:rsid w:val="00E45CEC"/>
    <w:rsid w:val="00E46408"/>
    <w:rsid w:val="00E46A5A"/>
    <w:rsid w:val="00E474F0"/>
    <w:rsid w:val="00E506C8"/>
    <w:rsid w:val="00E50DEE"/>
    <w:rsid w:val="00E5124B"/>
    <w:rsid w:val="00E51788"/>
    <w:rsid w:val="00E51A4C"/>
    <w:rsid w:val="00E52689"/>
    <w:rsid w:val="00E528CF"/>
    <w:rsid w:val="00E529B0"/>
    <w:rsid w:val="00E52B43"/>
    <w:rsid w:val="00E52BFA"/>
    <w:rsid w:val="00E539DB"/>
    <w:rsid w:val="00E53B7D"/>
    <w:rsid w:val="00E5419B"/>
    <w:rsid w:val="00E54550"/>
    <w:rsid w:val="00E545FE"/>
    <w:rsid w:val="00E5498A"/>
    <w:rsid w:val="00E54D4E"/>
    <w:rsid w:val="00E54E56"/>
    <w:rsid w:val="00E54E64"/>
    <w:rsid w:val="00E55163"/>
    <w:rsid w:val="00E55D9E"/>
    <w:rsid w:val="00E55DEB"/>
    <w:rsid w:val="00E56069"/>
    <w:rsid w:val="00E56308"/>
    <w:rsid w:val="00E5677B"/>
    <w:rsid w:val="00E56AC7"/>
    <w:rsid w:val="00E56B02"/>
    <w:rsid w:val="00E56D88"/>
    <w:rsid w:val="00E56E9F"/>
    <w:rsid w:val="00E570A0"/>
    <w:rsid w:val="00E57114"/>
    <w:rsid w:val="00E574A6"/>
    <w:rsid w:val="00E5786E"/>
    <w:rsid w:val="00E60808"/>
    <w:rsid w:val="00E60ACD"/>
    <w:rsid w:val="00E61663"/>
    <w:rsid w:val="00E61784"/>
    <w:rsid w:val="00E61D88"/>
    <w:rsid w:val="00E624F3"/>
    <w:rsid w:val="00E628B0"/>
    <w:rsid w:val="00E63497"/>
    <w:rsid w:val="00E63725"/>
    <w:rsid w:val="00E637D3"/>
    <w:rsid w:val="00E63B6A"/>
    <w:rsid w:val="00E63E29"/>
    <w:rsid w:val="00E63F25"/>
    <w:rsid w:val="00E6409A"/>
    <w:rsid w:val="00E6429C"/>
    <w:rsid w:val="00E64571"/>
    <w:rsid w:val="00E646A0"/>
    <w:rsid w:val="00E64742"/>
    <w:rsid w:val="00E64EAD"/>
    <w:rsid w:val="00E652B2"/>
    <w:rsid w:val="00E656B8"/>
    <w:rsid w:val="00E65DCD"/>
    <w:rsid w:val="00E66478"/>
    <w:rsid w:val="00E66A6F"/>
    <w:rsid w:val="00E66DA0"/>
    <w:rsid w:val="00E67365"/>
    <w:rsid w:val="00E67424"/>
    <w:rsid w:val="00E675CC"/>
    <w:rsid w:val="00E675DC"/>
    <w:rsid w:val="00E67824"/>
    <w:rsid w:val="00E67B91"/>
    <w:rsid w:val="00E67CFD"/>
    <w:rsid w:val="00E70203"/>
    <w:rsid w:val="00E7024E"/>
    <w:rsid w:val="00E70533"/>
    <w:rsid w:val="00E70871"/>
    <w:rsid w:val="00E70C60"/>
    <w:rsid w:val="00E71143"/>
    <w:rsid w:val="00E715BB"/>
    <w:rsid w:val="00E71797"/>
    <w:rsid w:val="00E71B8A"/>
    <w:rsid w:val="00E71B92"/>
    <w:rsid w:val="00E72048"/>
    <w:rsid w:val="00E72554"/>
    <w:rsid w:val="00E72A15"/>
    <w:rsid w:val="00E72C1F"/>
    <w:rsid w:val="00E748E0"/>
    <w:rsid w:val="00E748E9"/>
    <w:rsid w:val="00E74C25"/>
    <w:rsid w:val="00E7568A"/>
    <w:rsid w:val="00E75E01"/>
    <w:rsid w:val="00E75E76"/>
    <w:rsid w:val="00E7673B"/>
    <w:rsid w:val="00E77EE5"/>
    <w:rsid w:val="00E80132"/>
    <w:rsid w:val="00E8042A"/>
    <w:rsid w:val="00E8065B"/>
    <w:rsid w:val="00E80AC6"/>
    <w:rsid w:val="00E8145D"/>
    <w:rsid w:val="00E81766"/>
    <w:rsid w:val="00E81AD7"/>
    <w:rsid w:val="00E81BD7"/>
    <w:rsid w:val="00E820E2"/>
    <w:rsid w:val="00E821A8"/>
    <w:rsid w:val="00E82C0F"/>
    <w:rsid w:val="00E82EED"/>
    <w:rsid w:val="00E831B4"/>
    <w:rsid w:val="00E8324C"/>
    <w:rsid w:val="00E833B8"/>
    <w:rsid w:val="00E8396D"/>
    <w:rsid w:val="00E83C58"/>
    <w:rsid w:val="00E83FB6"/>
    <w:rsid w:val="00E8477E"/>
    <w:rsid w:val="00E85760"/>
    <w:rsid w:val="00E85D68"/>
    <w:rsid w:val="00E85F36"/>
    <w:rsid w:val="00E8601C"/>
    <w:rsid w:val="00E86A54"/>
    <w:rsid w:val="00E872E6"/>
    <w:rsid w:val="00E876C1"/>
    <w:rsid w:val="00E877DF"/>
    <w:rsid w:val="00E87CFC"/>
    <w:rsid w:val="00E90008"/>
    <w:rsid w:val="00E90382"/>
    <w:rsid w:val="00E908C9"/>
    <w:rsid w:val="00E91316"/>
    <w:rsid w:val="00E91536"/>
    <w:rsid w:val="00E91755"/>
    <w:rsid w:val="00E91870"/>
    <w:rsid w:val="00E9192F"/>
    <w:rsid w:val="00E91BF9"/>
    <w:rsid w:val="00E92208"/>
    <w:rsid w:val="00E92ECE"/>
    <w:rsid w:val="00E93169"/>
    <w:rsid w:val="00E937D8"/>
    <w:rsid w:val="00E93E66"/>
    <w:rsid w:val="00E9422F"/>
    <w:rsid w:val="00E94277"/>
    <w:rsid w:val="00E942CF"/>
    <w:rsid w:val="00E944BB"/>
    <w:rsid w:val="00E94773"/>
    <w:rsid w:val="00E94C84"/>
    <w:rsid w:val="00E94F5B"/>
    <w:rsid w:val="00E95131"/>
    <w:rsid w:val="00E954EA"/>
    <w:rsid w:val="00E96411"/>
    <w:rsid w:val="00E96618"/>
    <w:rsid w:val="00E96778"/>
    <w:rsid w:val="00E967AB"/>
    <w:rsid w:val="00E9684C"/>
    <w:rsid w:val="00E96AED"/>
    <w:rsid w:val="00EA001C"/>
    <w:rsid w:val="00EA0216"/>
    <w:rsid w:val="00EA0710"/>
    <w:rsid w:val="00EA07EB"/>
    <w:rsid w:val="00EA0B0A"/>
    <w:rsid w:val="00EA14B3"/>
    <w:rsid w:val="00EA14EC"/>
    <w:rsid w:val="00EA16A9"/>
    <w:rsid w:val="00EA170E"/>
    <w:rsid w:val="00EA18EE"/>
    <w:rsid w:val="00EA1BBF"/>
    <w:rsid w:val="00EA2024"/>
    <w:rsid w:val="00EA23AB"/>
    <w:rsid w:val="00EA3470"/>
    <w:rsid w:val="00EA35FA"/>
    <w:rsid w:val="00EA3F73"/>
    <w:rsid w:val="00EA41FD"/>
    <w:rsid w:val="00EA47A7"/>
    <w:rsid w:val="00EA4982"/>
    <w:rsid w:val="00EA5181"/>
    <w:rsid w:val="00EA571F"/>
    <w:rsid w:val="00EA5B15"/>
    <w:rsid w:val="00EA6181"/>
    <w:rsid w:val="00EA626A"/>
    <w:rsid w:val="00EA6448"/>
    <w:rsid w:val="00EA6B11"/>
    <w:rsid w:val="00EB04B6"/>
    <w:rsid w:val="00EB0604"/>
    <w:rsid w:val="00EB1FA3"/>
    <w:rsid w:val="00EB24BA"/>
    <w:rsid w:val="00EB26B7"/>
    <w:rsid w:val="00EB2A10"/>
    <w:rsid w:val="00EB2A78"/>
    <w:rsid w:val="00EB2ADD"/>
    <w:rsid w:val="00EB33F9"/>
    <w:rsid w:val="00EB360F"/>
    <w:rsid w:val="00EB3BF7"/>
    <w:rsid w:val="00EB4CB1"/>
    <w:rsid w:val="00EB5C2B"/>
    <w:rsid w:val="00EB66B8"/>
    <w:rsid w:val="00EB6E4A"/>
    <w:rsid w:val="00EB7216"/>
    <w:rsid w:val="00EB7960"/>
    <w:rsid w:val="00EB7BD5"/>
    <w:rsid w:val="00EB7EF4"/>
    <w:rsid w:val="00EC0C0E"/>
    <w:rsid w:val="00EC14FB"/>
    <w:rsid w:val="00EC1A18"/>
    <w:rsid w:val="00EC1CB7"/>
    <w:rsid w:val="00EC232D"/>
    <w:rsid w:val="00EC23BB"/>
    <w:rsid w:val="00EC2564"/>
    <w:rsid w:val="00EC2762"/>
    <w:rsid w:val="00EC2D52"/>
    <w:rsid w:val="00EC3099"/>
    <w:rsid w:val="00EC374D"/>
    <w:rsid w:val="00EC47DD"/>
    <w:rsid w:val="00EC4C81"/>
    <w:rsid w:val="00EC596D"/>
    <w:rsid w:val="00EC642E"/>
    <w:rsid w:val="00EC6A81"/>
    <w:rsid w:val="00EC6AF4"/>
    <w:rsid w:val="00EC6B4F"/>
    <w:rsid w:val="00EC769A"/>
    <w:rsid w:val="00ED0761"/>
    <w:rsid w:val="00ED0934"/>
    <w:rsid w:val="00ED0B16"/>
    <w:rsid w:val="00ED0BF0"/>
    <w:rsid w:val="00ED0F3D"/>
    <w:rsid w:val="00ED0F69"/>
    <w:rsid w:val="00ED0FBE"/>
    <w:rsid w:val="00ED1370"/>
    <w:rsid w:val="00ED1508"/>
    <w:rsid w:val="00ED17AA"/>
    <w:rsid w:val="00ED287A"/>
    <w:rsid w:val="00ED29E1"/>
    <w:rsid w:val="00ED2B8C"/>
    <w:rsid w:val="00ED3517"/>
    <w:rsid w:val="00ED3A18"/>
    <w:rsid w:val="00ED3EA7"/>
    <w:rsid w:val="00ED41C6"/>
    <w:rsid w:val="00ED4B74"/>
    <w:rsid w:val="00ED5303"/>
    <w:rsid w:val="00ED533C"/>
    <w:rsid w:val="00ED552E"/>
    <w:rsid w:val="00ED6190"/>
    <w:rsid w:val="00ED62F0"/>
    <w:rsid w:val="00ED63EB"/>
    <w:rsid w:val="00ED6439"/>
    <w:rsid w:val="00ED6658"/>
    <w:rsid w:val="00ED68A1"/>
    <w:rsid w:val="00ED6B4F"/>
    <w:rsid w:val="00ED6F70"/>
    <w:rsid w:val="00ED75FE"/>
    <w:rsid w:val="00EE0280"/>
    <w:rsid w:val="00EE11F2"/>
    <w:rsid w:val="00EE2257"/>
    <w:rsid w:val="00EE243B"/>
    <w:rsid w:val="00EE271E"/>
    <w:rsid w:val="00EE27E5"/>
    <w:rsid w:val="00EE29D4"/>
    <w:rsid w:val="00EE317D"/>
    <w:rsid w:val="00EE319C"/>
    <w:rsid w:val="00EE3671"/>
    <w:rsid w:val="00EE3F41"/>
    <w:rsid w:val="00EE4C1D"/>
    <w:rsid w:val="00EE5086"/>
    <w:rsid w:val="00EE5114"/>
    <w:rsid w:val="00EE5335"/>
    <w:rsid w:val="00EE546A"/>
    <w:rsid w:val="00EE550A"/>
    <w:rsid w:val="00EE5534"/>
    <w:rsid w:val="00EE56FE"/>
    <w:rsid w:val="00EE5B09"/>
    <w:rsid w:val="00EE63DA"/>
    <w:rsid w:val="00EE6C1C"/>
    <w:rsid w:val="00EE70FE"/>
    <w:rsid w:val="00EE71D5"/>
    <w:rsid w:val="00EE7476"/>
    <w:rsid w:val="00EE7610"/>
    <w:rsid w:val="00EE7D57"/>
    <w:rsid w:val="00EF007D"/>
    <w:rsid w:val="00EF00E7"/>
    <w:rsid w:val="00EF0F7E"/>
    <w:rsid w:val="00EF10BE"/>
    <w:rsid w:val="00EF1420"/>
    <w:rsid w:val="00EF14D2"/>
    <w:rsid w:val="00EF1857"/>
    <w:rsid w:val="00EF293D"/>
    <w:rsid w:val="00EF2B46"/>
    <w:rsid w:val="00EF2D6E"/>
    <w:rsid w:val="00EF310C"/>
    <w:rsid w:val="00EF340D"/>
    <w:rsid w:val="00EF3905"/>
    <w:rsid w:val="00EF3C11"/>
    <w:rsid w:val="00EF420A"/>
    <w:rsid w:val="00EF49F2"/>
    <w:rsid w:val="00EF52E4"/>
    <w:rsid w:val="00EF5721"/>
    <w:rsid w:val="00EF5802"/>
    <w:rsid w:val="00EF6B6B"/>
    <w:rsid w:val="00EF7055"/>
    <w:rsid w:val="00EF72A4"/>
    <w:rsid w:val="00EF77DF"/>
    <w:rsid w:val="00EF7AF6"/>
    <w:rsid w:val="00EF7B8C"/>
    <w:rsid w:val="00F00349"/>
    <w:rsid w:val="00F00706"/>
    <w:rsid w:val="00F00D41"/>
    <w:rsid w:val="00F01F1F"/>
    <w:rsid w:val="00F02242"/>
    <w:rsid w:val="00F023CF"/>
    <w:rsid w:val="00F03006"/>
    <w:rsid w:val="00F03193"/>
    <w:rsid w:val="00F036C9"/>
    <w:rsid w:val="00F03717"/>
    <w:rsid w:val="00F03B7B"/>
    <w:rsid w:val="00F041F2"/>
    <w:rsid w:val="00F046A0"/>
    <w:rsid w:val="00F047D3"/>
    <w:rsid w:val="00F0490C"/>
    <w:rsid w:val="00F04932"/>
    <w:rsid w:val="00F04BFB"/>
    <w:rsid w:val="00F04CE0"/>
    <w:rsid w:val="00F04FE1"/>
    <w:rsid w:val="00F0516B"/>
    <w:rsid w:val="00F05288"/>
    <w:rsid w:val="00F0591A"/>
    <w:rsid w:val="00F06299"/>
    <w:rsid w:val="00F06510"/>
    <w:rsid w:val="00F0651F"/>
    <w:rsid w:val="00F0670C"/>
    <w:rsid w:val="00F06D19"/>
    <w:rsid w:val="00F07377"/>
    <w:rsid w:val="00F074F0"/>
    <w:rsid w:val="00F07AF6"/>
    <w:rsid w:val="00F11222"/>
    <w:rsid w:val="00F115C6"/>
    <w:rsid w:val="00F11BF0"/>
    <w:rsid w:val="00F11E61"/>
    <w:rsid w:val="00F11F56"/>
    <w:rsid w:val="00F12559"/>
    <w:rsid w:val="00F1299B"/>
    <w:rsid w:val="00F12C8D"/>
    <w:rsid w:val="00F13A03"/>
    <w:rsid w:val="00F13A85"/>
    <w:rsid w:val="00F145B8"/>
    <w:rsid w:val="00F14D58"/>
    <w:rsid w:val="00F153DE"/>
    <w:rsid w:val="00F15754"/>
    <w:rsid w:val="00F1593C"/>
    <w:rsid w:val="00F15E86"/>
    <w:rsid w:val="00F1640D"/>
    <w:rsid w:val="00F16679"/>
    <w:rsid w:val="00F167F6"/>
    <w:rsid w:val="00F1691E"/>
    <w:rsid w:val="00F16B7F"/>
    <w:rsid w:val="00F1751F"/>
    <w:rsid w:val="00F178D7"/>
    <w:rsid w:val="00F2031F"/>
    <w:rsid w:val="00F20DB8"/>
    <w:rsid w:val="00F20E39"/>
    <w:rsid w:val="00F21223"/>
    <w:rsid w:val="00F212D4"/>
    <w:rsid w:val="00F21A41"/>
    <w:rsid w:val="00F21AE5"/>
    <w:rsid w:val="00F227C4"/>
    <w:rsid w:val="00F2280A"/>
    <w:rsid w:val="00F22A88"/>
    <w:rsid w:val="00F23412"/>
    <w:rsid w:val="00F2405A"/>
    <w:rsid w:val="00F2419B"/>
    <w:rsid w:val="00F245AC"/>
    <w:rsid w:val="00F249BA"/>
    <w:rsid w:val="00F24C12"/>
    <w:rsid w:val="00F2538A"/>
    <w:rsid w:val="00F257C1"/>
    <w:rsid w:val="00F25921"/>
    <w:rsid w:val="00F265A0"/>
    <w:rsid w:val="00F267B5"/>
    <w:rsid w:val="00F26E7E"/>
    <w:rsid w:val="00F26F05"/>
    <w:rsid w:val="00F276AD"/>
    <w:rsid w:val="00F27B65"/>
    <w:rsid w:val="00F27F0C"/>
    <w:rsid w:val="00F3033F"/>
    <w:rsid w:val="00F30603"/>
    <w:rsid w:val="00F30F3E"/>
    <w:rsid w:val="00F317E6"/>
    <w:rsid w:val="00F31E28"/>
    <w:rsid w:val="00F31EDA"/>
    <w:rsid w:val="00F32877"/>
    <w:rsid w:val="00F32A91"/>
    <w:rsid w:val="00F32B4F"/>
    <w:rsid w:val="00F32B6F"/>
    <w:rsid w:val="00F32CD2"/>
    <w:rsid w:val="00F32E9D"/>
    <w:rsid w:val="00F331C9"/>
    <w:rsid w:val="00F336E7"/>
    <w:rsid w:val="00F33C59"/>
    <w:rsid w:val="00F33E4C"/>
    <w:rsid w:val="00F349A2"/>
    <w:rsid w:val="00F34AE6"/>
    <w:rsid w:val="00F34C9A"/>
    <w:rsid w:val="00F34E3B"/>
    <w:rsid w:val="00F34F25"/>
    <w:rsid w:val="00F3510A"/>
    <w:rsid w:val="00F35595"/>
    <w:rsid w:val="00F35853"/>
    <w:rsid w:val="00F36139"/>
    <w:rsid w:val="00F364AE"/>
    <w:rsid w:val="00F36A1E"/>
    <w:rsid w:val="00F37232"/>
    <w:rsid w:val="00F40060"/>
    <w:rsid w:val="00F400F8"/>
    <w:rsid w:val="00F40645"/>
    <w:rsid w:val="00F4073F"/>
    <w:rsid w:val="00F407D9"/>
    <w:rsid w:val="00F408F4"/>
    <w:rsid w:val="00F41230"/>
    <w:rsid w:val="00F41A4A"/>
    <w:rsid w:val="00F41DB4"/>
    <w:rsid w:val="00F421C0"/>
    <w:rsid w:val="00F422B0"/>
    <w:rsid w:val="00F431C7"/>
    <w:rsid w:val="00F43AB1"/>
    <w:rsid w:val="00F44428"/>
    <w:rsid w:val="00F44782"/>
    <w:rsid w:val="00F44BA9"/>
    <w:rsid w:val="00F4542E"/>
    <w:rsid w:val="00F45ACA"/>
    <w:rsid w:val="00F45EF8"/>
    <w:rsid w:val="00F460D8"/>
    <w:rsid w:val="00F46149"/>
    <w:rsid w:val="00F46405"/>
    <w:rsid w:val="00F46D4B"/>
    <w:rsid w:val="00F46F44"/>
    <w:rsid w:val="00F47F81"/>
    <w:rsid w:val="00F5003A"/>
    <w:rsid w:val="00F502F9"/>
    <w:rsid w:val="00F5054D"/>
    <w:rsid w:val="00F506E1"/>
    <w:rsid w:val="00F5084D"/>
    <w:rsid w:val="00F5092F"/>
    <w:rsid w:val="00F50A27"/>
    <w:rsid w:val="00F50A76"/>
    <w:rsid w:val="00F50AD3"/>
    <w:rsid w:val="00F50B34"/>
    <w:rsid w:val="00F50B84"/>
    <w:rsid w:val="00F50E3E"/>
    <w:rsid w:val="00F514DF"/>
    <w:rsid w:val="00F5186F"/>
    <w:rsid w:val="00F522AD"/>
    <w:rsid w:val="00F52610"/>
    <w:rsid w:val="00F526A3"/>
    <w:rsid w:val="00F5274C"/>
    <w:rsid w:val="00F52DDB"/>
    <w:rsid w:val="00F535B1"/>
    <w:rsid w:val="00F53979"/>
    <w:rsid w:val="00F53A88"/>
    <w:rsid w:val="00F54082"/>
    <w:rsid w:val="00F54297"/>
    <w:rsid w:val="00F54F47"/>
    <w:rsid w:val="00F5547A"/>
    <w:rsid w:val="00F5604C"/>
    <w:rsid w:val="00F56582"/>
    <w:rsid w:val="00F566C5"/>
    <w:rsid w:val="00F56D05"/>
    <w:rsid w:val="00F56DD1"/>
    <w:rsid w:val="00F572FA"/>
    <w:rsid w:val="00F57464"/>
    <w:rsid w:val="00F574C2"/>
    <w:rsid w:val="00F5797A"/>
    <w:rsid w:val="00F57B20"/>
    <w:rsid w:val="00F57CA2"/>
    <w:rsid w:val="00F57D41"/>
    <w:rsid w:val="00F60548"/>
    <w:rsid w:val="00F60599"/>
    <w:rsid w:val="00F6070F"/>
    <w:rsid w:val="00F60777"/>
    <w:rsid w:val="00F60892"/>
    <w:rsid w:val="00F60D8A"/>
    <w:rsid w:val="00F60F46"/>
    <w:rsid w:val="00F613C5"/>
    <w:rsid w:val="00F6171E"/>
    <w:rsid w:val="00F61913"/>
    <w:rsid w:val="00F619F2"/>
    <w:rsid w:val="00F61AB8"/>
    <w:rsid w:val="00F61EA6"/>
    <w:rsid w:val="00F62DF4"/>
    <w:rsid w:val="00F63392"/>
    <w:rsid w:val="00F6369E"/>
    <w:rsid w:val="00F640FF"/>
    <w:rsid w:val="00F64BFE"/>
    <w:rsid w:val="00F64D9B"/>
    <w:rsid w:val="00F6523B"/>
    <w:rsid w:val="00F65EDC"/>
    <w:rsid w:val="00F66401"/>
    <w:rsid w:val="00F6649E"/>
    <w:rsid w:val="00F66534"/>
    <w:rsid w:val="00F666AF"/>
    <w:rsid w:val="00F669C5"/>
    <w:rsid w:val="00F66C15"/>
    <w:rsid w:val="00F670BC"/>
    <w:rsid w:val="00F67918"/>
    <w:rsid w:val="00F67D6C"/>
    <w:rsid w:val="00F700CC"/>
    <w:rsid w:val="00F702F6"/>
    <w:rsid w:val="00F70673"/>
    <w:rsid w:val="00F706AC"/>
    <w:rsid w:val="00F708CB"/>
    <w:rsid w:val="00F71092"/>
    <w:rsid w:val="00F711A3"/>
    <w:rsid w:val="00F714A7"/>
    <w:rsid w:val="00F721FC"/>
    <w:rsid w:val="00F7275F"/>
    <w:rsid w:val="00F727BB"/>
    <w:rsid w:val="00F72ACD"/>
    <w:rsid w:val="00F72D18"/>
    <w:rsid w:val="00F72EAC"/>
    <w:rsid w:val="00F72F29"/>
    <w:rsid w:val="00F72F9D"/>
    <w:rsid w:val="00F734AD"/>
    <w:rsid w:val="00F735B9"/>
    <w:rsid w:val="00F736E0"/>
    <w:rsid w:val="00F737F4"/>
    <w:rsid w:val="00F7397F"/>
    <w:rsid w:val="00F73B88"/>
    <w:rsid w:val="00F73D5F"/>
    <w:rsid w:val="00F73E17"/>
    <w:rsid w:val="00F74026"/>
    <w:rsid w:val="00F74138"/>
    <w:rsid w:val="00F74222"/>
    <w:rsid w:val="00F7424D"/>
    <w:rsid w:val="00F74A50"/>
    <w:rsid w:val="00F75364"/>
    <w:rsid w:val="00F75B5B"/>
    <w:rsid w:val="00F75BE9"/>
    <w:rsid w:val="00F76269"/>
    <w:rsid w:val="00F7634B"/>
    <w:rsid w:val="00F7671D"/>
    <w:rsid w:val="00F7674C"/>
    <w:rsid w:val="00F77385"/>
    <w:rsid w:val="00F7795C"/>
    <w:rsid w:val="00F77AD9"/>
    <w:rsid w:val="00F77B01"/>
    <w:rsid w:val="00F80368"/>
    <w:rsid w:val="00F80B23"/>
    <w:rsid w:val="00F810E0"/>
    <w:rsid w:val="00F82001"/>
    <w:rsid w:val="00F8245E"/>
    <w:rsid w:val="00F827D8"/>
    <w:rsid w:val="00F82A1C"/>
    <w:rsid w:val="00F830F7"/>
    <w:rsid w:val="00F83561"/>
    <w:rsid w:val="00F841A0"/>
    <w:rsid w:val="00F84437"/>
    <w:rsid w:val="00F84A97"/>
    <w:rsid w:val="00F84CE9"/>
    <w:rsid w:val="00F853E7"/>
    <w:rsid w:val="00F85624"/>
    <w:rsid w:val="00F856F7"/>
    <w:rsid w:val="00F85816"/>
    <w:rsid w:val="00F85BE3"/>
    <w:rsid w:val="00F85F33"/>
    <w:rsid w:val="00F86F8C"/>
    <w:rsid w:val="00F876F4"/>
    <w:rsid w:val="00F87C04"/>
    <w:rsid w:val="00F9007B"/>
    <w:rsid w:val="00F90311"/>
    <w:rsid w:val="00F90554"/>
    <w:rsid w:val="00F90990"/>
    <w:rsid w:val="00F909BD"/>
    <w:rsid w:val="00F90C39"/>
    <w:rsid w:val="00F915A0"/>
    <w:rsid w:val="00F91645"/>
    <w:rsid w:val="00F91F85"/>
    <w:rsid w:val="00F92298"/>
    <w:rsid w:val="00F9254C"/>
    <w:rsid w:val="00F92643"/>
    <w:rsid w:val="00F92799"/>
    <w:rsid w:val="00F92F5F"/>
    <w:rsid w:val="00F93A82"/>
    <w:rsid w:val="00F93DD8"/>
    <w:rsid w:val="00F93E66"/>
    <w:rsid w:val="00F93EE3"/>
    <w:rsid w:val="00F94820"/>
    <w:rsid w:val="00F959D6"/>
    <w:rsid w:val="00F95C63"/>
    <w:rsid w:val="00F95D6D"/>
    <w:rsid w:val="00F95F63"/>
    <w:rsid w:val="00F96B72"/>
    <w:rsid w:val="00F96D9E"/>
    <w:rsid w:val="00F97235"/>
    <w:rsid w:val="00F97FB8"/>
    <w:rsid w:val="00FA0192"/>
    <w:rsid w:val="00FA036D"/>
    <w:rsid w:val="00FA05EB"/>
    <w:rsid w:val="00FA1765"/>
    <w:rsid w:val="00FA3099"/>
    <w:rsid w:val="00FA3247"/>
    <w:rsid w:val="00FA3B5B"/>
    <w:rsid w:val="00FA3CBE"/>
    <w:rsid w:val="00FA3E4C"/>
    <w:rsid w:val="00FA3FA3"/>
    <w:rsid w:val="00FA4288"/>
    <w:rsid w:val="00FA4534"/>
    <w:rsid w:val="00FA4B2F"/>
    <w:rsid w:val="00FA53B5"/>
    <w:rsid w:val="00FA5A9F"/>
    <w:rsid w:val="00FA600D"/>
    <w:rsid w:val="00FA607F"/>
    <w:rsid w:val="00FA67AB"/>
    <w:rsid w:val="00FA67C6"/>
    <w:rsid w:val="00FA6CA8"/>
    <w:rsid w:val="00FA70A4"/>
    <w:rsid w:val="00FA7513"/>
    <w:rsid w:val="00FA7BBA"/>
    <w:rsid w:val="00FA7C2C"/>
    <w:rsid w:val="00FB10E9"/>
    <w:rsid w:val="00FB126B"/>
    <w:rsid w:val="00FB19BB"/>
    <w:rsid w:val="00FB2182"/>
    <w:rsid w:val="00FB2A81"/>
    <w:rsid w:val="00FB2C1A"/>
    <w:rsid w:val="00FB3126"/>
    <w:rsid w:val="00FB3273"/>
    <w:rsid w:val="00FB3418"/>
    <w:rsid w:val="00FB44E8"/>
    <w:rsid w:val="00FB484C"/>
    <w:rsid w:val="00FB4A84"/>
    <w:rsid w:val="00FB4B9D"/>
    <w:rsid w:val="00FB4D5A"/>
    <w:rsid w:val="00FB5342"/>
    <w:rsid w:val="00FB540D"/>
    <w:rsid w:val="00FB5781"/>
    <w:rsid w:val="00FB58B0"/>
    <w:rsid w:val="00FB6F34"/>
    <w:rsid w:val="00FB702A"/>
    <w:rsid w:val="00FC17CB"/>
    <w:rsid w:val="00FC3068"/>
    <w:rsid w:val="00FC3137"/>
    <w:rsid w:val="00FC4582"/>
    <w:rsid w:val="00FC4BA4"/>
    <w:rsid w:val="00FC4C20"/>
    <w:rsid w:val="00FC4F1D"/>
    <w:rsid w:val="00FC4FEE"/>
    <w:rsid w:val="00FC5137"/>
    <w:rsid w:val="00FC5763"/>
    <w:rsid w:val="00FC5795"/>
    <w:rsid w:val="00FC5991"/>
    <w:rsid w:val="00FC59DA"/>
    <w:rsid w:val="00FC5ABC"/>
    <w:rsid w:val="00FC643C"/>
    <w:rsid w:val="00FC69A6"/>
    <w:rsid w:val="00FC6A42"/>
    <w:rsid w:val="00FC6C11"/>
    <w:rsid w:val="00FC7317"/>
    <w:rsid w:val="00FC75DE"/>
    <w:rsid w:val="00FC79AF"/>
    <w:rsid w:val="00FC7B15"/>
    <w:rsid w:val="00FC7FFD"/>
    <w:rsid w:val="00FD045E"/>
    <w:rsid w:val="00FD0CBE"/>
    <w:rsid w:val="00FD0CC9"/>
    <w:rsid w:val="00FD0EF8"/>
    <w:rsid w:val="00FD0F38"/>
    <w:rsid w:val="00FD1F6B"/>
    <w:rsid w:val="00FD2232"/>
    <w:rsid w:val="00FD23AD"/>
    <w:rsid w:val="00FD2763"/>
    <w:rsid w:val="00FD2CBE"/>
    <w:rsid w:val="00FD3A4C"/>
    <w:rsid w:val="00FD3EFA"/>
    <w:rsid w:val="00FD4069"/>
    <w:rsid w:val="00FD487B"/>
    <w:rsid w:val="00FD4BDE"/>
    <w:rsid w:val="00FD4D60"/>
    <w:rsid w:val="00FD4DDA"/>
    <w:rsid w:val="00FD52FC"/>
    <w:rsid w:val="00FD5326"/>
    <w:rsid w:val="00FD57A8"/>
    <w:rsid w:val="00FD5A2B"/>
    <w:rsid w:val="00FD5D54"/>
    <w:rsid w:val="00FD5F6A"/>
    <w:rsid w:val="00FD5FB8"/>
    <w:rsid w:val="00FD635B"/>
    <w:rsid w:val="00FD656A"/>
    <w:rsid w:val="00FD6B69"/>
    <w:rsid w:val="00FD710E"/>
    <w:rsid w:val="00FD7D32"/>
    <w:rsid w:val="00FE0801"/>
    <w:rsid w:val="00FE0840"/>
    <w:rsid w:val="00FE0A64"/>
    <w:rsid w:val="00FE1435"/>
    <w:rsid w:val="00FE17AA"/>
    <w:rsid w:val="00FE1A89"/>
    <w:rsid w:val="00FE1D42"/>
    <w:rsid w:val="00FE202C"/>
    <w:rsid w:val="00FE2157"/>
    <w:rsid w:val="00FE275D"/>
    <w:rsid w:val="00FE2905"/>
    <w:rsid w:val="00FE2C6E"/>
    <w:rsid w:val="00FE32BC"/>
    <w:rsid w:val="00FE3336"/>
    <w:rsid w:val="00FE3A37"/>
    <w:rsid w:val="00FE40FB"/>
    <w:rsid w:val="00FE48B4"/>
    <w:rsid w:val="00FE49E4"/>
    <w:rsid w:val="00FE4C82"/>
    <w:rsid w:val="00FE4E14"/>
    <w:rsid w:val="00FE4F9F"/>
    <w:rsid w:val="00FE4FA7"/>
    <w:rsid w:val="00FE53BB"/>
    <w:rsid w:val="00FE5467"/>
    <w:rsid w:val="00FE5E04"/>
    <w:rsid w:val="00FE6543"/>
    <w:rsid w:val="00FE6AAB"/>
    <w:rsid w:val="00FE6DD2"/>
    <w:rsid w:val="00FE6E7C"/>
    <w:rsid w:val="00FE7593"/>
    <w:rsid w:val="00FE7BA5"/>
    <w:rsid w:val="00FE7C87"/>
    <w:rsid w:val="00FF0BF0"/>
    <w:rsid w:val="00FF120C"/>
    <w:rsid w:val="00FF1A48"/>
    <w:rsid w:val="00FF2693"/>
    <w:rsid w:val="00FF3251"/>
    <w:rsid w:val="00FF334C"/>
    <w:rsid w:val="00FF351C"/>
    <w:rsid w:val="00FF375C"/>
    <w:rsid w:val="00FF47B6"/>
    <w:rsid w:val="00FF57A2"/>
    <w:rsid w:val="00FF57BF"/>
    <w:rsid w:val="00FF5ABE"/>
    <w:rsid w:val="00FF5D62"/>
    <w:rsid w:val="00FF5DCF"/>
    <w:rsid w:val="00FF5EFA"/>
    <w:rsid w:val="00FF63F3"/>
    <w:rsid w:val="00FF64AF"/>
    <w:rsid w:val="00FF69B0"/>
    <w:rsid w:val="00FF7445"/>
    <w:rsid w:val="00FF7BD4"/>
    <w:rsid w:val="3ACFF26F"/>
    <w:rsid w:val="623955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9AA82"/>
  <w15:docId w15:val="{BFDC3106-0462-442B-946E-96B0A5B6D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0090"/>
    <w:pPr>
      <w:spacing w:before="120" w:after="120" w:line="288" w:lineRule="auto"/>
    </w:pPr>
    <w:rPr>
      <w:rFonts w:ascii="Arial" w:hAnsi="Arial"/>
      <w:noProof/>
      <w:szCs w:val="24"/>
    </w:rPr>
  </w:style>
  <w:style w:type="paragraph" w:styleId="Heading1">
    <w:name w:val="heading 1"/>
    <w:aliases w:val="Cover Heading"/>
    <w:basedOn w:val="Normal"/>
    <w:next w:val="Normal"/>
    <w:link w:val="Heading1Char"/>
    <w:qFormat/>
    <w:rsid w:val="00EF6B6B"/>
    <w:pPr>
      <w:keepNext/>
      <w:pageBreakBefore/>
      <w:numPr>
        <w:numId w:val="2"/>
      </w:numPr>
      <w:spacing w:before="60" w:after="240"/>
      <w:ind w:left="0"/>
      <w:outlineLvl w:val="0"/>
    </w:pPr>
    <w:rPr>
      <w:rFonts w:ascii="Lucida Sans" w:hAnsi="Lucida Sans" w:cs="Arial"/>
      <w:b/>
      <w:bCs/>
      <w:color w:val="008000"/>
      <w:kern w:val="32"/>
      <w:sz w:val="32"/>
      <w:szCs w:val="32"/>
    </w:rPr>
  </w:style>
  <w:style w:type="paragraph" w:styleId="Heading2">
    <w:name w:val="heading 2"/>
    <w:basedOn w:val="Normal"/>
    <w:next w:val="Normal"/>
    <w:link w:val="Heading2Char"/>
    <w:qFormat/>
    <w:rsid w:val="00D95B6A"/>
    <w:pPr>
      <w:keepNext/>
      <w:numPr>
        <w:ilvl w:val="1"/>
        <w:numId w:val="2"/>
      </w:numPr>
      <w:spacing w:before="60"/>
      <w:outlineLvl w:val="1"/>
    </w:pPr>
    <w:rPr>
      <w:rFonts w:cs="Arial"/>
      <w:b/>
      <w:bCs/>
      <w:iCs/>
      <w:color w:val="008000"/>
      <w:sz w:val="24"/>
      <w:szCs w:val="28"/>
    </w:rPr>
  </w:style>
  <w:style w:type="paragraph" w:styleId="Heading3">
    <w:name w:val="heading 3"/>
    <w:basedOn w:val="Normal"/>
    <w:next w:val="Normal"/>
    <w:link w:val="Heading3Char"/>
    <w:qFormat/>
    <w:rsid w:val="000A31AF"/>
    <w:pPr>
      <w:keepNext/>
      <w:numPr>
        <w:ilvl w:val="2"/>
        <w:numId w:val="2"/>
      </w:numPr>
      <w:spacing w:before="240"/>
      <w:outlineLvl w:val="2"/>
    </w:pPr>
    <w:rPr>
      <w:rFonts w:cs="Arial"/>
      <w:b/>
      <w:bCs/>
      <w:color w:val="000000"/>
      <w:sz w:val="22"/>
      <w:szCs w:val="26"/>
    </w:rPr>
  </w:style>
  <w:style w:type="paragraph" w:styleId="Heading4">
    <w:name w:val="heading 4"/>
    <w:basedOn w:val="Normal"/>
    <w:next w:val="Normal"/>
    <w:link w:val="Heading4Char"/>
    <w:qFormat/>
    <w:rsid w:val="000A31AF"/>
    <w:pPr>
      <w:keepNext/>
      <w:numPr>
        <w:ilvl w:val="3"/>
        <w:numId w:val="2"/>
      </w:numPr>
      <w:spacing w:before="240" w:after="60"/>
      <w:outlineLvl w:val="3"/>
    </w:pPr>
    <w:rPr>
      <w:b/>
      <w:bCs/>
      <w:color w:val="000000"/>
      <w:szCs w:val="28"/>
    </w:rPr>
  </w:style>
  <w:style w:type="paragraph" w:styleId="Heading5">
    <w:name w:val="heading 5"/>
    <w:basedOn w:val="Normal"/>
    <w:next w:val="Normal"/>
    <w:link w:val="Heading5Char"/>
    <w:qFormat/>
    <w:rsid w:val="00664F33"/>
    <w:pPr>
      <w:keepNext/>
      <w:spacing w:before="240" w:after="60" w:line="240" w:lineRule="auto"/>
      <w:outlineLvl w:val="4"/>
    </w:pPr>
    <w:rPr>
      <w:b/>
      <w:bCs/>
      <w:iCs/>
      <w:sz w:val="18"/>
      <w:lang w:eastAsia="zh-CN"/>
    </w:rPr>
  </w:style>
  <w:style w:type="paragraph" w:styleId="Heading6">
    <w:name w:val="heading 6"/>
    <w:basedOn w:val="Normal"/>
    <w:next w:val="Normal"/>
    <w:link w:val="Heading6Char"/>
    <w:qFormat/>
    <w:rsid w:val="00A76AEB"/>
    <w:pPr>
      <w:spacing w:before="240" w:after="60" w:line="240" w:lineRule="auto"/>
      <w:ind w:left="1152" w:hanging="1152"/>
      <w:outlineLvl w:val="5"/>
    </w:pPr>
    <w:rPr>
      <w:rFonts w:ascii="Calibri" w:hAnsi="Calibri"/>
      <w:b/>
      <w:bCs/>
      <w:sz w:val="22"/>
      <w:szCs w:val="22"/>
      <w:lang w:eastAsia="zh-CN"/>
    </w:rPr>
  </w:style>
  <w:style w:type="paragraph" w:styleId="Heading7">
    <w:name w:val="heading 7"/>
    <w:basedOn w:val="Normal"/>
    <w:next w:val="Normal"/>
    <w:link w:val="Heading7Char"/>
    <w:qFormat/>
    <w:rsid w:val="00A76AEB"/>
    <w:pPr>
      <w:spacing w:before="240" w:after="60" w:line="240" w:lineRule="auto"/>
      <w:ind w:left="1296" w:hanging="1296"/>
      <w:outlineLvl w:val="6"/>
    </w:pPr>
    <w:rPr>
      <w:rFonts w:ascii="Calibri" w:hAnsi="Calibri"/>
      <w:sz w:val="24"/>
      <w:lang w:eastAsia="zh-CN"/>
    </w:rPr>
  </w:style>
  <w:style w:type="paragraph" w:styleId="Heading8">
    <w:name w:val="heading 8"/>
    <w:basedOn w:val="Normal"/>
    <w:next w:val="Normal"/>
    <w:link w:val="Heading8Char"/>
    <w:qFormat/>
    <w:rsid w:val="00A76AEB"/>
    <w:pPr>
      <w:spacing w:before="240" w:after="60" w:line="240" w:lineRule="auto"/>
      <w:ind w:left="1440" w:hanging="1440"/>
      <w:outlineLvl w:val="7"/>
    </w:pPr>
    <w:rPr>
      <w:rFonts w:ascii="Calibri" w:hAnsi="Calibri"/>
      <w:i/>
      <w:iCs/>
      <w:sz w:val="24"/>
      <w:lang w:eastAsia="zh-CN"/>
    </w:rPr>
  </w:style>
  <w:style w:type="paragraph" w:styleId="Heading9">
    <w:name w:val="heading 9"/>
    <w:basedOn w:val="Normal"/>
    <w:next w:val="Normal"/>
    <w:link w:val="Heading9Char"/>
    <w:qFormat/>
    <w:rsid w:val="00A76AEB"/>
    <w:pPr>
      <w:spacing w:before="240" w:after="60" w:line="240" w:lineRule="auto"/>
      <w:ind w:left="1584" w:hanging="1584"/>
      <w:outlineLvl w:val="8"/>
    </w:pPr>
    <w:rPr>
      <w:rFonts w:ascii="Cambria" w:hAnsi="Cambria"/>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1"/>
    <w:basedOn w:val="Normal"/>
    <w:link w:val="HeaderChar"/>
    <w:rsid w:val="00C06B9C"/>
    <w:pPr>
      <w:tabs>
        <w:tab w:val="center" w:pos="4153"/>
        <w:tab w:val="right" w:pos="8306"/>
      </w:tabs>
    </w:pPr>
  </w:style>
  <w:style w:type="paragraph" w:styleId="Footer">
    <w:name w:val="footer"/>
    <w:basedOn w:val="Normal"/>
    <w:link w:val="FooterChar"/>
    <w:uiPriority w:val="99"/>
    <w:rsid w:val="00282211"/>
    <w:pPr>
      <w:tabs>
        <w:tab w:val="center" w:pos="4153"/>
        <w:tab w:val="right" w:pos="8306"/>
      </w:tabs>
      <w:spacing w:before="0" w:after="60"/>
    </w:pPr>
    <w:rPr>
      <w:color w:val="000000"/>
      <w:sz w:val="16"/>
    </w:rPr>
  </w:style>
  <w:style w:type="paragraph" w:customStyle="1" w:styleId="CoverSubheading">
    <w:name w:val="Cover Subheading"/>
    <w:basedOn w:val="Normal"/>
    <w:next w:val="Normal"/>
    <w:rsid w:val="00182BC1"/>
    <w:pPr>
      <w:spacing w:before="60" w:after="60"/>
    </w:pPr>
    <w:rPr>
      <w:rFonts w:ascii="Lucida Sans" w:hAnsi="Lucida Sans"/>
      <w:color w:val="008000"/>
      <w:sz w:val="24"/>
    </w:rPr>
  </w:style>
  <w:style w:type="character" w:styleId="Hyperlink">
    <w:name w:val="Hyperlink"/>
    <w:basedOn w:val="DefaultParagraphFont"/>
    <w:uiPriority w:val="99"/>
    <w:rsid w:val="00FF375C"/>
    <w:rPr>
      <w:color w:val="008000"/>
      <w:u w:val="single"/>
    </w:rPr>
  </w:style>
  <w:style w:type="table" w:customStyle="1" w:styleId="BlueDocumentInfoTableStyle">
    <w:name w:val="Blue Document Info Table Style"/>
    <w:basedOn w:val="TableNormal"/>
    <w:rsid w:val="00DC2A5B"/>
    <w:rPr>
      <w:rFonts w:ascii="Arial" w:hAnsi="Arial"/>
      <w:color w:val="000000"/>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blStylePr w:type="firstRow">
      <w:pPr>
        <w:jc w:val="left"/>
      </w:pPr>
      <w:rPr>
        <w:rFonts w:ascii="Arial" w:hAnsi="Arial"/>
        <w:b/>
        <w:color w:val="008000"/>
        <w:sz w:val="16"/>
      </w:rPr>
      <w:tblPr/>
      <w:tcPr>
        <w:shd w:val="clear" w:color="auto" w:fill="B5DDDC"/>
        <w:vAlign w:val="center"/>
      </w:tcPr>
    </w:tblStylePr>
  </w:style>
  <w:style w:type="table" w:customStyle="1" w:styleId="PlainDocumentInfoTableStyle">
    <w:name w:val="Plain Document Info Table Style"/>
    <w:basedOn w:val="TableNormal"/>
    <w:rsid w:val="00282211"/>
    <w:rPr>
      <w:rFonts w:ascii="Arial" w:hAnsi="Arial"/>
      <w:color w:val="000000"/>
      <w:sz w:val="16"/>
    </w:rPr>
    <w:tblPr/>
    <w:tblStylePr w:type="firstCol">
      <w:rPr>
        <w:b/>
      </w:rPr>
    </w:tblStylePr>
  </w:style>
  <w:style w:type="character" w:styleId="PageNumber">
    <w:name w:val="page number"/>
    <w:basedOn w:val="DefaultParagraphFont"/>
    <w:rsid w:val="00282211"/>
    <w:rPr>
      <w:rFonts w:ascii="Arial" w:hAnsi="Arial"/>
      <w:sz w:val="16"/>
    </w:rPr>
  </w:style>
  <w:style w:type="paragraph" w:customStyle="1" w:styleId="CoverNumber">
    <w:name w:val="Cover Number"/>
    <w:basedOn w:val="Normal"/>
    <w:next w:val="Normal"/>
    <w:rsid w:val="005D5F6C"/>
    <w:pPr>
      <w:jc w:val="right"/>
    </w:pPr>
    <w:rPr>
      <w:rFonts w:ascii="Lucida Sans" w:hAnsi="Lucida Sans"/>
      <w:color w:val="008000"/>
      <w:sz w:val="600"/>
    </w:rPr>
  </w:style>
  <w:style w:type="paragraph" w:customStyle="1" w:styleId="CoverHeadings">
    <w:name w:val="Cover Headings"/>
    <w:basedOn w:val="Normal"/>
    <w:next w:val="Normal"/>
    <w:autoRedefine/>
    <w:rsid w:val="005F554B"/>
    <w:pPr>
      <w:spacing w:before="0" w:after="0"/>
    </w:pPr>
    <w:rPr>
      <w:rFonts w:ascii="Lucida Sans" w:hAnsi="Lucida Sans"/>
      <w:color w:val="008000"/>
      <w:sz w:val="42"/>
    </w:rPr>
  </w:style>
  <w:style w:type="paragraph" w:customStyle="1" w:styleId="Non-numberedHeading1">
    <w:name w:val="Non-numbered Heading 1"/>
    <w:basedOn w:val="Normal"/>
    <w:next w:val="Normal"/>
    <w:link w:val="Non-numberedHeading1Char"/>
    <w:rsid w:val="005976B3"/>
    <w:pPr>
      <w:pageBreakBefore/>
      <w:spacing w:before="60" w:after="240"/>
    </w:pPr>
    <w:rPr>
      <w:rFonts w:ascii="Lucida Sans" w:hAnsi="Lucida Sans"/>
      <w:b/>
      <w:color w:val="008000"/>
      <w:sz w:val="32"/>
    </w:rPr>
  </w:style>
  <w:style w:type="paragraph" w:styleId="TOC1">
    <w:name w:val="toc 1"/>
    <w:basedOn w:val="Normal"/>
    <w:next w:val="Normal"/>
    <w:autoRedefine/>
    <w:uiPriority w:val="39"/>
    <w:rsid w:val="00D269CC"/>
  </w:style>
  <w:style w:type="paragraph" w:styleId="TOC2">
    <w:name w:val="toc 2"/>
    <w:basedOn w:val="Normal"/>
    <w:next w:val="Normal"/>
    <w:autoRedefine/>
    <w:uiPriority w:val="39"/>
    <w:rsid w:val="00D269CC"/>
    <w:pPr>
      <w:ind w:left="200"/>
    </w:pPr>
  </w:style>
  <w:style w:type="paragraph" w:styleId="TOC3">
    <w:name w:val="toc 3"/>
    <w:basedOn w:val="Normal"/>
    <w:next w:val="Normal"/>
    <w:autoRedefine/>
    <w:uiPriority w:val="39"/>
    <w:rsid w:val="00D269CC"/>
    <w:pPr>
      <w:ind w:left="400"/>
    </w:pPr>
  </w:style>
  <w:style w:type="paragraph" w:styleId="TOC4">
    <w:name w:val="toc 4"/>
    <w:basedOn w:val="Normal"/>
    <w:next w:val="Normal"/>
    <w:autoRedefine/>
    <w:uiPriority w:val="39"/>
    <w:rsid w:val="00AE2161"/>
    <w:pPr>
      <w:ind w:left="600"/>
    </w:pPr>
  </w:style>
  <w:style w:type="table" w:customStyle="1" w:styleId="EcosleftTableStyle">
    <w:name w:val="Ecos_left Table Style"/>
    <w:basedOn w:val="TableNormal"/>
    <w:rsid w:val="009437E2"/>
    <w:rPr>
      <w:rFonts w:ascii="Arial" w:hAnsi="Arial"/>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cPr>
      <w:vAlign w:val="center"/>
    </w:tcPr>
    <w:tblStylePr w:type="firstRow">
      <w:pPr>
        <w:jc w:val="left"/>
      </w:pPr>
      <w:rPr>
        <w:b/>
        <w:color w:val="008000"/>
      </w:rPr>
      <w:tblPr/>
      <w:tcPr>
        <w:shd w:val="clear" w:color="auto" w:fill="B5DDDC"/>
      </w:tcPr>
    </w:tblStylePr>
    <w:tblStylePr w:type="firstCol">
      <w:pPr>
        <w:jc w:val="left"/>
      </w:pPr>
      <w:tblPr/>
      <w:tcPr>
        <w:shd w:val="clear" w:color="auto" w:fill="D6EAEB"/>
      </w:tcPr>
    </w:tblStylePr>
  </w:style>
  <w:style w:type="numbering" w:customStyle="1" w:styleId="ListStyle">
    <w:name w:val="List Style"/>
    <w:basedOn w:val="NoList"/>
    <w:rsid w:val="005926B8"/>
    <w:pPr>
      <w:numPr>
        <w:numId w:val="1"/>
      </w:numPr>
    </w:pPr>
  </w:style>
  <w:style w:type="paragraph" w:customStyle="1" w:styleId="NormalParagraphText">
    <w:name w:val="Normal Paragraph Text"/>
    <w:basedOn w:val="Normal"/>
    <w:rsid w:val="000358F8"/>
    <w:pPr>
      <w:spacing w:after="240"/>
    </w:pPr>
    <w:rPr>
      <w:color w:val="000000"/>
    </w:rPr>
  </w:style>
  <w:style w:type="paragraph" w:styleId="Caption">
    <w:name w:val="caption"/>
    <w:aliases w:val="AWT Caption,Caption Char Char,Caption Char1,Figure,Item,TABLE"/>
    <w:basedOn w:val="Normal"/>
    <w:next w:val="Normal"/>
    <w:link w:val="CaptionChar"/>
    <w:uiPriority w:val="35"/>
    <w:qFormat/>
    <w:rsid w:val="004510F5"/>
    <w:rPr>
      <w:i/>
      <w:sz w:val="18"/>
    </w:rPr>
  </w:style>
  <w:style w:type="paragraph" w:customStyle="1" w:styleId="StyleHeading1">
    <w:name w:val="Style Heading 1"/>
    <w:basedOn w:val="Heading1"/>
    <w:rsid w:val="00BF4FAB"/>
    <w:pPr>
      <w:numPr>
        <w:numId w:val="0"/>
      </w:numPr>
      <w:spacing w:before="240"/>
    </w:pPr>
    <w:rPr>
      <w:rFonts w:cs="Times New Roman"/>
      <w:szCs w:val="20"/>
    </w:rPr>
  </w:style>
  <w:style w:type="character" w:customStyle="1" w:styleId="Heading5Char">
    <w:name w:val="Heading 5 Char"/>
    <w:basedOn w:val="DefaultParagraphFont"/>
    <w:link w:val="Heading5"/>
    <w:rsid w:val="00664F33"/>
    <w:rPr>
      <w:rFonts w:ascii="Arial" w:hAnsi="Arial"/>
      <w:b/>
      <w:bCs/>
      <w:iCs/>
      <w:sz w:val="18"/>
      <w:szCs w:val="24"/>
      <w:lang w:eastAsia="zh-CN"/>
    </w:rPr>
  </w:style>
  <w:style w:type="character" w:customStyle="1" w:styleId="Heading6Char">
    <w:name w:val="Heading 6 Char"/>
    <w:basedOn w:val="DefaultParagraphFont"/>
    <w:link w:val="Heading6"/>
    <w:rsid w:val="00A76AEB"/>
    <w:rPr>
      <w:rFonts w:ascii="Calibri" w:hAnsi="Calibri"/>
      <w:b/>
      <w:bCs/>
      <w:sz w:val="22"/>
      <w:szCs w:val="22"/>
      <w:lang w:eastAsia="zh-CN"/>
    </w:rPr>
  </w:style>
  <w:style w:type="character" w:customStyle="1" w:styleId="Heading7Char">
    <w:name w:val="Heading 7 Char"/>
    <w:basedOn w:val="DefaultParagraphFont"/>
    <w:link w:val="Heading7"/>
    <w:rsid w:val="00A76AEB"/>
    <w:rPr>
      <w:rFonts w:ascii="Calibri" w:hAnsi="Calibri"/>
      <w:sz w:val="24"/>
      <w:szCs w:val="24"/>
      <w:lang w:eastAsia="zh-CN"/>
    </w:rPr>
  </w:style>
  <w:style w:type="character" w:customStyle="1" w:styleId="Heading8Char">
    <w:name w:val="Heading 8 Char"/>
    <w:basedOn w:val="DefaultParagraphFont"/>
    <w:link w:val="Heading8"/>
    <w:rsid w:val="00A76AEB"/>
    <w:rPr>
      <w:rFonts w:ascii="Calibri" w:hAnsi="Calibri"/>
      <w:i/>
      <w:iCs/>
      <w:sz w:val="24"/>
      <w:szCs w:val="24"/>
      <w:lang w:eastAsia="zh-CN"/>
    </w:rPr>
  </w:style>
  <w:style w:type="character" w:customStyle="1" w:styleId="Heading9Char">
    <w:name w:val="Heading 9 Char"/>
    <w:basedOn w:val="DefaultParagraphFont"/>
    <w:link w:val="Heading9"/>
    <w:rsid w:val="00A76AEB"/>
    <w:rPr>
      <w:rFonts w:ascii="Cambria" w:hAnsi="Cambria"/>
      <w:sz w:val="22"/>
      <w:szCs w:val="22"/>
      <w:lang w:eastAsia="zh-CN"/>
    </w:rPr>
  </w:style>
  <w:style w:type="character" w:customStyle="1" w:styleId="Heading1Char">
    <w:name w:val="Heading 1 Char"/>
    <w:aliases w:val="Cover Heading Char"/>
    <w:basedOn w:val="DefaultParagraphFont"/>
    <w:link w:val="Heading1"/>
    <w:rsid w:val="00EF6B6B"/>
    <w:rPr>
      <w:rFonts w:ascii="Lucida Sans" w:hAnsi="Lucida Sans" w:cs="Arial"/>
      <w:b/>
      <w:bCs/>
      <w:noProof/>
      <w:color w:val="008000"/>
      <w:kern w:val="32"/>
      <w:sz w:val="32"/>
      <w:szCs w:val="32"/>
    </w:rPr>
  </w:style>
  <w:style w:type="character" w:customStyle="1" w:styleId="Heading2Char">
    <w:name w:val="Heading 2 Char"/>
    <w:basedOn w:val="DefaultParagraphFont"/>
    <w:link w:val="Heading2"/>
    <w:rsid w:val="00D95B6A"/>
    <w:rPr>
      <w:rFonts w:ascii="Arial" w:hAnsi="Arial" w:cs="Arial"/>
      <w:b/>
      <w:bCs/>
      <w:iCs/>
      <w:noProof/>
      <w:color w:val="008000"/>
      <w:sz w:val="24"/>
      <w:szCs w:val="28"/>
    </w:rPr>
  </w:style>
  <w:style w:type="character" w:customStyle="1" w:styleId="Heading3Char">
    <w:name w:val="Heading 3 Char"/>
    <w:basedOn w:val="DefaultParagraphFont"/>
    <w:link w:val="Heading3"/>
    <w:rsid w:val="000A31AF"/>
    <w:rPr>
      <w:rFonts w:ascii="Arial" w:hAnsi="Arial" w:cs="Arial"/>
      <w:b/>
      <w:bCs/>
      <w:noProof/>
      <w:color w:val="000000"/>
      <w:sz w:val="22"/>
      <w:szCs w:val="26"/>
    </w:rPr>
  </w:style>
  <w:style w:type="character" w:customStyle="1" w:styleId="Heading4Char">
    <w:name w:val="Heading 4 Char"/>
    <w:basedOn w:val="DefaultParagraphFont"/>
    <w:link w:val="Heading4"/>
    <w:rsid w:val="000A31AF"/>
    <w:rPr>
      <w:rFonts w:ascii="Arial" w:hAnsi="Arial"/>
      <w:b/>
      <w:bCs/>
      <w:noProof/>
      <w:color w:val="000000"/>
      <w:szCs w:val="28"/>
    </w:rPr>
  </w:style>
  <w:style w:type="paragraph" w:styleId="NoSpacing">
    <w:name w:val="No Spacing"/>
    <w:link w:val="NoSpacingChar"/>
    <w:uiPriority w:val="1"/>
    <w:qFormat/>
    <w:rsid w:val="00A76AEB"/>
    <w:rPr>
      <w:rFonts w:ascii="Calibri" w:eastAsia="SimSun" w:hAnsi="Calibri"/>
      <w:sz w:val="22"/>
      <w:szCs w:val="22"/>
      <w:lang w:eastAsia="zh-CN"/>
    </w:rPr>
  </w:style>
  <w:style w:type="character" w:customStyle="1" w:styleId="NoSpacingChar">
    <w:name w:val="No Spacing Char"/>
    <w:basedOn w:val="DefaultParagraphFont"/>
    <w:link w:val="NoSpacing"/>
    <w:uiPriority w:val="1"/>
    <w:rsid w:val="00A76AEB"/>
    <w:rPr>
      <w:rFonts w:ascii="Calibri" w:eastAsia="SimSun" w:hAnsi="Calibri"/>
      <w:sz w:val="22"/>
      <w:szCs w:val="22"/>
      <w:lang w:eastAsia="zh-CN"/>
    </w:rPr>
  </w:style>
  <w:style w:type="character" w:styleId="IntenseEmphasis">
    <w:name w:val="Intense Emphasis"/>
    <w:basedOn w:val="DefaultParagraphFont"/>
    <w:uiPriority w:val="21"/>
    <w:qFormat/>
    <w:rsid w:val="00A76AEB"/>
    <w:rPr>
      <w:b/>
      <w:bCs/>
      <w:i/>
      <w:iCs/>
      <w:color w:val="4F81BD"/>
    </w:rPr>
  </w:style>
  <w:style w:type="character" w:customStyle="1" w:styleId="HeaderChar">
    <w:name w:val="Header Char"/>
    <w:aliases w:val="Header1 Char"/>
    <w:basedOn w:val="DefaultParagraphFont"/>
    <w:link w:val="Header"/>
    <w:rsid w:val="00A76AEB"/>
    <w:rPr>
      <w:rFonts w:ascii="Arial" w:hAnsi="Arial"/>
      <w:szCs w:val="24"/>
    </w:rPr>
  </w:style>
  <w:style w:type="character" w:customStyle="1" w:styleId="FooterChar">
    <w:name w:val="Footer Char"/>
    <w:basedOn w:val="DefaultParagraphFont"/>
    <w:link w:val="Footer"/>
    <w:uiPriority w:val="99"/>
    <w:rsid w:val="00A76AEB"/>
    <w:rPr>
      <w:rFonts w:ascii="Arial" w:hAnsi="Arial"/>
      <w:color w:val="000000"/>
      <w:sz w:val="16"/>
      <w:szCs w:val="24"/>
    </w:rPr>
  </w:style>
  <w:style w:type="paragraph" w:styleId="BalloonText">
    <w:name w:val="Balloon Text"/>
    <w:basedOn w:val="Normal"/>
    <w:link w:val="BalloonTextChar"/>
    <w:unhideWhenUsed/>
    <w:rsid w:val="00A76AEB"/>
    <w:pPr>
      <w:spacing w:before="0" w:after="0" w:line="240" w:lineRule="auto"/>
    </w:pPr>
    <w:rPr>
      <w:rFonts w:ascii="Tahoma" w:eastAsia="SimSun" w:hAnsi="Tahoma" w:cs="Tahoma"/>
      <w:sz w:val="16"/>
      <w:szCs w:val="16"/>
      <w:lang w:eastAsia="zh-CN"/>
    </w:rPr>
  </w:style>
  <w:style w:type="character" w:customStyle="1" w:styleId="BalloonTextChar">
    <w:name w:val="Balloon Text Char"/>
    <w:basedOn w:val="DefaultParagraphFont"/>
    <w:link w:val="BalloonText"/>
    <w:rsid w:val="00A76AEB"/>
    <w:rPr>
      <w:rFonts w:ascii="Tahoma" w:eastAsia="SimSun" w:hAnsi="Tahoma" w:cs="Tahoma"/>
      <w:sz w:val="16"/>
      <w:szCs w:val="16"/>
      <w:lang w:eastAsia="zh-CN"/>
    </w:rPr>
  </w:style>
  <w:style w:type="paragraph" w:styleId="Title">
    <w:name w:val="Title"/>
    <w:basedOn w:val="NoSpacing"/>
    <w:next w:val="Normal"/>
    <w:link w:val="TitleChar"/>
    <w:qFormat/>
    <w:rsid w:val="00A76AEB"/>
    <w:pPr>
      <w:framePr w:hSpace="187" w:wrap="around" w:vAnchor="page" w:hAnchor="page" w:xAlign="center" w:yAlign="center"/>
    </w:pPr>
    <w:rPr>
      <w:rFonts w:ascii="Cambria" w:hAnsi="Cambria"/>
      <w:sz w:val="76"/>
      <w:szCs w:val="72"/>
    </w:rPr>
  </w:style>
  <w:style w:type="character" w:customStyle="1" w:styleId="TitleChar">
    <w:name w:val="Title Char"/>
    <w:basedOn w:val="DefaultParagraphFont"/>
    <w:link w:val="Title"/>
    <w:rsid w:val="00A76AEB"/>
    <w:rPr>
      <w:rFonts w:ascii="Cambria" w:eastAsia="SimSun" w:hAnsi="Cambria"/>
      <w:sz w:val="76"/>
      <w:szCs w:val="72"/>
      <w:lang w:eastAsia="zh-CN"/>
    </w:rPr>
  </w:style>
  <w:style w:type="paragraph" w:styleId="Subtitle">
    <w:name w:val="Subtitle"/>
    <w:basedOn w:val="NoSpacing"/>
    <w:next w:val="Normal"/>
    <w:link w:val="SubtitleChar"/>
    <w:qFormat/>
    <w:rsid w:val="00A76AEB"/>
    <w:pPr>
      <w:framePr w:hSpace="187" w:wrap="around" w:vAnchor="page" w:hAnchor="page" w:xAlign="center" w:yAlign="center"/>
    </w:pPr>
    <w:rPr>
      <w:rFonts w:ascii="Cambria" w:hAnsi="Cambria"/>
      <w:sz w:val="36"/>
      <w:szCs w:val="36"/>
    </w:rPr>
  </w:style>
  <w:style w:type="character" w:customStyle="1" w:styleId="SubtitleChar">
    <w:name w:val="Subtitle Char"/>
    <w:basedOn w:val="DefaultParagraphFont"/>
    <w:link w:val="Subtitle"/>
    <w:rsid w:val="00A76AEB"/>
    <w:rPr>
      <w:rFonts w:ascii="Cambria" w:eastAsia="SimSun" w:hAnsi="Cambria"/>
      <w:sz w:val="36"/>
      <w:szCs w:val="36"/>
      <w:lang w:eastAsia="zh-CN"/>
    </w:rPr>
  </w:style>
  <w:style w:type="paragraph" w:styleId="DocumentMap">
    <w:name w:val="Document Map"/>
    <w:basedOn w:val="Normal"/>
    <w:link w:val="DocumentMapChar"/>
    <w:unhideWhenUsed/>
    <w:rsid w:val="00A76AEB"/>
    <w:pPr>
      <w:spacing w:before="0" w:after="0" w:line="240" w:lineRule="auto"/>
    </w:pPr>
    <w:rPr>
      <w:rFonts w:ascii="Tahoma" w:eastAsia="SimSun" w:hAnsi="Tahoma" w:cs="Tahoma"/>
      <w:sz w:val="16"/>
      <w:szCs w:val="16"/>
      <w:lang w:eastAsia="zh-CN"/>
    </w:rPr>
  </w:style>
  <w:style w:type="character" w:customStyle="1" w:styleId="DocumentMapChar">
    <w:name w:val="Document Map Char"/>
    <w:basedOn w:val="DefaultParagraphFont"/>
    <w:link w:val="DocumentMap"/>
    <w:rsid w:val="00A76AEB"/>
    <w:rPr>
      <w:rFonts w:ascii="Tahoma" w:eastAsia="SimSun" w:hAnsi="Tahoma" w:cs="Tahoma"/>
      <w:sz w:val="16"/>
      <w:szCs w:val="16"/>
      <w:lang w:eastAsia="zh-CN"/>
    </w:rPr>
  </w:style>
  <w:style w:type="character" w:styleId="SubtleReference">
    <w:name w:val="Subtle Reference"/>
    <w:basedOn w:val="DefaultParagraphFont"/>
    <w:uiPriority w:val="31"/>
    <w:qFormat/>
    <w:rsid w:val="00A76AEB"/>
    <w:rPr>
      <w:smallCaps/>
      <w:color w:val="C0504D"/>
      <w:u w:val="single"/>
    </w:rPr>
  </w:style>
  <w:style w:type="character" w:styleId="SubtleEmphasis">
    <w:name w:val="Subtle Emphasis"/>
    <w:basedOn w:val="DefaultParagraphFont"/>
    <w:uiPriority w:val="19"/>
    <w:qFormat/>
    <w:rsid w:val="00A76AEB"/>
    <w:rPr>
      <w:i/>
      <w:iCs/>
      <w:color w:val="808080"/>
    </w:rPr>
  </w:style>
  <w:style w:type="paragraph" w:styleId="Date">
    <w:name w:val="Date"/>
    <w:basedOn w:val="Normal"/>
    <w:next w:val="Normal"/>
    <w:link w:val="DateChar"/>
    <w:uiPriority w:val="99"/>
    <w:unhideWhenUsed/>
    <w:rsid w:val="00A76AEB"/>
    <w:pPr>
      <w:spacing w:before="0" w:after="160" w:line="240" w:lineRule="auto"/>
    </w:pPr>
    <w:rPr>
      <w:rFonts w:ascii="Calibri" w:eastAsia="SimSun" w:hAnsi="Calibri"/>
      <w:sz w:val="22"/>
      <w:szCs w:val="22"/>
      <w:lang w:eastAsia="zh-CN"/>
    </w:rPr>
  </w:style>
  <w:style w:type="character" w:customStyle="1" w:styleId="DateChar">
    <w:name w:val="Date Char"/>
    <w:basedOn w:val="DefaultParagraphFont"/>
    <w:link w:val="Date"/>
    <w:uiPriority w:val="99"/>
    <w:rsid w:val="00A76AEB"/>
    <w:rPr>
      <w:rFonts w:ascii="Calibri" w:eastAsia="SimSun" w:hAnsi="Calibri"/>
      <w:sz w:val="22"/>
      <w:szCs w:val="22"/>
      <w:lang w:eastAsia="zh-CN"/>
    </w:rPr>
  </w:style>
  <w:style w:type="paragraph" w:styleId="TOCHeading">
    <w:name w:val="TOC Heading"/>
    <w:basedOn w:val="Heading1"/>
    <w:next w:val="Normal"/>
    <w:uiPriority w:val="39"/>
    <w:qFormat/>
    <w:rsid w:val="00A76AEB"/>
    <w:pPr>
      <w:keepLines/>
      <w:numPr>
        <w:numId w:val="0"/>
      </w:numPr>
      <w:tabs>
        <w:tab w:val="num" w:pos="360"/>
      </w:tabs>
      <w:spacing w:before="480" w:line="276" w:lineRule="auto"/>
      <w:ind w:left="432" w:hanging="432"/>
      <w:outlineLvl w:val="9"/>
    </w:pPr>
    <w:rPr>
      <w:rFonts w:ascii="Cambria" w:eastAsia="SimSun" w:hAnsi="Cambria" w:cs="Times New Roman"/>
      <w:color w:val="365F91"/>
      <w:kern w:val="0"/>
      <w:sz w:val="28"/>
      <w:szCs w:val="28"/>
      <w:lang w:val="en-US" w:eastAsia="en-US"/>
    </w:rPr>
  </w:style>
  <w:style w:type="paragraph" w:customStyle="1" w:styleId="TableText">
    <w:name w:val="Table Text"/>
    <w:basedOn w:val="Normal"/>
    <w:link w:val="TableTextChar"/>
    <w:qFormat/>
    <w:rsid w:val="00F4542E"/>
    <w:pPr>
      <w:spacing w:before="20" w:after="0" w:line="240" w:lineRule="auto"/>
    </w:pPr>
    <w:rPr>
      <w:rFonts w:ascii="Calibri" w:hAnsi="Calibri"/>
      <w:sz w:val="16"/>
      <w:szCs w:val="20"/>
      <w:lang w:val="en-GB" w:eastAsia="en-US"/>
    </w:rPr>
  </w:style>
  <w:style w:type="character" w:customStyle="1" w:styleId="TableTextChar">
    <w:name w:val="Table Text Char"/>
    <w:basedOn w:val="DefaultParagraphFont"/>
    <w:link w:val="TableText"/>
    <w:rsid w:val="00F4542E"/>
    <w:rPr>
      <w:rFonts w:ascii="Calibri" w:hAnsi="Calibri"/>
      <w:noProof/>
      <w:sz w:val="16"/>
      <w:lang w:val="en-GB" w:eastAsia="en-US"/>
    </w:rPr>
  </w:style>
  <w:style w:type="character" w:customStyle="1" w:styleId="BookTitle1">
    <w:name w:val="Book Title1"/>
    <w:aliases w:val="Book Title2,Title Contents"/>
    <w:basedOn w:val="DefaultParagraphFont"/>
    <w:uiPriority w:val="33"/>
    <w:qFormat/>
    <w:rsid w:val="00A76AEB"/>
    <w:rPr>
      <w:b/>
      <w:bCs/>
      <w:smallCaps/>
      <w:spacing w:val="5"/>
    </w:rPr>
  </w:style>
  <w:style w:type="table" w:styleId="TableGrid">
    <w:name w:val="Table Grid"/>
    <w:basedOn w:val="TableNormal"/>
    <w:rsid w:val="00A76AEB"/>
    <w:rPr>
      <w:rFonts w:ascii="Arial Narrow"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28" w:type="dxa"/>
        <w:right w:w="28" w:type="dxa"/>
      </w:tcMar>
    </w:tcPr>
  </w:style>
  <w:style w:type="character" w:styleId="Strong">
    <w:name w:val="Strong"/>
    <w:basedOn w:val="DefaultParagraphFont"/>
    <w:uiPriority w:val="22"/>
    <w:qFormat/>
    <w:rsid w:val="00A76AEB"/>
    <w:rPr>
      <w:b/>
      <w:bCs/>
    </w:rPr>
  </w:style>
  <w:style w:type="paragraph" w:customStyle="1" w:styleId="Caption-">
    <w:name w:val="Caption-"/>
    <w:basedOn w:val="Caption"/>
    <w:autoRedefine/>
    <w:rsid w:val="00A76AEB"/>
    <w:pPr>
      <w:keepNext/>
      <w:spacing w:before="0" w:after="0" w:line="240" w:lineRule="auto"/>
      <w:ind w:left="1276" w:hanging="1276"/>
    </w:pPr>
    <w:rPr>
      <w:rFonts w:ascii="Verdana" w:hAnsi="Verdana"/>
      <w:b/>
      <w:bCs/>
      <w:i w:val="0"/>
      <w:sz w:val="20"/>
      <w:szCs w:val="20"/>
      <w:lang w:val="en-GB" w:eastAsia="en-US"/>
    </w:rPr>
  </w:style>
  <w:style w:type="paragraph" w:customStyle="1" w:styleId="caption-0">
    <w:name w:val="caption-"/>
    <w:basedOn w:val="Caption"/>
    <w:autoRedefine/>
    <w:rsid w:val="00A76AEB"/>
    <w:pPr>
      <w:keepNext/>
      <w:spacing w:before="0" w:after="0" w:line="240" w:lineRule="auto"/>
      <w:ind w:left="1276" w:hanging="1276"/>
    </w:pPr>
    <w:rPr>
      <w:rFonts w:ascii="Verdana" w:hAnsi="Verdana"/>
      <w:b/>
      <w:bCs/>
      <w:i w:val="0"/>
      <w:sz w:val="20"/>
      <w:szCs w:val="20"/>
      <w:lang w:val="en-GB" w:eastAsia="en-US"/>
    </w:rPr>
  </w:style>
  <w:style w:type="paragraph" w:styleId="NormalWeb">
    <w:name w:val="Normal (Web)"/>
    <w:basedOn w:val="Normal"/>
    <w:uiPriority w:val="99"/>
    <w:rsid w:val="00A76AEB"/>
    <w:pPr>
      <w:spacing w:before="100" w:beforeAutospacing="1" w:after="100" w:afterAutospacing="1" w:line="240" w:lineRule="auto"/>
    </w:pPr>
    <w:rPr>
      <w:rFonts w:ascii="Verdana" w:hAnsi="Verdana"/>
      <w:sz w:val="22"/>
      <w:lang w:val="en-US" w:eastAsia="en-US"/>
    </w:rPr>
  </w:style>
  <w:style w:type="character" w:styleId="Emphasis">
    <w:name w:val="Emphasis"/>
    <w:basedOn w:val="DefaultParagraphFont"/>
    <w:qFormat/>
    <w:rsid w:val="00A76AEB"/>
    <w:rPr>
      <w:i/>
      <w:iCs/>
    </w:rPr>
  </w:style>
  <w:style w:type="paragraph" w:styleId="ListParagraph">
    <w:name w:val="List Paragraph"/>
    <w:basedOn w:val="Normal"/>
    <w:link w:val="ListParagraphChar"/>
    <w:uiPriority w:val="34"/>
    <w:qFormat/>
    <w:rsid w:val="00A76AEB"/>
    <w:pPr>
      <w:spacing w:before="0"/>
      <w:ind w:left="720"/>
    </w:pPr>
    <w:rPr>
      <w:lang w:val="en-GB" w:eastAsia="en-US"/>
    </w:rPr>
  </w:style>
  <w:style w:type="paragraph" w:styleId="FootnoteText">
    <w:name w:val="footnote text"/>
    <w:basedOn w:val="Normal"/>
    <w:link w:val="FootnoteTextChar1"/>
    <w:rsid w:val="00A76AEB"/>
    <w:pPr>
      <w:spacing w:before="0" w:after="0" w:line="240" w:lineRule="auto"/>
    </w:pPr>
    <w:rPr>
      <w:rFonts w:ascii="Verdana" w:hAnsi="Verdana"/>
      <w:szCs w:val="20"/>
      <w:lang w:val="en-GB" w:eastAsia="en-US"/>
    </w:rPr>
  </w:style>
  <w:style w:type="character" w:customStyle="1" w:styleId="FootnoteTextChar">
    <w:name w:val="Footnote Text Char"/>
    <w:basedOn w:val="DefaultParagraphFont"/>
    <w:rsid w:val="00A76AEB"/>
    <w:rPr>
      <w:rFonts w:ascii="Arial" w:hAnsi="Arial"/>
    </w:rPr>
  </w:style>
  <w:style w:type="character" w:customStyle="1" w:styleId="FootnoteTextChar1">
    <w:name w:val="Footnote Text Char1"/>
    <w:basedOn w:val="DefaultParagraphFont"/>
    <w:link w:val="FootnoteText"/>
    <w:rsid w:val="00A76AEB"/>
    <w:rPr>
      <w:rFonts w:ascii="Verdana" w:hAnsi="Verdana"/>
      <w:lang w:val="en-GB" w:eastAsia="en-US"/>
    </w:rPr>
  </w:style>
  <w:style w:type="character" w:styleId="FootnoteReference">
    <w:name w:val="footnote reference"/>
    <w:basedOn w:val="DefaultParagraphFont"/>
    <w:rsid w:val="00A76AEB"/>
    <w:rPr>
      <w:vertAlign w:val="superscript"/>
    </w:rPr>
  </w:style>
  <w:style w:type="paragraph" w:customStyle="1" w:styleId="ajhleadstatement">
    <w:name w:val="ajh lead statement"/>
    <w:basedOn w:val="Heading2"/>
    <w:rsid w:val="00A76AEB"/>
    <w:pPr>
      <w:numPr>
        <w:ilvl w:val="0"/>
        <w:numId w:val="0"/>
      </w:numPr>
      <w:tabs>
        <w:tab w:val="left" w:pos="284"/>
        <w:tab w:val="num" w:pos="720"/>
        <w:tab w:val="num" w:pos="1080"/>
        <w:tab w:val="left" w:pos="2127"/>
      </w:tabs>
      <w:spacing w:before="360" w:after="0" w:line="320" w:lineRule="atLeast"/>
      <w:ind w:left="1080" w:hanging="720"/>
    </w:pPr>
    <w:rPr>
      <w:rFonts w:eastAsia="MS Mincho" w:cs="Times New Roman"/>
      <w:b w:val="0"/>
      <w:bCs w:val="0"/>
      <w:iCs w:val="0"/>
      <w:caps/>
      <w:color w:val="auto"/>
      <w:sz w:val="22"/>
      <w:szCs w:val="32"/>
    </w:rPr>
  </w:style>
  <w:style w:type="paragraph" w:customStyle="1" w:styleId="Normalbullets">
    <w:name w:val="Normal bullets"/>
    <w:basedOn w:val="Normal"/>
    <w:rsid w:val="00A76AEB"/>
    <w:pPr>
      <w:tabs>
        <w:tab w:val="num" w:pos="2835"/>
      </w:tabs>
      <w:suppressAutoHyphens/>
      <w:spacing w:before="0"/>
      <w:ind w:left="2835" w:hanging="284"/>
      <w:jc w:val="both"/>
    </w:pPr>
    <w:rPr>
      <w:szCs w:val="20"/>
      <w:lang w:eastAsia="en-US"/>
    </w:rPr>
  </w:style>
  <w:style w:type="paragraph" w:customStyle="1" w:styleId="TableBullet">
    <w:name w:val="TableBullet"/>
    <w:basedOn w:val="Normal"/>
    <w:rsid w:val="00A76AEB"/>
    <w:pPr>
      <w:keepNext/>
      <w:tabs>
        <w:tab w:val="left" w:pos="216"/>
        <w:tab w:val="num" w:pos="720"/>
      </w:tabs>
      <w:spacing w:before="20" w:after="20" w:line="240" w:lineRule="auto"/>
      <w:ind w:left="720" w:hanging="360"/>
    </w:pPr>
    <w:rPr>
      <w:rFonts w:ascii="Arial Narrow" w:hAnsi="Arial Narrow"/>
      <w:szCs w:val="20"/>
      <w:lang w:eastAsia="en-US"/>
    </w:rPr>
  </w:style>
  <w:style w:type="paragraph" w:customStyle="1" w:styleId="TableNotes">
    <w:name w:val="TableNotes"/>
    <w:basedOn w:val="Normal"/>
    <w:rsid w:val="00A76AEB"/>
    <w:pPr>
      <w:keepLines/>
      <w:spacing w:before="60" w:after="0" w:line="240" w:lineRule="auto"/>
    </w:pPr>
    <w:rPr>
      <w:sz w:val="16"/>
      <w:szCs w:val="20"/>
      <w:lang w:eastAsia="en-US"/>
    </w:rPr>
  </w:style>
  <w:style w:type="paragraph" w:customStyle="1" w:styleId="TableText0">
    <w:name w:val="TableText"/>
    <w:basedOn w:val="Normal"/>
    <w:rsid w:val="0058655C"/>
    <w:pPr>
      <w:widowControl w:val="0"/>
      <w:spacing w:before="20" w:after="20" w:line="240" w:lineRule="auto"/>
    </w:pPr>
    <w:rPr>
      <w:rFonts w:ascii="Arial Narrow" w:hAnsi="Arial Narrow"/>
      <w:sz w:val="18"/>
      <w:szCs w:val="16"/>
      <w:lang w:val="en-US" w:eastAsia="en-US"/>
    </w:rPr>
  </w:style>
  <w:style w:type="paragraph" w:styleId="CommentText">
    <w:name w:val="annotation text"/>
    <w:basedOn w:val="Normal"/>
    <w:link w:val="CommentTextChar"/>
    <w:rsid w:val="00A76AEB"/>
    <w:rPr>
      <w:szCs w:val="20"/>
    </w:rPr>
  </w:style>
  <w:style w:type="character" w:customStyle="1" w:styleId="CommentTextChar">
    <w:name w:val="Comment Text Char"/>
    <w:basedOn w:val="DefaultParagraphFont"/>
    <w:link w:val="CommentText"/>
    <w:rsid w:val="00A76AEB"/>
    <w:rPr>
      <w:rFonts w:ascii="Arial" w:hAnsi="Arial"/>
    </w:rPr>
  </w:style>
  <w:style w:type="paragraph" w:styleId="CommentSubject">
    <w:name w:val="annotation subject"/>
    <w:basedOn w:val="CommentText"/>
    <w:next w:val="CommentText"/>
    <w:link w:val="CommentSubjectChar"/>
    <w:rsid w:val="00A76AEB"/>
    <w:pPr>
      <w:numPr>
        <w:numId w:val="3"/>
      </w:numPr>
      <w:tabs>
        <w:tab w:val="clear" w:pos="360"/>
      </w:tabs>
      <w:spacing w:before="0" w:line="240" w:lineRule="auto"/>
      <w:ind w:left="0" w:firstLine="0"/>
    </w:pPr>
    <w:rPr>
      <w:b/>
      <w:bCs/>
      <w:lang w:eastAsia="en-US"/>
    </w:rPr>
  </w:style>
  <w:style w:type="character" w:customStyle="1" w:styleId="CommentSubjectChar">
    <w:name w:val="Comment Subject Char"/>
    <w:basedOn w:val="CommentTextChar"/>
    <w:link w:val="CommentSubject"/>
    <w:rsid w:val="00A76AEB"/>
    <w:rPr>
      <w:rFonts w:ascii="Arial" w:hAnsi="Arial"/>
      <w:b/>
      <w:bCs/>
      <w:noProof/>
      <w:lang w:eastAsia="en-US"/>
    </w:rPr>
  </w:style>
  <w:style w:type="paragraph" w:customStyle="1" w:styleId="TableDashChar">
    <w:name w:val="TableDash Char"/>
    <w:basedOn w:val="Normal"/>
    <w:rsid w:val="00A76AEB"/>
    <w:pPr>
      <w:keepNext/>
      <w:tabs>
        <w:tab w:val="num" w:pos="720"/>
      </w:tabs>
      <w:spacing w:before="20" w:after="20" w:line="240" w:lineRule="auto"/>
      <w:ind w:left="430" w:hanging="215"/>
    </w:pPr>
    <w:rPr>
      <w:szCs w:val="20"/>
      <w:lang w:eastAsia="en-US"/>
    </w:rPr>
  </w:style>
  <w:style w:type="paragraph" w:customStyle="1" w:styleId="TableHeading">
    <w:name w:val="TableHeading"/>
    <w:basedOn w:val="Normal"/>
    <w:link w:val="TableHeadingChar"/>
    <w:rsid w:val="00A76AEB"/>
    <w:pPr>
      <w:keepNext/>
      <w:spacing w:before="20" w:after="20" w:line="240" w:lineRule="auto"/>
    </w:pPr>
    <w:rPr>
      <w:b/>
      <w:sz w:val="18"/>
      <w:szCs w:val="20"/>
      <w:lang w:eastAsia="en-US"/>
    </w:rPr>
  </w:style>
  <w:style w:type="character" w:customStyle="1" w:styleId="TableHeadingChar">
    <w:name w:val="TableHeading Char"/>
    <w:basedOn w:val="DefaultParagraphFont"/>
    <w:link w:val="TableHeading"/>
    <w:rsid w:val="00A76AEB"/>
    <w:rPr>
      <w:rFonts w:ascii="Arial" w:hAnsi="Arial"/>
      <w:b/>
      <w:sz w:val="18"/>
      <w:lang w:eastAsia="en-US"/>
    </w:rPr>
  </w:style>
  <w:style w:type="character" w:customStyle="1" w:styleId="Tablesource">
    <w:name w:val="Table source"/>
    <w:rsid w:val="00A76AEB"/>
    <w:rPr>
      <w:sz w:val="16"/>
    </w:rPr>
  </w:style>
  <w:style w:type="paragraph" w:customStyle="1" w:styleId="BoxBullet">
    <w:name w:val="BoxBullet"/>
    <w:basedOn w:val="Normal"/>
    <w:rsid w:val="00A76AEB"/>
    <w:pPr>
      <w:numPr>
        <w:numId w:val="4"/>
      </w:numPr>
      <w:tabs>
        <w:tab w:val="clear" w:pos="576"/>
        <w:tab w:val="num" w:pos="360"/>
      </w:tabs>
      <w:spacing w:before="0" w:line="240" w:lineRule="auto"/>
      <w:ind w:left="360" w:hanging="360"/>
    </w:pPr>
    <w:rPr>
      <w:lang w:eastAsia="en-US"/>
    </w:rPr>
  </w:style>
  <w:style w:type="paragraph" w:customStyle="1" w:styleId="TableHeading-Centered">
    <w:name w:val="TableHeading-Centered"/>
    <w:basedOn w:val="TableHeading"/>
    <w:rsid w:val="00A76AEB"/>
  </w:style>
  <w:style w:type="paragraph" w:customStyle="1" w:styleId="Default">
    <w:name w:val="Default"/>
    <w:rsid w:val="00A76AEB"/>
    <w:pPr>
      <w:autoSpaceDE w:val="0"/>
      <w:autoSpaceDN w:val="0"/>
      <w:adjustRightInd w:val="0"/>
    </w:pPr>
    <w:rPr>
      <w:rFonts w:ascii="Meta Plus Normal" w:hAnsi="Meta Plus Normal" w:cs="Meta Plus Normal"/>
      <w:color w:val="000000"/>
      <w:sz w:val="24"/>
      <w:szCs w:val="24"/>
      <w:lang w:val="en-US" w:eastAsia="en-US"/>
    </w:rPr>
  </w:style>
  <w:style w:type="paragraph" w:customStyle="1" w:styleId="Pa6">
    <w:name w:val="Pa6"/>
    <w:basedOn w:val="Default"/>
    <w:next w:val="Default"/>
    <w:rsid w:val="00A76AEB"/>
    <w:pPr>
      <w:spacing w:after="100" w:line="191" w:lineRule="atLeast"/>
    </w:pPr>
    <w:rPr>
      <w:rFonts w:cs="Times New Roman"/>
      <w:color w:val="auto"/>
    </w:rPr>
  </w:style>
  <w:style w:type="paragraph" w:customStyle="1" w:styleId="DefinitionAbbreviation">
    <w:name w:val="DefinitionAbbreviation"/>
    <w:basedOn w:val="Normal"/>
    <w:rsid w:val="00A76AEB"/>
    <w:pPr>
      <w:ind w:left="2160" w:hanging="2160"/>
    </w:pPr>
    <w:rPr>
      <w:szCs w:val="20"/>
    </w:rPr>
  </w:style>
  <w:style w:type="character" w:styleId="FollowedHyperlink">
    <w:name w:val="FollowedHyperlink"/>
    <w:basedOn w:val="DefaultParagraphFont"/>
    <w:uiPriority w:val="99"/>
    <w:rsid w:val="00A76AEB"/>
    <w:rPr>
      <w:color w:val="800080"/>
      <w:u w:val="single"/>
    </w:rPr>
  </w:style>
  <w:style w:type="paragraph" w:customStyle="1" w:styleId="pagetop">
    <w:name w:val="pagetop"/>
    <w:basedOn w:val="Normal"/>
    <w:rsid w:val="00A76AEB"/>
    <w:pPr>
      <w:spacing w:before="100" w:beforeAutospacing="1" w:after="100" w:afterAutospacing="1" w:line="240" w:lineRule="auto"/>
    </w:pPr>
    <w:rPr>
      <w:rFonts w:ascii="Times New Roman" w:hAnsi="Times New Roman"/>
      <w:sz w:val="24"/>
      <w:lang w:val="en-US" w:eastAsia="en-US"/>
    </w:rPr>
  </w:style>
  <w:style w:type="paragraph" w:customStyle="1" w:styleId="Stan">
    <w:name w:val="Stan"/>
    <w:basedOn w:val="Normal"/>
    <w:rsid w:val="00A76AEB"/>
    <w:pPr>
      <w:spacing w:before="0" w:after="0" w:line="240" w:lineRule="auto"/>
      <w:jc w:val="both"/>
    </w:pPr>
    <w:rPr>
      <w:rFonts w:ascii="Script" w:hAnsi="Script"/>
      <w:szCs w:val="20"/>
      <w:lang w:val="en-GB" w:eastAsia="en-US"/>
    </w:rPr>
  </w:style>
  <w:style w:type="paragraph" w:customStyle="1" w:styleId="BulletDPS">
    <w:name w:val="Bullet DPS"/>
    <w:basedOn w:val="Normal"/>
    <w:qFormat/>
    <w:rsid w:val="00A76AEB"/>
    <w:pPr>
      <w:spacing w:before="0" w:after="160" w:line="240" w:lineRule="auto"/>
      <w:ind w:left="720" w:hanging="360"/>
    </w:pPr>
    <w:rPr>
      <w:rFonts w:ascii="Calibri" w:eastAsia="SimSun" w:hAnsi="Calibri"/>
      <w:sz w:val="22"/>
      <w:szCs w:val="22"/>
      <w:lang w:eastAsia="zh-CN"/>
    </w:rPr>
  </w:style>
  <w:style w:type="paragraph" w:styleId="TOC5">
    <w:name w:val="toc 5"/>
    <w:basedOn w:val="Normal"/>
    <w:next w:val="Normal"/>
    <w:autoRedefine/>
    <w:uiPriority w:val="39"/>
    <w:unhideWhenUsed/>
    <w:rsid w:val="00A76AEB"/>
    <w:pPr>
      <w:spacing w:before="0" w:after="100" w:line="276" w:lineRule="auto"/>
      <w:ind w:left="880"/>
    </w:pPr>
    <w:rPr>
      <w:rFonts w:ascii="Calibri" w:hAnsi="Calibri"/>
      <w:sz w:val="22"/>
      <w:szCs w:val="22"/>
    </w:rPr>
  </w:style>
  <w:style w:type="paragraph" w:styleId="TOC6">
    <w:name w:val="toc 6"/>
    <w:basedOn w:val="Normal"/>
    <w:next w:val="Normal"/>
    <w:autoRedefine/>
    <w:uiPriority w:val="39"/>
    <w:unhideWhenUsed/>
    <w:rsid w:val="00A76AEB"/>
    <w:pPr>
      <w:spacing w:before="0"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A76AEB"/>
    <w:pPr>
      <w:spacing w:before="0"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A76AEB"/>
    <w:pPr>
      <w:spacing w:before="0"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A76AEB"/>
    <w:pPr>
      <w:spacing w:before="0" w:after="100" w:line="276" w:lineRule="auto"/>
      <w:ind w:left="1760"/>
    </w:pPr>
    <w:rPr>
      <w:rFonts w:ascii="Calibri" w:hAnsi="Calibri"/>
      <w:sz w:val="22"/>
      <w:szCs w:val="22"/>
    </w:rPr>
  </w:style>
  <w:style w:type="paragraph" w:customStyle="1" w:styleId="TableName">
    <w:name w:val="TableName"/>
    <w:basedOn w:val="Normal"/>
    <w:rsid w:val="00A76AEB"/>
    <w:pPr>
      <w:keepNext/>
      <w:spacing w:line="240" w:lineRule="auto"/>
      <w:ind w:left="1340" w:hanging="1340"/>
    </w:pPr>
    <w:rPr>
      <w:rFonts w:ascii="Times New Roman" w:hAnsi="Times New Roman"/>
      <w:b/>
      <w:sz w:val="24"/>
      <w:szCs w:val="20"/>
      <w:lang w:eastAsia="en-US"/>
    </w:rPr>
  </w:style>
  <w:style w:type="paragraph" w:customStyle="1" w:styleId="TableNotes18">
    <w:name w:val="TableNotes+18"/>
    <w:basedOn w:val="TableText0"/>
    <w:rsid w:val="00A76AEB"/>
    <w:pPr>
      <w:keepLines/>
      <w:widowControl/>
      <w:spacing w:before="0" w:after="360"/>
    </w:pPr>
    <w:rPr>
      <w:rFonts w:ascii="Times New Roman" w:hAnsi="Times New Roman"/>
      <w:szCs w:val="20"/>
      <w:lang w:val="en-AU"/>
    </w:rPr>
  </w:style>
  <w:style w:type="character" w:styleId="CommentReference">
    <w:name w:val="annotation reference"/>
    <w:basedOn w:val="DefaultParagraphFont"/>
    <w:uiPriority w:val="99"/>
    <w:rsid w:val="00A76AEB"/>
    <w:rPr>
      <w:sz w:val="16"/>
      <w:szCs w:val="16"/>
    </w:rPr>
  </w:style>
  <w:style w:type="paragraph" w:styleId="Revision">
    <w:name w:val="Revision"/>
    <w:hidden/>
    <w:uiPriority w:val="99"/>
    <w:semiHidden/>
    <w:rsid w:val="00A76AEB"/>
    <w:rPr>
      <w:rFonts w:ascii="Arial" w:hAnsi="Arial"/>
      <w:szCs w:val="24"/>
    </w:rPr>
  </w:style>
  <w:style w:type="paragraph" w:styleId="EndnoteText">
    <w:name w:val="endnote text"/>
    <w:basedOn w:val="Normal"/>
    <w:link w:val="EndnoteTextChar"/>
    <w:rsid w:val="00A76AEB"/>
    <w:pPr>
      <w:spacing w:before="0" w:after="0" w:line="240" w:lineRule="auto"/>
    </w:pPr>
    <w:rPr>
      <w:szCs w:val="20"/>
    </w:rPr>
  </w:style>
  <w:style w:type="character" w:customStyle="1" w:styleId="EndnoteTextChar">
    <w:name w:val="Endnote Text Char"/>
    <w:basedOn w:val="DefaultParagraphFont"/>
    <w:link w:val="EndnoteText"/>
    <w:rsid w:val="00A76AEB"/>
    <w:rPr>
      <w:rFonts w:ascii="Arial" w:hAnsi="Arial"/>
    </w:rPr>
  </w:style>
  <w:style w:type="character" w:styleId="EndnoteReference">
    <w:name w:val="endnote reference"/>
    <w:basedOn w:val="DefaultParagraphFont"/>
    <w:rsid w:val="00A76AEB"/>
    <w:rPr>
      <w:vertAlign w:val="superscript"/>
    </w:rPr>
  </w:style>
  <w:style w:type="paragraph" w:styleId="BodyTextIndent3">
    <w:name w:val="Body Text Indent 3"/>
    <w:basedOn w:val="Normal"/>
    <w:link w:val="BodyTextIndent3Char"/>
    <w:rsid w:val="00F909BD"/>
    <w:pPr>
      <w:spacing w:line="240" w:lineRule="auto"/>
      <w:ind w:left="851"/>
      <w:jc w:val="both"/>
    </w:pPr>
    <w:rPr>
      <w:rFonts w:eastAsia="SimSun"/>
      <w:szCs w:val="20"/>
      <w:lang w:val="en-US" w:eastAsia="en-US"/>
    </w:rPr>
  </w:style>
  <w:style w:type="character" w:customStyle="1" w:styleId="BodyTextIndent3Char">
    <w:name w:val="Body Text Indent 3 Char"/>
    <w:basedOn w:val="DefaultParagraphFont"/>
    <w:link w:val="BodyTextIndent3"/>
    <w:rsid w:val="00F909BD"/>
    <w:rPr>
      <w:rFonts w:ascii="Arial" w:eastAsia="SimSun" w:hAnsi="Arial"/>
      <w:lang w:val="en-US" w:eastAsia="en-US"/>
    </w:rPr>
  </w:style>
  <w:style w:type="paragraph" w:customStyle="1" w:styleId="BulletDPS1">
    <w:name w:val="Bullet DPS1"/>
    <w:basedOn w:val="ListParagraph"/>
    <w:link w:val="BulletDPS1Char"/>
    <w:qFormat/>
    <w:rsid w:val="00112E7F"/>
    <w:pPr>
      <w:numPr>
        <w:numId w:val="5"/>
      </w:numPr>
      <w:spacing w:before="120" w:line="240" w:lineRule="auto"/>
    </w:pPr>
    <w:rPr>
      <w:rFonts w:eastAsia="SimSun" w:cs="Arial"/>
      <w:szCs w:val="20"/>
    </w:rPr>
  </w:style>
  <w:style w:type="character" w:customStyle="1" w:styleId="BulletDPS1Char">
    <w:name w:val="Bullet DPS1 Char"/>
    <w:basedOn w:val="DefaultParagraphFont"/>
    <w:link w:val="BulletDPS1"/>
    <w:rsid w:val="00112E7F"/>
    <w:rPr>
      <w:rFonts w:ascii="Arial" w:eastAsia="SimSun" w:hAnsi="Arial" w:cs="Arial"/>
      <w:noProof/>
      <w:lang w:val="en-GB" w:eastAsia="en-US"/>
    </w:rPr>
  </w:style>
  <w:style w:type="paragraph" w:customStyle="1" w:styleId="xl63">
    <w:name w:val="xl63"/>
    <w:basedOn w:val="Normal"/>
    <w:rsid w:val="0047442D"/>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Arial Narrow" w:hAnsi="Arial Narrow"/>
      <w:i/>
      <w:iCs/>
      <w:color w:val="008000"/>
      <w:sz w:val="16"/>
      <w:szCs w:val="16"/>
    </w:rPr>
  </w:style>
  <w:style w:type="paragraph" w:customStyle="1" w:styleId="xl64">
    <w:name w:val="xl64"/>
    <w:basedOn w:val="Normal"/>
    <w:rsid w:val="0047442D"/>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jc w:val="center"/>
    </w:pPr>
    <w:rPr>
      <w:rFonts w:ascii="Arial Narrow" w:hAnsi="Arial Narrow"/>
      <w:i/>
      <w:iCs/>
      <w:color w:val="008000"/>
      <w:sz w:val="16"/>
      <w:szCs w:val="16"/>
    </w:rPr>
  </w:style>
  <w:style w:type="paragraph" w:customStyle="1" w:styleId="xl65">
    <w:name w:val="xl65"/>
    <w:basedOn w:val="Normal"/>
    <w:rsid w:val="0047442D"/>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sz w:val="24"/>
    </w:rPr>
  </w:style>
  <w:style w:type="paragraph" w:customStyle="1" w:styleId="xl66">
    <w:name w:val="xl66"/>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pPr>
    <w:rPr>
      <w:rFonts w:ascii="Arial Narrow" w:hAnsi="Arial Narrow"/>
      <w:color w:val="000000"/>
      <w:sz w:val="16"/>
      <w:szCs w:val="16"/>
    </w:rPr>
  </w:style>
  <w:style w:type="paragraph" w:customStyle="1" w:styleId="xl67">
    <w:name w:val="xl67"/>
    <w:basedOn w:val="Normal"/>
    <w:rsid w:val="0047442D"/>
    <w:pPr>
      <w:pBdr>
        <w:top w:val="single" w:sz="4" w:space="0" w:color="B5DDDC"/>
        <w:left w:val="single" w:sz="4" w:space="5" w:color="B5DDDC"/>
        <w:bottom w:val="single" w:sz="4" w:space="0" w:color="B5DDDC"/>
        <w:right w:val="single" w:sz="4" w:space="0" w:color="B5DDDC"/>
      </w:pBdr>
      <w:spacing w:before="100" w:beforeAutospacing="1" w:after="100" w:afterAutospacing="1" w:line="240" w:lineRule="auto"/>
      <w:ind w:firstLineChars="100" w:firstLine="100"/>
    </w:pPr>
    <w:rPr>
      <w:rFonts w:ascii="Arial Narrow" w:hAnsi="Arial Narrow"/>
      <w:color w:val="000000"/>
      <w:sz w:val="16"/>
      <w:szCs w:val="16"/>
    </w:rPr>
  </w:style>
  <w:style w:type="paragraph" w:customStyle="1" w:styleId="xl68">
    <w:name w:val="xl68"/>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jc w:val="center"/>
    </w:pPr>
    <w:rPr>
      <w:rFonts w:ascii="Arial Narrow" w:hAnsi="Arial Narrow"/>
      <w:color w:val="000000"/>
      <w:sz w:val="16"/>
      <w:szCs w:val="16"/>
    </w:rPr>
  </w:style>
  <w:style w:type="paragraph" w:customStyle="1" w:styleId="xl69">
    <w:name w:val="xl69"/>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pPr>
    <w:rPr>
      <w:rFonts w:ascii="Times New Roman" w:hAnsi="Times New Roman"/>
      <w:sz w:val="24"/>
    </w:rPr>
  </w:style>
  <w:style w:type="paragraph" w:customStyle="1" w:styleId="xl70">
    <w:name w:val="xl70"/>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pPr>
    <w:rPr>
      <w:rFonts w:ascii="Times New Roman" w:hAnsi="Times New Roman"/>
      <w:szCs w:val="20"/>
    </w:rPr>
  </w:style>
  <w:style w:type="paragraph" w:customStyle="1" w:styleId="Appendix">
    <w:name w:val="Appendix_"/>
    <w:basedOn w:val="Heading1"/>
    <w:link w:val="AppendixChar"/>
    <w:qFormat/>
    <w:rsid w:val="005976B3"/>
    <w:pPr>
      <w:numPr>
        <w:numId w:val="0"/>
      </w:numPr>
    </w:pPr>
  </w:style>
  <w:style w:type="paragraph" w:customStyle="1" w:styleId="xl71">
    <w:name w:val="xl71"/>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character" w:customStyle="1" w:styleId="Non-numberedHeading1Char">
    <w:name w:val="Non-numbered Heading 1 Char"/>
    <w:basedOn w:val="DefaultParagraphFont"/>
    <w:link w:val="Non-numberedHeading1"/>
    <w:rsid w:val="005976B3"/>
    <w:rPr>
      <w:rFonts w:ascii="Lucida Sans" w:hAnsi="Lucida Sans"/>
      <w:b/>
      <w:color w:val="008000"/>
      <w:sz w:val="32"/>
      <w:szCs w:val="24"/>
    </w:rPr>
  </w:style>
  <w:style w:type="character" w:customStyle="1" w:styleId="AppendixChar">
    <w:name w:val="Appendix_ Char"/>
    <w:basedOn w:val="Non-numberedHeading1Char"/>
    <w:link w:val="Appendix"/>
    <w:rsid w:val="005976B3"/>
    <w:rPr>
      <w:rFonts w:ascii="Lucida Sans" w:hAnsi="Lucida Sans"/>
      <w:b/>
      <w:color w:val="008000"/>
      <w:sz w:val="32"/>
      <w:szCs w:val="24"/>
    </w:rPr>
  </w:style>
  <w:style w:type="paragraph" w:customStyle="1" w:styleId="xl72">
    <w:name w:val="xl72"/>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73">
    <w:name w:val="xl73"/>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4">
    <w:name w:val="xl74"/>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5">
    <w:name w:val="xl75"/>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6">
    <w:name w:val="xl76"/>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7">
    <w:name w:val="xl77"/>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8">
    <w:name w:val="xl78"/>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i/>
      <w:iCs/>
      <w:color w:val="008000"/>
      <w:sz w:val="24"/>
    </w:rPr>
  </w:style>
  <w:style w:type="paragraph" w:customStyle="1" w:styleId="xl79">
    <w:name w:val="xl79"/>
    <w:basedOn w:val="Normal"/>
    <w:rsid w:val="00A34A08"/>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b/>
      <w:bCs/>
      <w:i/>
      <w:iCs/>
      <w:color w:val="008000"/>
      <w:sz w:val="24"/>
    </w:rPr>
  </w:style>
  <w:style w:type="paragraph" w:customStyle="1" w:styleId="xl80">
    <w:name w:val="xl80"/>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jc w:val="center"/>
    </w:pPr>
    <w:rPr>
      <w:rFonts w:ascii="Times New Roman" w:hAnsi="Times New Roman"/>
      <w:b/>
      <w:bCs/>
      <w:i/>
      <w:iCs/>
      <w:color w:val="008000"/>
      <w:sz w:val="24"/>
    </w:rPr>
  </w:style>
  <w:style w:type="paragraph" w:customStyle="1" w:styleId="xl81">
    <w:name w:val="xl81"/>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82">
    <w:name w:val="xl82"/>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83">
    <w:name w:val="xl83"/>
    <w:basedOn w:val="Normal"/>
    <w:rsid w:val="00A34A08"/>
    <w:pPr>
      <w:pBdr>
        <w:top w:val="single" w:sz="4" w:space="0" w:color="B5DDDC"/>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84">
    <w:name w:val="xl84"/>
    <w:basedOn w:val="Normal"/>
    <w:rsid w:val="00A34A08"/>
    <w:pPr>
      <w:pBdr>
        <w:top w:val="single" w:sz="4" w:space="0" w:color="B5DDDC"/>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85">
    <w:name w:val="xl85"/>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86">
    <w:name w:val="xl86"/>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87">
    <w:name w:val="xl87"/>
    <w:basedOn w:val="Normal"/>
    <w:rsid w:val="00A34A08"/>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88">
    <w:name w:val="xl88"/>
    <w:basedOn w:val="Normal"/>
    <w:rsid w:val="00A34A08"/>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89">
    <w:name w:val="xl89"/>
    <w:basedOn w:val="Normal"/>
    <w:rsid w:val="00A34A08"/>
    <w:pPr>
      <w:pBdr>
        <w:top w:val="single" w:sz="4" w:space="0" w:color="B5DDDC"/>
        <w:left w:val="single" w:sz="4" w:space="0" w:color="B5DDDC"/>
      </w:pBdr>
      <w:shd w:val="clear" w:color="000000" w:fill="B5DDDC"/>
      <w:spacing w:before="100" w:beforeAutospacing="1" w:after="100" w:afterAutospacing="1" w:line="240" w:lineRule="auto"/>
      <w:jc w:val="center"/>
    </w:pPr>
    <w:rPr>
      <w:rFonts w:ascii="Times New Roman" w:hAnsi="Times New Roman"/>
      <w:i/>
      <w:iCs/>
      <w:color w:val="008000"/>
      <w:sz w:val="24"/>
    </w:rPr>
  </w:style>
  <w:style w:type="paragraph" w:customStyle="1" w:styleId="xl90">
    <w:name w:val="xl90"/>
    <w:basedOn w:val="Normal"/>
    <w:rsid w:val="00A34A08"/>
    <w:pPr>
      <w:pBdr>
        <w:left w:val="single" w:sz="4" w:space="0" w:color="B5DDDC"/>
      </w:pBdr>
      <w:shd w:val="clear" w:color="000000" w:fill="B5DDDC"/>
      <w:spacing w:before="100" w:beforeAutospacing="1" w:after="100" w:afterAutospacing="1" w:line="240" w:lineRule="auto"/>
      <w:jc w:val="center"/>
    </w:pPr>
    <w:rPr>
      <w:rFonts w:ascii="Times New Roman" w:hAnsi="Times New Roman"/>
      <w:i/>
      <w:iCs/>
      <w:color w:val="008000"/>
      <w:sz w:val="24"/>
    </w:rPr>
  </w:style>
  <w:style w:type="paragraph" w:customStyle="1" w:styleId="xl91">
    <w:name w:val="xl91"/>
    <w:basedOn w:val="Normal"/>
    <w:rsid w:val="00A34A08"/>
    <w:pPr>
      <w:pBdr>
        <w:left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i/>
      <w:iCs/>
      <w:color w:val="008000"/>
      <w:sz w:val="24"/>
    </w:rPr>
  </w:style>
  <w:style w:type="paragraph" w:customStyle="1" w:styleId="xl92">
    <w:name w:val="xl92"/>
    <w:basedOn w:val="Normal"/>
    <w:rsid w:val="00A34A08"/>
    <w:pPr>
      <w:pBdr>
        <w:top w:val="single" w:sz="4" w:space="0" w:color="B5DDDC"/>
        <w:left w:val="single" w:sz="4" w:space="0" w:color="B5DDDC"/>
        <w:bottom w:val="single" w:sz="4" w:space="0" w:color="B5DDDC"/>
      </w:pBdr>
      <w:shd w:val="clear" w:color="000000" w:fill="D6EAEB"/>
      <w:spacing w:before="100" w:beforeAutospacing="1" w:after="100" w:afterAutospacing="1" w:line="240" w:lineRule="auto"/>
      <w:jc w:val="right"/>
    </w:pPr>
    <w:rPr>
      <w:rFonts w:ascii="Times New Roman" w:hAnsi="Times New Roman"/>
      <w:sz w:val="24"/>
    </w:rPr>
  </w:style>
  <w:style w:type="paragraph" w:customStyle="1" w:styleId="xl93">
    <w:name w:val="xl93"/>
    <w:basedOn w:val="Normal"/>
    <w:rsid w:val="00A34A08"/>
    <w:pPr>
      <w:pBdr>
        <w:top w:val="single" w:sz="4" w:space="0" w:color="B5DDDC"/>
        <w:left w:val="single" w:sz="4" w:space="0" w:color="B5DDDC"/>
        <w:bottom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94">
    <w:name w:val="xl94"/>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95">
    <w:name w:val="xl95"/>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96">
    <w:name w:val="xl96"/>
    <w:basedOn w:val="Normal"/>
    <w:rsid w:val="00A34A08"/>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97">
    <w:name w:val="xl97"/>
    <w:basedOn w:val="Normal"/>
    <w:rsid w:val="00A34A08"/>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98">
    <w:name w:val="xl98"/>
    <w:basedOn w:val="Normal"/>
    <w:rsid w:val="00A34A08"/>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99">
    <w:name w:val="xl99"/>
    <w:basedOn w:val="Normal"/>
    <w:rsid w:val="00A34A08"/>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0">
    <w:name w:val="xl100"/>
    <w:basedOn w:val="Normal"/>
    <w:rsid w:val="00A34A08"/>
    <w:pPr>
      <w:pBdr>
        <w:top w:val="single" w:sz="4" w:space="0" w:color="B5DDDC"/>
        <w:left w:val="single" w:sz="4" w:space="0" w:color="B5DDDC"/>
        <w:bottom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01">
    <w:name w:val="xl101"/>
    <w:basedOn w:val="Normal"/>
    <w:rsid w:val="00A34A08"/>
    <w:pPr>
      <w:pBdr>
        <w:top w:val="single" w:sz="4" w:space="0" w:color="B5DDDC"/>
        <w:left w:val="single" w:sz="4" w:space="0" w:color="B5DDDC"/>
        <w:bottom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02">
    <w:name w:val="xl102"/>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103">
    <w:name w:val="xl103"/>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4">
    <w:name w:val="xl104"/>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105">
    <w:name w:val="xl105"/>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6">
    <w:name w:val="xl106"/>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107">
    <w:name w:val="xl107"/>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8">
    <w:name w:val="xl108"/>
    <w:basedOn w:val="Normal"/>
    <w:rsid w:val="00A34A08"/>
    <w:pPr>
      <w:pBdr>
        <w:left w:val="single" w:sz="4" w:space="0" w:color="B5DDDC"/>
        <w:bottom w:val="single" w:sz="4" w:space="0" w:color="B5DDDC"/>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09">
    <w:name w:val="xl109"/>
    <w:basedOn w:val="Normal"/>
    <w:rsid w:val="00A34A08"/>
    <w:pPr>
      <w:pBdr>
        <w:left w:val="single" w:sz="4" w:space="0" w:color="B5DDDC"/>
        <w:bottom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10">
    <w:name w:val="xl110"/>
    <w:basedOn w:val="Normal"/>
    <w:rsid w:val="00A34A08"/>
    <w:pPr>
      <w:pBdr>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1">
    <w:name w:val="xl111"/>
    <w:basedOn w:val="Normal"/>
    <w:rsid w:val="00A34A08"/>
    <w:pPr>
      <w:pBdr>
        <w:left w:val="single" w:sz="4" w:space="0" w:color="B5DDDC"/>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2">
    <w:name w:val="xl112"/>
    <w:basedOn w:val="Normal"/>
    <w:rsid w:val="00A34A08"/>
    <w:pPr>
      <w:pBdr>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13">
    <w:name w:val="xl113"/>
    <w:basedOn w:val="Normal"/>
    <w:rsid w:val="00A34A08"/>
    <w:pPr>
      <w:pBdr>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4">
    <w:name w:val="xl114"/>
    <w:basedOn w:val="Normal"/>
    <w:rsid w:val="00A34A08"/>
    <w:pPr>
      <w:pBdr>
        <w:left w:val="single" w:sz="4" w:space="0" w:color="B5DDDC"/>
        <w:bottom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5">
    <w:name w:val="xl115"/>
    <w:basedOn w:val="Normal"/>
    <w:rsid w:val="00A34A08"/>
    <w:pPr>
      <w:pBdr>
        <w:top w:val="single" w:sz="4" w:space="0" w:color="B5DDDC"/>
        <w:left w:val="single" w:sz="4" w:space="0" w:color="B5DDDC"/>
        <w:bottom w:val="single" w:sz="4" w:space="0" w:color="008000"/>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16">
    <w:name w:val="xl116"/>
    <w:basedOn w:val="Normal"/>
    <w:rsid w:val="00A34A08"/>
    <w:pPr>
      <w:pBdr>
        <w:top w:val="single" w:sz="4" w:space="0" w:color="B5DDDC"/>
        <w:left w:val="single" w:sz="4" w:space="0" w:color="B5DDDC"/>
        <w:bottom w:val="single" w:sz="4" w:space="0" w:color="008000"/>
      </w:pBdr>
      <w:shd w:val="clear" w:color="000000" w:fill="D6EAEB"/>
      <w:spacing w:before="100" w:beforeAutospacing="1" w:after="100" w:afterAutospacing="1" w:line="240" w:lineRule="auto"/>
    </w:pPr>
    <w:rPr>
      <w:rFonts w:ascii="Times New Roman" w:hAnsi="Times New Roman"/>
      <w:sz w:val="24"/>
    </w:rPr>
  </w:style>
  <w:style w:type="paragraph" w:customStyle="1" w:styleId="xl117">
    <w:name w:val="xl117"/>
    <w:basedOn w:val="Normal"/>
    <w:rsid w:val="00A34A08"/>
    <w:pPr>
      <w:pBdr>
        <w:top w:val="single" w:sz="4" w:space="0" w:color="B5DDDC"/>
        <w:left w:val="single" w:sz="4" w:space="0" w:color="008000"/>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8">
    <w:name w:val="xl118"/>
    <w:basedOn w:val="Normal"/>
    <w:rsid w:val="00A34A08"/>
    <w:pPr>
      <w:pBdr>
        <w:top w:val="single" w:sz="4" w:space="0" w:color="B5DDDC"/>
        <w:left w:val="single" w:sz="4" w:space="0" w:color="B5DDDC"/>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9">
    <w:name w:val="xl119"/>
    <w:basedOn w:val="Normal"/>
    <w:rsid w:val="00A34A08"/>
    <w:pPr>
      <w:pBdr>
        <w:top w:val="single" w:sz="4" w:space="0" w:color="B5DDDC"/>
        <w:left w:val="single" w:sz="4" w:space="0" w:color="B5DDDC"/>
        <w:bottom w:val="single" w:sz="4" w:space="0" w:color="008000"/>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20">
    <w:name w:val="xl120"/>
    <w:basedOn w:val="Normal"/>
    <w:rsid w:val="00A34A08"/>
    <w:pPr>
      <w:pBdr>
        <w:top w:val="single" w:sz="4" w:space="0" w:color="B5DDDC"/>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1">
    <w:name w:val="xl121"/>
    <w:basedOn w:val="Normal"/>
    <w:rsid w:val="00A34A08"/>
    <w:pPr>
      <w:pBdr>
        <w:top w:val="single" w:sz="4" w:space="0" w:color="B5DDDC"/>
        <w:left w:val="single" w:sz="4" w:space="0" w:color="B5DDDC"/>
        <w:bottom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22">
    <w:name w:val="xl122"/>
    <w:basedOn w:val="Normal"/>
    <w:rsid w:val="00A34A08"/>
    <w:pPr>
      <w:pBdr>
        <w:top w:val="single" w:sz="4" w:space="0" w:color="B5DDDC"/>
        <w:left w:val="single" w:sz="4" w:space="0" w:color="B5DDDC"/>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23">
    <w:name w:val="xl123"/>
    <w:basedOn w:val="Normal"/>
    <w:rsid w:val="00A34A08"/>
    <w:pPr>
      <w:pBdr>
        <w:top w:val="single" w:sz="4" w:space="0" w:color="B5DDDC"/>
        <w:lef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24">
    <w:name w:val="xl124"/>
    <w:basedOn w:val="Normal"/>
    <w:rsid w:val="00A34A08"/>
    <w:pPr>
      <w:pBdr>
        <w:top w:val="single" w:sz="4" w:space="0" w:color="B5DDDC"/>
        <w:left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5">
    <w:name w:val="xl125"/>
    <w:basedOn w:val="Normal"/>
    <w:rsid w:val="00A34A08"/>
    <w:pPr>
      <w:pBdr>
        <w:top w:val="single" w:sz="4" w:space="0" w:color="B5DDDC"/>
        <w:left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6">
    <w:name w:val="xl126"/>
    <w:basedOn w:val="Normal"/>
    <w:rsid w:val="00A34A08"/>
    <w:pPr>
      <w:pBdr>
        <w:top w:val="single" w:sz="4" w:space="0" w:color="B5DDDC"/>
        <w:left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27">
    <w:name w:val="xl127"/>
    <w:basedOn w:val="Normal"/>
    <w:rsid w:val="00A34A08"/>
    <w:pPr>
      <w:pBdr>
        <w:top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8">
    <w:name w:val="xl128"/>
    <w:basedOn w:val="Normal"/>
    <w:rsid w:val="00A34A08"/>
    <w:pPr>
      <w:pBdr>
        <w:top w:val="single" w:sz="4" w:space="0" w:color="B5DDDC"/>
        <w:lef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9">
    <w:name w:val="xl129"/>
    <w:basedOn w:val="Normal"/>
    <w:rsid w:val="00A34A08"/>
    <w:pPr>
      <w:pBdr>
        <w:left w:val="single" w:sz="4" w:space="0" w:color="B5DDDC"/>
        <w:bottom w:val="single" w:sz="4" w:space="0" w:color="008000"/>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30">
    <w:name w:val="xl130"/>
    <w:basedOn w:val="Normal"/>
    <w:rsid w:val="00A34A08"/>
    <w:pPr>
      <w:pBdr>
        <w:left w:val="single" w:sz="4" w:space="0" w:color="B5DDDC"/>
        <w:bottom w:val="single" w:sz="4" w:space="0" w:color="008000"/>
      </w:pBdr>
      <w:shd w:val="clear" w:color="000000" w:fill="D6EAEB"/>
      <w:spacing w:before="100" w:beforeAutospacing="1" w:after="100" w:afterAutospacing="1" w:line="240" w:lineRule="auto"/>
    </w:pPr>
    <w:rPr>
      <w:rFonts w:ascii="Times New Roman" w:hAnsi="Times New Roman"/>
      <w:sz w:val="24"/>
    </w:rPr>
  </w:style>
  <w:style w:type="paragraph" w:customStyle="1" w:styleId="xl131">
    <w:name w:val="xl131"/>
    <w:basedOn w:val="Normal"/>
    <w:rsid w:val="00A34A08"/>
    <w:pPr>
      <w:pBdr>
        <w:left w:val="single" w:sz="4" w:space="0" w:color="008000"/>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32">
    <w:name w:val="xl132"/>
    <w:basedOn w:val="Normal"/>
    <w:rsid w:val="00A34A08"/>
    <w:pPr>
      <w:pBdr>
        <w:left w:val="single" w:sz="4" w:space="0" w:color="B5DDDC"/>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33">
    <w:name w:val="xl133"/>
    <w:basedOn w:val="Normal"/>
    <w:rsid w:val="00A34A08"/>
    <w:pPr>
      <w:pBdr>
        <w:left w:val="single" w:sz="4" w:space="0" w:color="B5DDDC"/>
        <w:bottom w:val="single" w:sz="4" w:space="0" w:color="008000"/>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34">
    <w:name w:val="xl134"/>
    <w:basedOn w:val="Normal"/>
    <w:rsid w:val="00A34A08"/>
    <w:pPr>
      <w:pBdr>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35">
    <w:name w:val="xl135"/>
    <w:basedOn w:val="Normal"/>
    <w:rsid w:val="00A34A08"/>
    <w:pPr>
      <w:pBdr>
        <w:left w:val="single" w:sz="4" w:space="0" w:color="B5DDDC"/>
        <w:bottom w:val="single" w:sz="4" w:space="0" w:color="008000"/>
      </w:pBdr>
      <w:spacing w:before="100" w:beforeAutospacing="1" w:after="100" w:afterAutospacing="1" w:line="240" w:lineRule="auto"/>
      <w:jc w:val="center"/>
    </w:pPr>
    <w:rPr>
      <w:rFonts w:ascii="Times New Roman" w:hAnsi="Times New Roman"/>
      <w:sz w:val="24"/>
    </w:rPr>
  </w:style>
  <w:style w:type="table" w:customStyle="1" w:styleId="DefaultTableStyle">
    <w:name w:val="Default Table Style"/>
    <w:basedOn w:val="TableNormal"/>
    <w:rsid w:val="001E4289"/>
    <w:pPr>
      <w:jc w:val="center"/>
    </w:pPr>
    <w:rPr>
      <w:rFonts w:ascii="Calibri" w:hAnsi="Calibri"/>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cPr>
      <w:vAlign w:val="center"/>
    </w:tcPr>
    <w:tblStylePr w:type="firstRow">
      <w:pPr>
        <w:jc w:val="center"/>
      </w:pPr>
      <w:rPr>
        <w:b/>
        <w:color w:val="008000"/>
      </w:rPr>
      <w:tblPr/>
      <w:tcPr>
        <w:shd w:val="clear" w:color="auto" w:fill="B5DDDC"/>
      </w:tcPr>
    </w:tblStylePr>
    <w:tblStylePr w:type="firstCol">
      <w:pPr>
        <w:jc w:val="left"/>
      </w:pPr>
      <w:tblPr/>
      <w:tcPr>
        <w:shd w:val="clear" w:color="auto" w:fill="D6EAEB"/>
      </w:tcPr>
    </w:tblStylePr>
  </w:style>
  <w:style w:type="paragraph" w:customStyle="1" w:styleId="References">
    <w:name w:val="References"/>
    <w:basedOn w:val="Normal"/>
    <w:rsid w:val="00993484"/>
    <w:pPr>
      <w:ind w:left="720" w:hanging="720"/>
    </w:pPr>
    <w:rPr>
      <w:sz w:val="18"/>
    </w:rPr>
  </w:style>
  <w:style w:type="paragraph" w:customStyle="1" w:styleId="font5">
    <w:name w:val="font5"/>
    <w:basedOn w:val="Normal"/>
    <w:rsid w:val="00993484"/>
    <w:pPr>
      <w:spacing w:before="100" w:beforeAutospacing="1" w:after="100" w:afterAutospacing="1" w:line="240" w:lineRule="auto"/>
    </w:pPr>
    <w:rPr>
      <w:rFonts w:ascii="Calibri" w:hAnsi="Calibri"/>
      <w:i/>
      <w:iCs/>
      <w:color w:val="000000"/>
      <w:szCs w:val="20"/>
    </w:rPr>
  </w:style>
  <w:style w:type="paragraph" w:customStyle="1" w:styleId="font6">
    <w:name w:val="font6"/>
    <w:basedOn w:val="Normal"/>
    <w:rsid w:val="00993484"/>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Normal"/>
    <w:rsid w:val="00993484"/>
    <w:pPr>
      <w:spacing w:before="100" w:beforeAutospacing="1" w:after="100" w:afterAutospacing="1" w:line="240" w:lineRule="auto"/>
    </w:pPr>
    <w:rPr>
      <w:rFonts w:ascii="Tahoma" w:hAnsi="Tahoma" w:cs="Tahoma"/>
      <w:color w:val="000000"/>
      <w:sz w:val="16"/>
      <w:szCs w:val="16"/>
    </w:rPr>
  </w:style>
  <w:style w:type="paragraph" w:customStyle="1" w:styleId="font8">
    <w:name w:val="font8"/>
    <w:basedOn w:val="Normal"/>
    <w:rsid w:val="00993484"/>
    <w:pPr>
      <w:spacing w:before="100" w:beforeAutospacing="1" w:after="100" w:afterAutospacing="1" w:line="240" w:lineRule="auto"/>
    </w:pPr>
    <w:rPr>
      <w:rFonts w:ascii="Tahoma" w:hAnsi="Tahoma" w:cs="Tahoma"/>
      <w:b/>
      <w:bCs/>
      <w:color w:val="000000"/>
      <w:sz w:val="28"/>
      <w:szCs w:val="28"/>
    </w:rPr>
  </w:style>
  <w:style w:type="paragraph" w:customStyle="1" w:styleId="font9">
    <w:name w:val="font9"/>
    <w:basedOn w:val="Normal"/>
    <w:rsid w:val="00993484"/>
    <w:pPr>
      <w:spacing w:before="100" w:beforeAutospacing="1" w:after="100" w:afterAutospacing="1" w:line="240" w:lineRule="auto"/>
    </w:pPr>
    <w:rPr>
      <w:rFonts w:ascii="Tahoma" w:hAnsi="Tahoma" w:cs="Tahoma"/>
      <w:color w:val="000000"/>
      <w:sz w:val="28"/>
      <w:szCs w:val="28"/>
    </w:rPr>
  </w:style>
  <w:style w:type="paragraph" w:customStyle="1" w:styleId="font10">
    <w:name w:val="font10"/>
    <w:basedOn w:val="Normal"/>
    <w:rsid w:val="00993484"/>
    <w:pPr>
      <w:spacing w:before="100" w:beforeAutospacing="1" w:after="100" w:afterAutospacing="1" w:line="240" w:lineRule="auto"/>
    </w:pPr>
    <w:rPr>
      <w:rFonts w:ascii="Tahoma" w:hAnsi="Tahoma" w:cs="Tahoma"/>
      <w:b/>
      <w:bCs/>
      <w:color w:val="000000"/>
      <w:sz w:val="18"/>
      <w:szCs w:val="18"/>
    </w:rPr>
  </w:style>
  <w:style w:type="paragraph" w:customStyle="1" w:styleId="font11">
    <w:name w:val="font11"/>
    <w:basedOn w:val="Normal"/>
    <w:rsid w:val="00993484"/>
    <w:pPr>
      <w:spacing w:before="100" w:beforeAutospacing="1" w:after="100" w:afterAutospacing="1" w:line="240" w:lineRule="auto"/>
    </w:pPr>
    <w:rPr>
      <w:rFonts w:ascii="Tahoma" w:hAnsi="Tahoma" w:cs="Tahoma"/>
      <w:color w:val="000000"/>
      <w:sz w:val="18"/>
      <w:szCs w:val="18"/>
    </w:rPr>
  </w:style>
  <w:style w:type="paragraph" w:customStyle="1" w:styleId="xl136">
    <w:name w:val="xl136"/>
    <w:basedOn w:val="Normal"/>
    <w:rsid w:val="00993484"/>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textAlignment w:val="top"/>
    </w:pPr>
    <w:rPr>
      <w:rFonts w:ascii="Times New Roman" w:hAnsi="Times New Roman"/>
      <w:color w:val="A5A5A5"/>
      <w:sz w:val="18"/>
      <w:szCs w:val="18"/>
    </w:rPr>
  </w:style>
  <w:style w:type="paragraph" w:customStyle="1" w:styleId="xl137">
    <w:name w:val="xl137"/>
    <w:basedOn w:val="Normal"/>
    <w:rsid w:val="00993484"/>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color w:val="A5A5A5"/>
      <w:sz w:val="18"/>
      <w:szCs w:val="18"/>
    </w:rPr>
  </w:style>
  <w:style w:type="paragraph" w:customStyle="1" w:styleId="xl138">
    <w:name w:val="xl138"/>
    <w:basedOn w:val="Normal"/>
    <w:rsid w:val="00993484"/>
    <w:pPr>
      <w:pBdr>
        <w:top w:val="single" w:sz="4" w:space="0" w:color="B5DDDC"/>
        <w:left w:val="single" w:sz="4" w:space="0" w:color="008000"/>
        <w:bottom w:val="single" w:sz="4" w:space="0" w:color="auto"/>
        <w:right w:val="single" w:sz="4" w:space="0" w:color="B5DDDC"/>
      </w:pBdr>
      <w:spacing w:before="100" w:beforeAutospacing="1" w:after="100" w:afterAutospacing="1" w:line="240" w:lineRule="auto"/>
      <w:jc w:val="right"/>
    </w:pPr>
    <w:rPr>
      <w:rFonts w:ascii="Times New Roman" w:hAnsi="Times New Roman"/>
      <w:color w:val="A5A5A5"/>
      <w:sz w:val="18"/>
      <w:szCs w:val="18"/>
    </w:rPr>
  </w:style>
  <w:style w:type="paragraph" w:customStyle="1" w:styleId="xl139">
    <w:name w:val="xl139"/>
    <w:basedOn w:val="Normal"/>
    <w:rsid w:val="00993484"/>
    <w:pPr>
      <w:spacing w:before="100" w:beforeAutospacing="1" w:after="100" w:afterAutospacing="1" w:line="240" w:lineRule="auto"/>
    </w:pPr>
    <w:rPr>
      <w:rFonts w:ascii="Times New Roman" w:hAnsi="Times New Roman"/>
      <w:color w:val="A5A5A5"/>
      <w:sz w:val="18"/>
      <w:szCs w:val="18"/>
    </w:rPr>
  </w:style>
  <w:style w:type="paragraph" w:customStyle="1" w:styleId="xl140">
    <w:name w:val="xl140"/>
    <w:basedOn w:val="Normal"/>
    <w:rsid w:val="00993484"/>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jc w:val="center"/>
      <w:textAlignment w:val="center"/>
    </w:pPr>
    <w:rPr>
      <w:rFonts w:ascii="Times New Roman" w:hAnsi="Times New Roman"/>
      <w:color w:val="A5A5A5"/>
      <w:sz w:val="18"/>
      <w:szCs w:val="18"/>
    </w:rPr>
  </w:style>
  <w:style w:type="paragraph" w:customStyle="1" w:styleId="xl141">
    <w:name w:val="xl141"/>
    <w:basedOn w:val="Normal"/>
    <w:rsid w:val="00993484"/>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jc w:val="center"/>
    </w:pPr>
    <w:rPr>
      <w:rFonts w:ascii="Times New Roman" w:hAnsi="Times New Roman"/>
      <w:color w:val="A5A5A5"/>
      <w:sz w:val="18"/>
      <w:szCs w:val="18"/>
    </w:rPr>
  </w:style>
  <w:style w:type="paragraph" w:customStyle="1" w:styleId="xl142">
    <w:name w:val="xl142"/>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3">
    <w:name w:val="xl143"/>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pPr>
    <w:rPr>
      <w:rFonts w:ascii="Times New Roman" w:hAnsi="Times New Roman"/>
      <w:color w:val="A5A5A5"/>
      <w:sz w:val="18"/>
      <w:szCs w:val="18"/>
    </w:rPr>
  </w:style>
  <w:style w:type="paragraph" w:customStyle="1" w:styleId="xl144">
    <w:name w:val="xl144"/>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pPr>
    <w:rPr>
      <w:rFonts w:ascii="Times New Roman" w:hAnsi="Times New Roman"/>
      <w:color w:val="A5A5A5"/>
      <w:sz w:val="18"/>
      <w:szCs w:val="18"/>
    </w:rPr>
  </w:style>
  <w:style w:type="paragraph" w:customStyle="1" w:styleId="xl145">
    <w:name w:val="xl145"/>
    <w:basedOn w:val="Normal"/>
    <w:rsid w:val="00993484"/>
    <w:pPr>
      <w:pBdr>
        <w:top w:val="single" w:sz="4" w:space="0" w:color="B5DDDC"/>
        <w:left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6">
    <w:name w:val="xl146"/>
    <w:basedOn w:val="Normal"/>
    <w:rsid w:val="00993484"/>
    <w:pPr>
      <w:pBdr>
        <w:left w:val="single" w:sz="4" w:space="0" w:color="B5DDDC"/>
        <w:bottom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7">
    <w:name w:val="xl147"/>
    <w:basedOn w:val="Normal"/>
    <w:rsid w:val="00993484"/>
    <w:pPr>
      <w:pBdr>
        <w:top w:val="single" w:sz="4" w:space="0" w:color="B5DDDC"/>
        <w:left w:val="single" w:sz="4" w:space="0" w:color="B5DDDC"/>
        <w:bottom w:val="single" w:sz="4" w:space="0" w:color="auto"/>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8">
    <w:name w:val="xl148"/>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9">
    <w:name w:val="xl149"/>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textAlignment w:val="top"/>
    </w:pPr>
    <w:rPr>
      <w:rFonts w:ascii="Times New Roman" w:hAnsi="Times New Roman"/>
      <w:color w:val="A5A5A5"/>
      <w:sz w:val="18"/>
      <w:szCs w:val="18"/>
    </w:rPr>
  </w:style>
  <w:style w:type="paragraph" w:customStyle="1" w:styleId="xl150">
    <w:name w:val="xl150"/>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color w:val="A5A5A5"/>
      <w:sz w:val="18"/>
      <w:szCs w:val="18"/>
    </w:rPr>
  </w:style>
  <w:style w:type="paragraph" w:customStyle="1" w:styleId="xl151">
    <w:name w:val="xl151"/>
    <w:basedOn w:val="Normal"/>
    <w:rsid w:val="00993484"/>
    <w:pPr>
      <w:pBdr>
        <w:top w:val="single" w:sz="4" w:space="0" w:color="B5DDDC"/>
        <w:left w:val="single" w:sz="4" w:space="0" w:color="B5DDDC"/>
        <w:bottom w:val="single" w:sz="4" w:space="0" w:color="auto"/>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52">
    <w:name w:val="xl152"/>
    <w:basedOn w:val="Normal"/>
    <w:rsid w:val="00993484"/>
    <w:pPr>
      <w:pBdr>
        <w:top w:val="single" w:sz="4" w:space="0" w:color="B5DDDC"/>
        <w:bottom w:val="single" w:sz="4" w:space="0" w:color="B5DDDC"/>
      </w:pBdr>
      <w:spacing w:before="100" w:beforeAutospacing="1" w:after="100" w:afterAutospacing="1" w:line="240" w:lineRule="auto"/>
      <w:jc w:val="right"/>
    </w:pPr>
    <w:rPr>
      <w:rFonts w:ascii="Times New Roman" w:hAnsi="Times New Roman"/>
      <w:sz w:val="18"/>
      <w:szCs w:val="18"/>
    </w:rPr>
  </w:style>
  <w:style w:type="paragraph" w:customStyle="1" w:styleId="xl153">
    <w:name w:val="xl153"/>
    <w:basedOn w:val="Normal"/>
    <w:rsid w:val="00993484"/>
    <w:pPr>
      <w:pBdr>
        <w:top w:val="single" w:sz="4" w:space="0" w:color="B5DDDC"/>
        <w:left w:val="single" w:sz="4" w:space="0" w:color="B5DDDC"/>
        <w:bottom w:val="single" w:sz="4" w:space="0" w:color="auto"/>
      </w:pBdr>
      <w:spacing w:before="100" w:beforeAutospacing="1" w:after="100" w:afterAutospacing="1" w:line="240" w:lineRule="auto"/>
      <w:jc w:val="right"/>
    </w:pPr>
    <w:rPr>
      <w:rFonts w:ascii="Times New Roman" w:hAnsi="Times New Roman"/>
      <w:sz w:val="18"/>
      <w:szCs w:val="18"/>
    </w:rPr>
  </w:style>
  <w:style w:type="paragraph" w:customStyle="1" w:styleId="xl154">
    <w:name w:val="xl154"/>
    <w:basedOn w:val="Normal"/>
    <w:rsid w:val="00993484"/>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jc w:val="center"/>
      <w:textAlignment w:val="center"/>
    </w:pPr>
    <w:rPr>
      <w:rFonts w:ascii="Times New Roman" w:hAnsi="Times New Roman"/>
      <w:color w:val="C00000"/>
      <w:sz w:val="18"/>
      <w:szCs w:val="18"/>
    </w:rPr>
  </w:style>
  <w:style w:type="paragraph" w:customStyle="1" w:styleId="xl155">
    <w:name w:val="xl155"/>
    <w:basedOn w:val="Normal"/>
    <w:rsid w:val="00993484"/>
    <w:pPr>
      <w:pBdr>
        <w:top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color w:val="C00000"/>
      <w:sz w:val="18"/>
      <w:szCs w:val="18"/>
    </w:rPr>
  </w:style>
  <w:style w:type="paragraph" w:customStyle="1" w:styleId="xl156">
    <w:name w:val="xl156"/>
    <w:basedOn w:val="Normal"/>
    <w:rsid w:val="00993484"/>
    <w:pPr>
      <w:pBdr>
        <w:top w:val="single" w:sz="4" w:space="0" w:color="B5DDDC"/>
        <w:bottom w:val="single" w:sz="4" w:space="0" w:color="B5DDDC"/>
      </w:pBdr>
      <w:spacing w:before="100" w:beforeAutospacing="1" w:after="100" w:afterAutospacing="1" w:line="240" w:lineRule="auto"/>
      <w:jc w:val="right"/>
    </w:pPr>
    <w:rPr>
      <w:rFonts w:ascii="Times New Roman" w:hAnsi="Times New Roman"/>
      <w:color w:val="C00000"/>
      <w:sz w:val="18"/>
      <w:szCs w:val="18"/>
    </w:rPr>
  </w:style>
  <w:style w:type="paragraph" w:customStyle="1" w:styleId="xl157">
    <w:name w:val="xl157"/>
    <w:basedOn w:val="Normal"/>
    <w:rsid w:val="00993484"/>
    <w:pPr>
      <w:pBdr>
        <w:top w:val="single" w:sz="4" w:space="0" w:color="B5DDDC"/>
        <w:bottom w:val="single" w:sz="4" w:space="0" w:color="auto"/>
      </w:pBdr>
      <w:spacing w:before="100" w:beforeAutospacing="1" w:after="100" w:afterAutospacing="1" w:line="240" w:lineRule="auto"/>
      <w:jc w:val="right"/>
    </w:pPr>
    <w:rPr>
      <w:rFonts w:ascii="Times New Roman" w:hAnsi="Times New Roman"/>
      <w:color w:val="C00000"/>
      <w:sz w:val="18"/>
      <w:szCs w:val="18"/>
    </w:rPr>
  </w:style>
  <w:style w:type="paragraph" w:customStyle="1" w:styleId="xl158">
    <w:name w:val="xl158"/>
    <w:basedOn w:val="Normal"/>
    <w:rsid w:val="00993484"/>
    <w:pPr>
      <w:spacing w:before="100" w:beforeAutospacing="1" w:after="100" w:afterAutospacing="1" w:line="240" w:lineRule="auto"/>
    </w:pPr>
    <w:rPr>
      <w:rFonts w:ascii="Times New Roman" w:hAnsi="Times New Roman"/>
      <w:color w:val="C00000"/>
      <w:sz w:val="18"/>
      <w:szCs w:val="18"/>
    </w:rPr>
  </w:style>
  <w:style w:type="paragraph" w:customStyle="1" w:styleId="xl159">
    <w:name w:val="xl159"/>
    <w:basedOn w:val="Normal"/>
    <w:rsid w:val="00993484"/>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sz w:val="18"/>
      <w:szCs w:val="18"/>
    </w:rPr>
  </w:style>
  <w:style w:type="numbering" w:customStyle="1" w:styleId="Style1">
    <w:name w:val="Style1"/>
    <w:uiPriority w:val="99"/>
    <w:rsid w:val="00FD487B"/>
    <w:pPr>
      <w:numPr>
        <w:numId w:val="6"/>
      </w:numPr>
    </w:pPr>
  </w:style>
  <w:style w:type="character" w:customStyle="1" w:styleId="ListParagraphChar">
    <w:name w:val="List Paragraph Char"/>
    <w:basedOn w:val="DefaultParagraphFont"/>
    <w:link w:val="ListParagraph"/>
    <w:uiPriority w:val="34"/>
    <w:locked/>
    <w:rsid w:val="005D5ADE"/>
    <w:rPr>
      <w:rFonts w:ascii="Arial" w:hAnsi="Arial"/>
      <w:szCs w:val="24"/>
      <w:lang w:val="en-GB" w:eastAsia="en-US"/>
    </w:rPr>
  </w:style>
  <w:style w:type="character" w:customStyle="1" w:styleId="CaptionChar">
    <w:name w:val="Caption Char"/>
    <w:aliases w:val="AWT Caption Char,Caption Char Char Char,Caption Char1 Char,Figure Char,Item Char,TABLE Char"/>
    <w:basedOn w:val="DefaultParagraphFont"/>
    <w:link w:val="Caption"/>
    <w:uiPriority w:val="35"/>
    <w:rsid w:val="00F364AE"/>
    <w:rPr>
      <w:rFonts w:ascii="Arial" w:hAnsi="Arial"/>
      <w:i/>
      <w:sz w:val="18"/>
      <w:szCs w:val="24"/>
    </w:rPr>
  </w:style>
  <w:style w:type="character" w:customStyle="1" w:styleId="mw-headline">
    <w:name w:val="mw-headline"/>
    <w:basedOn w:val="DefaultParagraphFont"/>
    <w:rsid w:val="00142C34"/>
  </w:style>
  <w:style w:type="paragraph" w:styleId="TableofFigures">
    <w:name w:val="table of figures"/>
    <w:basedOn w:val="Normal"/>
    <w:next w:val="Normal"/>
    <w:uiPriority w:val="99"/>
    <w:unhideWhenUsed/>
    <w:rsid w:val="00530770"/>
    <w:pPr>
      <w:spacing w:after="0"/>
    </w:pPr>
  </w:style>
  <w:style w:type="character" w:customStyle="1" w:styleId="UnresolvedMention1">
    <w:name w:val="Unresolved Mention1"/>
    <w:basedOn w:val="DefaultParagraphFont"/>
    <w:uiPriority w:val="99"/>
    <w:semiHidden/>
    <w:unhideWhenUsed/>
    <w:rsid w:val="00740B50"/>
    <w:rPr>
      <w:color w:val="808080"/>
      <w:shd w:val="clear" w:color="auto" w:fill="E6E6E6"/>
    </w:rPr>
  </w:style>
  <w:style w:type="table" w:customStyle="1" w:styleId="TableGrid0">
    <w:name w:val="TableGrid"/>
    <w:rsid w:val="00064BF0"/>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styleId="Bibliography">
    <w:name w:val="Bibliography"/>
    <w:basedOn w:val="Normal"/>
    <w:next w:val="Normal"/>
    <w:uiPriority w:val="37"/>
    <w:unhideWhenUsed/>
    <w:rsid w:val="00C6670B"/>
    <w:pPr>
      <w:spacing w:after="240" w:line="240" w:lineRule="auto"/>
      <w:ind w:left="720" w:hanging="720"/>
    </w:pPr>
  </w:style>
  <w:style w:type="paragraph" w:customStyle="1" w:styleId="footnote">
    <w:name w:val="footnote"/>
    <w:basedOn w:val="Normal"/>
    <w:link w:val="footnoteChar"/>
    <w:uiPriority w:val="1"/>
    <w:qFormat/>
    <w:rsid w:val="001673A4"/>
    <w:pPr>
      <w:spacing w:before="0" w:after="0" w:line="240" w:lineRule="auto"/>
    </w:pPr>
    <w:rPr>
      <w:rFonts w:eastAsia="Arial" w:cs="Arial"/>
      <w:sz w:val="14"/>
      <w:szCs w:val="16"/>
      <w:lang w:eastAsia="en-US"/>
    </w:rPr>
  </w:style>
  <w:style w:type="character" w:customStyle="1" w:styleId="footnoteChar">
    <w:name w:val="footnote Char"/>
    <w:basedOn w:val="DefaultParagraphFont"/>
    <w:link w:val="footnote"/>
    <w:uiPriority w:val="1"/>
    <w:rsid w:val="001673A4"/>
    <w:rPr>
      <w:rFonts w:ascii="Arial" w:eastAsia="Arial" w:hAnsi="Arial" w:cs="Arial"/>
      <w:sz w:val="14"/>
      <w:szCs w:val="16"/>
      <w:lang w:eastAsia="en-US"/>
    </w:rPr>
  </w:style>
  <w:style w:type="table" w:customStyle="1" w:styleId="DPS3">
    <w:name w:val="DPS3"/>
    <w:basedOn w:val="TableProfessional"/>
    <w:uiPriority w:val="99"/>
    <w:rsid w:val="001673A4"/>
    <w:pPr>
      <w:jc w:val="right"/>
    </w:pPr>
    <w:rPr>
      <w:rFonts w:ascii="Arial" w:eastAsia="Arial" w:hAnsi="Arial" w:cstheme="majorBidi"/>
      <w:color w:val="FFFFFF" w:themeColor="background1"/>
      <w:sz w:val="16"/>
      <w:lang w:val="en-US" w:eastAsia="en-US"/>
    </w:rPr>
    <w:tblPr>
      <w:tblStyleRowBandSize w:val="1"/>
      <w:tblBorders>
        <w:top w:val="single" w:sz="4" w:space="0" w:color="288C28"/>
        <w:left w:val="single" w:sz="4" w:space="0" w:color="288C28"/>
        <w:bottom w:val="single" w:sz="4" w:space="0" w:color="288C28"/>
        <w:right w:val="single" w:sz="4" w:space="0" w:color="288C28"/>
        <w:insideH w:val="single" w:sz="4" w:space="0" w:color="288C28"/>
        <w:insideV w:val="single" w:sz="4" w:space="0" w:color="288C28"/>
      </w:tblBorders>
    </w:tblPr>
    <w:tcPr>
      <w:shd w:val="clear" w:color="auto" w:fill="FFFFFF" w:themeFill="background1"/>
      <w:vAlign w:val="center"/>
    </w:tcPr>
    <w:tblStylePr w:type="firstRow">
      <w:pPr>
        <w:wordWrap/>
        <w:spacing w:line="240" w:lineRule="exact"/>
        <w:contextualSpacing w:val="0"/>
        <w:jc w:val="center"/>
      </w:pPr>
      <w:rPr>
        <w:rFonts w:ascii="Arial" w:hAnsi="Arial"/>
        <w:b w:val="0"/>
        <w:bCs/>
        <w:color w:val="auto"/>
        <w:sz w:val="16"/>
      </w:rPr>
      <w:tblPr/>
      <w:tcPr>
        <w:tcBorders>
          <w:tl2br w:val="none" w:sz="0" w:space="0" w:color="auto"/>
          <w:tr2bl w:val="none" w:sz="0" w:space="0" w:color="auto"/>
        </w:tcBorders>
        <w:shd w:val="clear" w:color="auto" w:fill="33CC33"/>
      </w:tcPr>
    </w:tblStylePr>
    <w:tblStylePr w:type="firstCol">
      <w:pPr>
        <w:jc w:val="left"/>
      </w:pPr>
    </w:tblStylePr>
    <w:tblStylePr w:type="band1Horz">
      <w:pPr>
        <w:wordWrap/>
        <w:spacing w:line="240" w:lineRule="exact"/>
      </w:pPr>
    </w:tblStylePr>
  </w:style>
  <w:style w:type="table" w:styleId="TableProfessional">
    <w:name w:val="Table Professional"/>
    <w:basedOn w:val="TableNormal"/>
    <w:semiHidden/>
    <w:unhideWhenUsed/>
    <w:rsid w:val="001673A4"/>
    <w:pPr>
      <w:spacing w:before="120" w:after="12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ghtGrid-Accent1">
    <w:name w:val="Light Grid Accent 1"/>
    <w:basedOn w:val="TableNormal"/>
    <w:rsid w:val="00406A72"/>
    <w:rPr>
      <w:sz w:val="24"/>
      <w:szCs w:val="24"/>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DefaultTableStyle1">
    <w:name w:val="Default Table Style1"/>
    <w:basedOn w:val="TableNormal"/>
    <w:rsid w:val="00D4004B"/>
    <w:pPr>
      <w:jc w:val="center"/>
    </w:pPr>
    <w:rPr>
      <w:rFonts w:ascii="Calibri" w:hAnsi="Calibri"/>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cPr>
      <w:vAlign w:val="center"/>
    </w:tcPr>
    <w:tblStylePr w:type="firstRow">
      <w:pPr>
        <w:jc w:val="center"/>
      </w:pPr>
      <w:rPr>
        <w:b/>
        <w:color w:val="008000"/>
      </w:rPr>
      <w:tblPr/>
      <w:tcPr>
        <w:shd w:val="clear" w:color="auto" w:fill="B5DDDC"/>
      </w:tcPr>
    </w:tblStylePr>
    <w:tblStylePr w:type="firstCol">
      <w:pPr>
        <w:jc w:val="left"/>
      </w:pPr>
      <w:tblPr/>
      <w:tcPr>
        <w:shd w:val="clear" w:color="auto" w:fill="D6EAEB"/>
      </w:tcPr>
    </w:tblStylePr>
  </w:style>
  <w:style w:type="character" w:styleId="PlaceholderText">
    <w:name w:val="Placeholder Text"/>
    <w:basedOn w:val="DefaultParagraphFont"/>
    <w:uiPriority w:val="99"/>
    <w:semiHidden/>
    <w:rsid w:val="00C44B7B"/>
    <w:rPr>
      <w:color w:val="808080"/>
    </w:rPr>
  </w:style>
  <w:style w:type="paragraph" w:styleId="Quote">
    <w:name w:val="Quote"/>
    <w:basedOn w:val="Normal"/>
    <w:next w:val="Normal"/>
    <w:link w:val="QuoteChar"/>
    <w:uiPriority w:val="29"/>
    <w:qFormat/>
    <w:rsid w:val="006D56F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D56F4"/>
    <w:rPr>
      <w:rFonts w:ascii="Arial" w:hAnsi="Arial"/>
      <w:i/>
      <w:iCs/>
      <w:color w:val="404040" w:themeColor="text1" w:themeTint="BF"/>
      <w:szCs w:val="24"/>
    </w:rPr>
  </w:style>
  <w:style w:type="character" w:customStyle="1" w:styleId="lrzxr">
    <w:name w:val="lrzxr"/>
    <w:basedOn w:val="DefaultParagraphFont"/>
    <w:rsid w:val="00B17865"/>
  </w:style>
  <w:style w:type="paragraph" w:customStyle="1" w:styleId="Dannormal">
    <w:name w:val="Dan normal"/>
    <w:rsid w:val="00D4145D"/>
    <w:pPr>
      <w:spacing w:after="200" w:line="360" w:lineRule="auto"/>
    </w:pPr>
    <w:rPr>
      <w:rFonts w:ascii="Arial" w:hAnsi="Arial"/>
      <w:lang w:eastAsia="en-US"/>
    </w:rPr>
  </w:style>
  <w:style w:type="paragraph" w:customStyle="1" w:styleId="msonormal0">
    <w:name w:val="msonormal"/>
    <w:basedOn w:val="Normal"/>
    <w:rsid w:val="005C4FD1"/>
    <w:pPr>
      <w:spacing w:before="100" w:beforeAutospacing="1" w:after="100" w:afterAutospacing="1" w:line="240" w:lineRule="auto"/>
    </w:pPr>
    <w:rPr>
      <w:rFonts w:ascii="Times New Roman" w:hAnsi="Times New Roman"/>
      <w:sz w:val="24"/>
    </w:rPr>
  </w:style>
  <w:style w:type="paragraph" w:customStyle="1" w:styleId="SEWTitle">
    <w:name w:val="SEW Title"/>
    <w:next w:val="Normal"/>
    <w:link w:val="SEWTitleChar"/>
    <w:rsid w:val="00773D5C"/>
    <w:pPr>
      <w:keepNext/>
      <w:pageBreakBefore/>
      <w:spacing w:after="240"/>
    </w:pPr>
    <w:rPr>
      <w:rFonts w:ascii="Calibri" w:eastAsia="MS Gothic" w:hAnsi="Calibri" w:cs="Arial"/>
      <w:b/>
      <w:bCs/>
      <w:noProof/>
      <w:color w:val="0098DB"/>
      <w:kern w:val="32"/>
      <w:sz w:val="44"/>
      <w:szCs w:val="44"/>
      <w:lang w:val="en-US" w:eastAsia="ja-JP"/>
    </w:rPr>
  </w:style>
  <w:style w:type="paragraph" w:customStyle="1" w:styleId="SEWSubTitle1">
    <w:name w:val="SEW Sub Title 1"/>
    <w:next w:val="Normal"/>
    <w:rsid w:val="00773D5C"/>
    <w:pPr>
      <w:spacing w:after="630"/>
    </w:pPr>
    <w:rPr>
      <w:rFonts w:ascii="Calibri" w:eastAsia="MS Mincho" w:hAnsi="Calibri"/>
      <w:color w:val="0082BB"/>
      <w:sz w:val="44"/>
      <w:szCs w:val="24"/>
      <w:lang w:val="en-US" w:eastAsia="ja-JP"/>
    </w:rPr>
  </w:style>
  <w:style w:type="character" w:customStyle="1" w:styleId="SEWTitleChar">
    <w:name w:val="SEW Title Char"/>
    <w:basedOn w:val="Heading1Char"/>
    <w:link w:val="SEWTitle"/>
    <w:rsid w:val="00773D5C"/>
    <w:rPr>
      <w:rFonts w:ascii="Calibri" w:eastAsia="MS Gothic" w:hAnsi="Calibri" w:cs="Arial"/>
      <w:b/>
      <w:bCs/>
      <w:noProof/>
      <w:color w:val="0098DB"/>
      <w:kern w:val="32"/>
      <w:sz w:val="44"/>
      <w:szCs w:val="44"/>
      <w:lang w:val="en-US" w:eastAsia="ja-JP"/>
    </w:rPr>
  </w:style>
  <w:style w:type="paragraph" w:customStyle="1" w:styleId="SEWSubTitle2">
    <w:name w:val="SEW Sub Title 2"/>
    <w:rsid w:val="00773D5C"/>
    <w:pPr>
      <w:spacing w:after="240"/>
    </w:pPr>
    <w:rPr>
      <w:rFonts w:ascii="Calibri" w:eastAsia="MS Mincho" w:hAnsi="Calibri"/>
      <w:b/>
      <w:color w:val="0082BB"/>
      <w:sz w:val="28"/>
      <w:szCs w:val="24"/>
      <w:lang w:eastAsia="ja-JP"/>
    </w:rPr>
  </w:style>
  <w:style w:type="paragraph" w:customStyle="1" w:styleId="xl160">
    <w:name w:val="xl160"/>
    <w:basedOn w:val="Normal"/>
    <w:rsid w:val="00BC1F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61">
    <w:name w:val="xl161"/>
    <w:basedOn w:val="Normal"/>
    <w:rsid w:val="00BC1FA1"/>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62">
    <w:name w:val="xl162"/>
    <w:basedOn w:val="Normal"/>
    <w:rsid w:val="00BC1F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63">
    <w:name w:val="xl163"/>
    <w:basedOn w:val="Normal"/>
    <w:rsid w:val="00BC1FA1"/>
    <w:pPr>
      <w:shd w:val="clear" w:color="000000" w:fill="F4B084"/>
      <w:spacing w:before="100" w:beforeAutospacing="1" w:after="100" w:afterAutospacing="1" w:line="240" w:lineRule="auto"/>
    </w:pPr>
    <w:rPr>
      <w:rFonts w:ascii="Times New Roman" w:hAnsi="Times New Roman"/>
      <w:sz w:val="24"/>
    </w:rPr>
  </w:style>
  <w:style w:type="paragraph" w:customStyle="1" w:styleId="xl164">
    <w:name w:val="xl164"/>
    <w:basedOn w:val="Normal"/>
    <w:rsid w:val="00BC1F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right"/>
    </w:pPr>
    <w:rPr>
      <w:rFonts w:ascii="Times New Roman" w:hAnsi="Times New Roman"/>
      <w:sz w:val="24"/>
    </w:rPr>
  </w:style>
  <w:style w:type="paragraph" w:customStyle="1" w:styleId="xl165">
    <w:name w:val="xl165"/>
    <w:basedOn w:val="Normal"/>
    <w:rsid w:val="00BC1FA1"/>
    <w:pPr>
      <w:pBdr>
        <w:top w:val="single" w:sz="4" w:space="0" w:color="auto"/>
        <w:left w:val="single" w:sz="8" w:space="0" w:color="auto"/>
        <w:bottom w:val="single" w:sz="8" w:space="0" w:color="auto"/>
        <w:right w:val="single" w:sz="4"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66">
    <w:name w:val="xl166"/>
    <w:basedOn w:val="Normal"/>
    <w:rsid w:val="00BC1FA1"/>
    <w:pPr>
      <w:pBdr>
        <w:top w:val="single" w:sz="4" w:space="0" w:color="auto"/>
        <w:bottom w:val="single" w:sz="8" w:space="0" w:color="auto"/>
        <w:right w:val="single" w:sz="4"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67">
    <w:name w:val="xl167"/>
    <w:basedOn w:val="Normal"/>
    <w:rsid w:val="00BC1FA1"/>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pPr>
    <w:rPr>
      <w:rFonts w:ascii="Times New Roman" w:hAnsi="Times New Roman"/>
      <w:sz w:val="24"/>
    </w:rPr>
  </w:style>
  <w:style w:type="paragraph" w:customStyle="1" w:styleId="xl168">
    <w:name w:val="xl168"/>
    <w:basedOn w:val="Normal"/>
    <w:rsid w:val="00BC1FA1"/>
    <w:pPr>
      <w:pBdr>
        <w:top w:val="single" w:sz="4" w:space="0" w:color="auto"/>
        <w:left w:val="single" w:sz="4" w:space="0" w:color="auto"/>
        <w:bottom w:val="single" w:sz="8" w:space="0" w:color="auto"/>
        <w:right w:val="single" w:sz="8"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69">
    <w:name w:val="xl169"/>
    <w:basedOn w:val="Normal"/>
    <w:rsid w:val="00BC1FA1"/>
    <w:pPr>
      <w:pBdr>
        <w:top w:val="single" w:sz="4" w:space="0" w:color="auto"/>
        <w:left w:val="single" w:sz="4" w:space="0" w:color="auto"/>
        <w:bottom w:val="single" w:sz="8" w:space="0" w:color="auto"/>
        <w:right w:val="single" w:sz="4"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70">
    <w:name w:val="xl170"/>
    <w:basedOn w:val="Normal"/>
    <w:rsid w:val="00BC1FA1"/>
    <w:pPr>
      <w:pBdr>
        <w:top w:val="single" w:sz="4" w:space="0" w:color="auto"/>
        <w:left w:val="single" w:sz="8" w:space="0" w:color="auto"/>
        <w:bottom w:val="single" w:sz="8" w:space="0" w:color="auto"/>
        <w:right w:val="single" w:sz="4"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1">
    <w:name w:val="xl171"/>
    <w:basedOn w:val="Normal"/>
    <w:rsid w:val="00BC1FA1"/>
    <w:pPr>
      <w:pBdr>
        <w:top w:val="single" w:sz="4" w:space="0" w:color="auto"/>
        <w:bottom w:val="single" w:sz="8" w:space="0" w:color="auto"/>
        <w:right w:val="single" w:sz="4"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2">
    <w:name w:val="xl172"/>
    <w:basedOn w:val="Normal"/>
    <w:rsid w:val="00BC1FA1"/>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jc w:val="right"/>
    </w:pPr>
    <w:rPr>
      <w:rFonts w:ascii="Times New Roman" w:hAnsi="Times New Roman"/>
      <w:sz w:val="24"/>
    </w:rPr>
  </w:style>
  <w:style w:type="paragraph" w:customStyle="1" w:styleId="xl173">
    <w:name w:val="xl173"/>
    <w:basedOn w:val="Normal"/>
    <w:rsid w:val="00BC1FA1"/>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4">
    <w:name w:val="xl174"/>
    <w:basedOn w:val="Normal"/>
    <w:rsid w:val="00BC1FA1"/>
    <w:pPr>
      <w:pBdr>
        <w:top w:val="single" w:sz="4" w:space="0" w:color="auto"/>
        <w:left w:val="single" w:sz="4" w:space="0" w:color="auto"/>
        <w:bottom w:val="single" w:sz="8"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5">
    <w:name w:val="xl175"/>
    <w:basedOn w:val="Normal"/>
    <w:rsid w:val="00BC1FA1"/>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pPr>
    <w:rPr>
      <w:rFonts w:ascii="Times New Roman" w:hAnsi="Times New Roman"/>
      <w:sz w:val="24"/>
    </w:rPr>
  </w:style>
  <w:style w:type="paragraph" w:customStyle="1" w:styleId="xl176">
    <w:name w:val="xl176"/>
    <w:basedOn w:val="Normal"/>
    <w:rsid w:val="00BC1FA1"/>
    <w:pPr>
      <w:pBdr>
        <w:top w:val="single" w:sz="4" w:space="0" w:color="auto"/>
        <w:left w:val="single" w:sz="4" w:space="0" w:color="auto"/>
        <w:bottom w:val="single" w:sz="8" w:space="0" w:color="auto"/>
        <w:right w:val="single" w:sz="8"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7">
    <w:name w:val="xl177"/>
    <w:basedOn w:val="Normal"/>
    <w:rsid w:val="00BC1FA1"/>
    <w:pPr>
      <w:pBdr>
        <w:top w:val="single" w:sz="4" w:space="0" w:color="auto"/>
        <w:left w:val="single" w:sz="8" w:space="0" w:color="auto"/>
        <w:bottom w:val="single" w:sz="8" w:space="0" w:color="auto"/>
        <w:right w:val="single" w:sz="4" w:space="0" w:color="auto"/>
      </w:pBdr>
      <w:shd w:val="clear" w:color="000000" w:fill="00B0F0"/>
      <w:spacing w:before="100" w:beforeAutospacing="1" w:after="100" w:afterAutospacing="1" w:line="240" w:lineRule="auto"/>
      <w:jc w:val="right"/>
    </w:pPr>
    <w:rPr>
      <w:rFonts w:ascii="Times New Roman" w:hAnsi="Times New Roman"/>
      <w:sz w:val="24"/>
    </w:rPr>
  </w:style>
  <w:style w:type="paragraph" w:customStyle="1" w:styleId="xl178">
    <w:name w:val="xl178"/>
    <w:basedOn w:val="Normal"/>
    <w:rsid w:val="00BC1FA1"/>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pPr>
    <w:rPr>
      <w:rFonts w:ascii="Times New Roman" w:hAnsi="Times New Roman"/>
      <w:sz w:val="24"/>
    </w:rPr>
  </w:style>
  <w:style w:type="paragraph" w:customStyle="1" w:styleId="xl179">
    <w:name w:val="xl179"/>
    <w:basedOn w:val="Normal"/>
    <w:rsid w:val="00BC1FA1"/>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80">
    <w:name w:val="xl180"/>
    <w:basedOn w:val="Normal"/>
    <w:rsid w:val="00BC1FA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Times New Roman" w:hAnsi="Times New Roman"/>
      <w:sz w:val="24"/>
    </w:rPr>
  </w:style>
  <w:style w:type="paragraph" w:customStyle="1" w:styleId="xl181">
    <w:name w:val="xl181"/>
    <w:basedOn w:val="Normal"/>
    <w:rsid w:val="00BC1FA1"/>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sz w:val="24"/>
    </w:rPr>
  </w:style>
  <w:style w:type="paragraph" w:customStyle="1" w:styleId="xl182">
    <w:name w:val="xl182"/>
    <w:basedOn w:val="Normal"/>
    <w:rsid w:val="00BC1FA1"/>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sz w:val="24"/>
    </w:rPr>
  </w:style>
  <w:style w:type="paragraph" w:customStyle="1" w:styleId="xl183">
    <w:name w:val="xl183"/>
    <w:basedOn w:val="Normal"/>
    <w:rsid w:val="00BC1FA1"/>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sz w:val="24"/>
    </w:rPr>
  </w:style>
  <w:style w:type="paragraph" w:customStyle="1" w:styleId="xl184">
    <w:name w:val="xl184"/>
    <w:basedOn w:val="Normal"/>
    <w:rsid w:val="00BC1F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85">
    <w:name w:val="xl185"/>
    <w:basedOn w:val="Normal"/>
    <w:rsid w:val="00BC1FA1"/>
    <w:pPr>
      <w:pBdr>
        <w:top w:val="single" w:sz="8" w:space="0" w:color="auto"/>
        <w:left w:val="single" w:sz="8" w:space="0" w:color="auto"/>
        <w:bottom w:val="single" w:sz="4" w:space="0" w:color="auto"/>
      </w:pBdr>
      <w:shd w:val="clear" w:color="000000" w:fill="DDEBF7"/>
      <w:spacing w:before="100" w:beforeAutospacing="1" w:after="100" w:afterAutospacing="1" w:line="240" w:lineRule="auto"/>
      <w:jc w:val="center"/>
    </w:pPr>
    <w:rPr>
      <w:rFonts w:ascii="Times New Roman" w:hAnsi="Times New Roman"/>
      <w:sz w:val="24"/>
    </w:rPr>
  </w:style>
  <w:style w:type="paragraph" w:customStyle="1" w:styleId="xl186">
    <w:name w:val="xl186"/>
    <w:basedOn w:val="Normal"/>
    <w:rsid w:val="00BC1FA1"/>
    <w:pPr>
      <w:pBdr>
        <w:top w:val="single" w:sz="8" w:space="0" w:color="auto"/>
        <w:bottom w:val="single" w:sz="4" w:space="0" w:color="auto"/>
      </w:pBdr>
      <w:shd w:val="clear" w:color="000000" w:fill="DDEBF7"/>
      <w:spacing w:before="100" w:beforeAutospacing="1" w:after="100" w:afterAutospacing="1" w:line="240" w:lineRule="auto"/>
      <w:jc w:val="center"/>
    </w:pPr>
    <w:rPr>
      <w:rFonts w:ascii="Times New Roman" w:hAnsi="Times New Roman"/>
      <w:sz w:val="24"/>
    </w:rPr>
  </w:style>
  <w:style w:type="paragraph" w:customStyle="1" w:styleId="xl187">
    <w:name w:val="xl187"/>
    <w:basedOn w:val="Normal"/>
    <w:rsid w:val="00BC1FA1"/>
    <w:pPr>
      <w:pBdr>
        <w:top w:val="single" w:sz="8" w:space="0" w:color="auto"/>
        <w:bottom w:val="single" w:sz="4" w:space="0" w:color="auto"/>
        <w:right w:val="single" w:sz="8" w:space="0" w:color="auto"/>
      </w:pBdr>
      <w:shd w:val="clear" w:color="000000" w:fill="DDEBF7"/>
      <w:spacing w:before="100" w:beforeAutospacing="1" w:after="100" w:afterAutospacing="1" w:line="240" w:lineRule="auto"/>
      <w:jc w:val="center"/>
    </w:pPr>
    <w:rPr>
      <w:rFonts w:ascii="Times New Roman" w:hAnsi="Times New Roman"/>
      <w:sz w:val="24"/>
    </w:rPr>
  </w:style>
  <w:style w:type="paragraph" w:customStyle="1" w:styleId="xl188">
    <w:name w:val="xl188"/>
    <w:basedOn w:val="Normal"/>
    <w:rsid w:val="00BC1FA1"/>
    <w:pPr>
      <w:pBdr>
        <w:top w:val="single" w:sz="8"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89">
    <w:name w:val="xl189"/>
    <w:basedOn w:val="Normal"/>
    <w:rsid w:val="00BC1FA1"/>
    <w:pPr>
      <w:pBdr>
        <w:top w:val="single" w:sz="8"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0">
    <w:name w:val="xl190"/>
    <w:basedOn w:val="Normal"/>
    <w:rsid w:val="00BC1FA1"/>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1">
    <w:name w:val="xl191"/>
    <w:basedOn w:val="Normal"/>
    <w:rsid w:val="00BC1FA1"/>
    <w:pPr>
      <w:pBdr>
        <w:top w:val="single" w:sz="8" w:space="0" w:color="auto"/>
        <w:left w:val="single" w:sz="4" w:space="0" w:color="auto"/>
        <w:bottom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2">
    <w:name w:val="xl192"/>
    <w:basedOn w:val="Normal"/>
    <w:rsid w:val="00BC1FA1"/>
    <w:pPr>
      <w:pBdr>
        <w:top w:val="single" w:sz="8"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3">
    <w:name w:val="xl193"/>
    <w:basedOn w:val="Normal"/>
    <w:rsid w:val="00BC1FA1"/>
    <w:pPr>
      <w:pBdr>
        <w:top w:val="single" w:sz="8" w:space="0" w:color="auto"/>
        <w:left w:val="single" w:sz="8"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4">
    <w:name w:val="xl194"/>
    <w:basedOn w:val="Normal"/>
    <w:rsid w:val="00BC1FA1"/>
    <w:pPr>
      <w:pBdr>
        <w:top w:val="single" w:sz="8"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5">
    <w:name w:val="xl195"/>
    <w:basedOn w:val="Normal"/>
    <w:rsid w:val="00BC1FA1"/>
    <w:pPr>
      <w:pBdr>
        <w:top w:val="single" w:sz="8"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6">
    <w:name w:val="xl196"/>
    <w:basedOn w:val="Normal"/>
    <w:rsid w:val="00BC1FA1"/>
    <w:pPr>
      <w:pBdr>
        <w:top w:val="single" w:sz="8" w:space="0" w:color="auto"/>
        <w:left w:val="single" w:sz="4" w:space="0" w:color="auto"/>
        <w:bottom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7">
    <w:name w:val="xl197"/>
    <w:basedOn w:val="Normal"/>
    <w:rsid w:val="00BC1FA1"/>
    <w:pPr>
      <w:pBdr>
        <w:top w:val="single" w:sz="8" w:space="0" w:color="auto"/>
        <w:left w:val="single" w:sz="4" w:space="0" w:color="auto"/>
        <w:bottom w:val="single" w:sz="4" w:space="0" w:color="auto"/>
        <w:right w:val="single" w:sz="8"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8">
    <w:name w:val="xl198"/>
    <w:basedOn w:val="Normal"/>
    <w:rsid w:val="00BC1FA1"/>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199">
    <w:name w:val="xl199"/>
    <w:basedOn w:val="Normal"/>
    <w:rsid w:val="00BC1FA1"/>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200">
    <w:name w:val="xl200"/>
    <w:basedOn w:val="Normal"/>
    <w:rsid w:val="00BC1FA1"/>
    <w:pPr>
      <w:pBdr>
        <w:lef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201">
    <w:name w:val="xl201"/>
    <w:basedOn w:val="Normal"/>
    <w:rsid w:val="00BC1FA1"/>
    <w:pPr>
      <w:pBdr>
        <w:righ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202">
    <w:name w:val="xl202"/>
    <w:basedOn w:val="Normal"/>
    <w:rsid w:val="00BC1FA1"/>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color w:val="FF0000"/>
      <w:sz w:val="24"/>
    </w:rPr>
  </w:style>
  <w:style w:type="paragraph" w:customStyle="1" w:styleId="xl203">
    <w:name w:val="xl203"/>
    <w:basedOn w:val="Normal"/>
    <w:rsid w:val="00BC1FA1"/>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color w:val="FF0000"/>
      <w:sz w:val="24"/>
    </w:rPr>
  </w:style>
  <w:style w:type="paragraph" w:customStyle="1" w:styleId="xl204">
    <w:name w:val="xl204"/>
    <w:basedOn w:val="Normal"/>
    <w:rsid w:val="00BC1FA1"/>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color w:val="FF0000"/>
      <w:sz w:val="24"/>
    </w:rPr>
  </w:style>
  <w:style w:type="paragraph" w:styleId="BodyText">
    <w:name w:val="Body Text"/>
    <w:basedOn w:val="Normal"/>
    <w:link w:val="BodyTextChar"/>
    <w:semiHidden/>
    <w:unhideWhenUsed/>
    <w:rsid w:val="006C082C"/>
  </w:style>
  <w:style w:type="character" w:customStyle="1" w:styleId="BodyTextChar">
    <w:name w:val="Body Text Char"/>
    <w:basedOn w:val="DefaultParagraphFont"/>
    <w:link w:val="BodyText"/>
    <w:semiHidden/>
    <w:rsid w:val="006C082C"/>
    <w:rPr>
      <w:rFonts w:ascii="Arial" w:hAnsi="Arial"/>
      <w:szCs w:val="24"/>
    </w:rPr>
  </w:style>
  <w:style w:type="paragraph" w:customStyle="1" w:styleId="TableParagraph">
    <w:name w:val="Table Paragraph"/>
    <w:basedOn w:val="Normal"/>
    <w:uiPriority w:val="1"/>
    <w:qFormat/>
    <w:rsid w:val="006C082C"/>
    <w:pPr>
      <w:widowControl w:val="0"/>
      <w:autoSpaceDE w:val="0"/>
      <w:autoSpaceDN w:val="0"/>
      <w:spacing w:before="13" w:after="0" w:line="240" w:lineRule="auto"/>
      <w:ind w:left="107"/>
    </w:pPr>
    <w:rPr>
      <w:rFonts w:eastAsia="Arial" w:cs="Arial"/>
      <w:sz w:val="22"/>
      <w:szCs w:val="22"/>
      <w:lang w:bidi="en-AU"/>
    </w:rPr>
  </w:style>
  <w:style w:type="character" w:customStyle="1" w:styleId="UnresolvedMention2">
    <w:name w:val="Unresolved Mention2"/>
    <w:basedOn w:val="DefaultParagraphFont"/>
    <w:uiPriority w:val="99"/>
    <w:semiHidden/>
    <w:unhideWhenUsed/>
    <w:rsid w:val="00FC3137"/>
    <w:rPr>
      <w:color w:val="605E5C"/>
      <w:shd w:val="clear" w:color="auto" w:fill="E1DFDD"/>
    </w:rPr>
  </w:style>
  <w:style w:type="character" w:customStyle="1" w:styleId="A1">
    <w:name w:val="A1"/>
    <w:uiPriority w:val="99"/>
    <w:rsid w:val="00927B63"/>
    <w:rPr>
      <w:color w:val="000000"/>
    </w:rPr>
  </w:style>
  <w:style w:type="character" w:customStyle="1" w:styleId="UnresolvedMention3">
    <w:name w:val="Unresolved Mention3"/>
    <w:basedOn w:val="DefaultParagraphFont"/>
    <w:uiPriority w:val="99"/>
    <w:semiHidden/>
    <w:unhideWhenUsed/>
    <w:rsid w:val="003F1802"/>
    <w:rPr>
      <w:color w:val="605E5C"/>
      <w:shd w:val="clear" w:color="auto" w:fill="E1DFDD"/>
    </w:rPr>
  </w:style>
  <w:style w:type="character" w:customStyle="1" w:styleId="UnresolvedMention4">
    <w:name w:val="Unresolved Mention4"/>
    <w:basedOn w:val="DefaultParagraphFont"/>
    <w:uiPriority w:val="99"/>
    <w:semiHidden/>
    <w:unhideWhenUsed/>
    <w:rsid w:val="00394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11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3.png"/><Relationship Id="rId26" Type="http://schemas.openxmlformats.org/officeDocument/2006/relationships/header" Target="header4.xml"/><Relationship Id="rId39" Type="http://schemas.openxmlformats.org/officeDocument/2006/relationships/header" Target="header14.xml"/><Relationship Id="rId21" Type="http://schemas.openxmlformats.org/officeDocument/2006/relationships/header" Target="header1.xml"/><Relationship Id="rId34" Type="http://schemas.openxmlformats.org/officeDocument/2006/relationships/header" Target="header9.xml"/><Relationship Id="rId42" Type="http://schemas.openxmlformats.org/officeDocument/2006/relationships/header" Target="header17.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agreetrust.org/agree-ii/" TargetMode="External"/><Relationship Id="rId20" Type="http://schemas.openxmlformats.org/officeDocument/2006/relationships/image" Target="media/image5.png"/><Relationship Id="rId29" Type="http://schemas.openxmlformats.org/officeDocument/2006/relationships/footer" Target="footer4.xml"/><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header" Target="header12.xml"/><Relationship Id="rId40" Type="http://schemas.openxmlformats.org/officeDocument/2006/relationships/header" Target="header15.xml"/><Relationship Id="rId5" Type="http://schemas.openxmlformats.org/officeDocument/2006/relationships/customXml" Target="../customXml/item5.xml"/><Relationship Id="rId15" Type="http://schemas.openxmlformats.org/officeDocument/2006/relationships/hyperlink" Target="http://www.ecosec.com.au" TargetMode="External"/><Relationship Id="rId23" Type="http://schemas.openxmlformats.org/officeDocument/2006/relationships/header" Target="header2.xml"/><Relationship Id="rId28" Type="http://schemas.openxmlformats.org/officeDocument/2006/relationships/header" Target="header5.xml"/><Relationship Id="rId36" Type="http://schemas.openxmlformats.org/officeDocument/2006/relationships/header" Target="header11.xm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footer" Target="footer5.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cos@ecosec.com.au" TargetMode="External"/><Relationship Id="rId22" Type="http://schemas.openxmlformats.org/officeDocument/2006/relationships/footer" Target="footer1.xml"/><Relationship Id="rId27" Type="http://schemas.openxmlformats.org/officeDocument/2006/relationships/footer" Target="footer3.xml"/><Relationship Id="rId30" Type="http://schemas.openxmlformats.org/officeDocument/2006/relationships/header" Target="header6.xml"/><Relationship Id="rId35" Type="http://schemas.openxmlformats.org/officeDocument/2006/relationships/header" Target="header10.xm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agreetrust.org/agree-ii/" TargetMode="External"/><Relationship Id="rId25" Type="http://schemas.openxmlformats.org/officeDocument/2006/relationships/footer" Target="footer2.xml"/><Relationship Id="rId33" Type="http://schemas.openxmlformats.org/officeDocument/2006/relationships/header" Target="header8.xml"/><Relationship Id="rId38" Type="http://schemas.openxmlformats.org/officeDocument/2006/relationships/header" Target="header13.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10.xml.rels><?xml version="1.0" encoding="UTF-8" standalone="yes"?>
<Relationships xmlns="http://schemas.openxmlformats.org/package/2006/relationships"><Relationship Id="rId1" Type="http://schemas.openxmlformats.org/officeDocument/2006/relationships/image" Target="media/image6.jpeg"/></Relationships>
</file>

<file path=word/_rels/header12.xml.rels><?xml version="1.0" encoding="UTF-8" standalone="yes"?>
<Relationships xmlns="http://schemas.openxmlformats.org/package/2006/relationships"><Relationship Id="rId1" Type="http://schemas.openxmlformats.org/officeDocument/2006/relationships/image" Target="media/image6.jpeg"/></Relationships>
</file>

<file path=word/_rels/header13.xml.rels><?xml version="1.0" encoding="UTF-8" standalone="yes"?>
<Relationships xmlns="http://schemas.openxmlformats.org/package/2006/relationships"><Relationship Id="rId1" Type="http://schemas.openxmlformats.org/officeDocument/2006/relationships/image" Target="media/image6.jpeg"/></Relationships>
</file>

<file path=word/_rels/header14.xml.rels><?xml version="1.0" encoding="UTF-8" standalone="yes"?>
<Relationships xmlns="http://schemas.openxmlformats.org/package/2006/relationships"><Relationship Id="rId1" Type="http://schemas.openxmlformats.org/officeDocument/2006/relationships/image" Target="media/image6.jpeg"/></Relationships>
</file>

<file path=word/_rels/header16.xml.rels><?xml version="1.0" encoding="UTF-8" standalone="yes"?>
<Relationships xmlns="http://schemas.openxmlformats.org/package/2006/relationships"><Relationship Id="rId1" Type="http://schemas.openxmlformats.org/officeDocument/2006/relationships/image" Target="media/image6.jpeg"/></Relationships>
</file>

<file path=word/_rels/header17.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_rels/header8.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F:\Ecos%20Quality%20Management%20System\QMS%20Forms\F25%20-%20Ecos_small_repor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994564-c68c-4417-8c9c-13eb9ecde3d6">
      <Terms xmlns="http://schemas.microsoft.com/office/infopath/2007/PartnerControls"/>
    </lcf76f155ced4ddcb4097134ff3c332f>
    <TaxCatchAll xmlns="ef8499da-f70f-48c9-a6de-e578977a26c0" xsi:nil="true"/>
    <_dlc_DocId xmlns="ef8499da-f70f-48c9-a6de-e578977a26c0">RESTRANS-1864802524-202706</_dlc_DocId>
    <_dlc_DocIdUrl xmlns="ef8499da-f70f-48c9-a6de-e578977a26c0">
      <Url>https://nhmrc.sharepoint.com/sites/restrans/_layouts/15/DocIdRedir.aspx?ID=RESTRANS-1864802524-202706</Url>
      <Description>RESTRANS-1864802524-202706</Description>
    </_dlc_DocIdUrl>
    <person xmlns="f4994564-c68c-4417-8c9c-13eb9ecde3d6">
      <UserInfo>
        <DisplayName/>
        <AccountId xsi:nil="true"/>
        <AccountType/>
      </UserInfo>
    </person>
    <_ip_UnifiedCompliancePolicyUIAction xmlns="http://schemas.microsoft.com/sharepoint/v3" xsi:nil="true"/>
    <Comments xmlns="f4994564-c68c-4417-8c9c-13eb9ecde3d6" xsi:nil="true"/>
    <_ip_UnifiedCompliancePolicyProperties xmlns="http://schemas.microsoft.com/sharepoint/v3" xsi:nil="true"/>
    <Status xmlns="f4994564-c68c-4417-8c9c-13eb9ecde3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3" ma:contentTypeDescription="Create a new document." ma:contentTypeScope="" ma:versionID="b9e7766e9963014f8442b086c04e1683">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1bc9670c29d119932263ef1494a69450"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80D8F-4A60-49FA-9115-970B5F337054}">
  <ds:schemaRefs>
    <ds:schemaRef ds:uri="http://schemas.microsoft.com/office/2006/metadata/properties"/>
    <ds:schemaRef ds:uri="http://schemas.microsoft.com/office/infopath/2007/PartnerControls"/>
    <ds:schemaRef ds:uri="f4994564-c68c-4417-8c9c-13eb9ecde3d6"/>
    <ds:schemaRef ds:uri="ef8499da-f70f-48c9-a6de-e578977a26c0"/>
    <ds:schemaRef ds:uri="http://schemas.microsoft.com/sharepoint/v3"/>
  </ds:schemaRefs>
</ds:datastoreItem>
</file>

<file path=customXml/itemProps2.xml><?xml version="1.0" encoding="utf-8"?>
<ds:datastoreItem xmlns:ds="http://schemas.openxmlformats.org/officeDocument/2006/customXml" ds:itemID="{331BB505-C161-4298-B7D3-4629738805A0}">
  <ds:schemaRefs>
    <ds:schemaRef ds:uri="http://schemas.microsoft.com/sharepoint/v3/contenttype/forms"/>
  </ds:schemaRefs>
</ds:datastoreItem>
</file>

<file path=customXml/itemProps3.xml><?xml version="1.0" encoding="utf-8"?>
<ds:datastoreItem xmlns:ds="http://schemas.openxmlformats.org/officeDocument/2006/customXml" ds:itemID="{2EFCA609-AEB2-49E0-A07B-5DBA5327A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15AE51-ECAD-42B6-B454-CFA9B19FBB52}">
  <ds:schemaRefs>
    <ds:schemaRef ds:uri="http://schemas.microsoft.com/sharepoint/events"/>
  </ds:schemaRefs>
</ds:datastoreItem>
</file>

<file path=customXml/itemProps5.xml><?xml version="1.0" encoding="utf-8"?>
<ds:datastoreItem xmlns:ds="http://schemas.openxmlformats.org/officeDocument/2006/customXml" ds:itemID="{89F159C1-78CF-4FA0-82BD-B5826412A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F25 - Ecos_small_report_template.dot</Template>
  <TotalTime>1</TotalTime>
  <Pages>3</Pages>
  <Words>77826</Words>
  <Characters>446727</Characters>
  <DocSecurity>2</DocSecurity>
  <Lines>16545</Lines>
  <Paragraphs>8326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2018-11-20T05:43:00Z</cp:lastPrinted>
  <dcterms:created xsi:type="dcterms:W3CDTF">2022-06-24T02:04:00Z</dcterms:created>
  <dcterms:modified xsi:type="dcterms:W3CDTF">2026-01-14T04:14:00Z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0x01010018030A58EFCB05439C4C109195641468</vt:lpwstr>
  </property>
  <property fmtid="{D5CDD505-2E9C-101B-9397-08002B2CF9AE}" pid="3" name="LINKTEK-CHUNK-1">
    <vt:lpwstr>010021{"F":2,"I":"FFB5-7D47-1A97-D99D"}</vt:lpwstr>
  </property>
  <property fmtid="{D5CDD505-2E9C-101B-9397-08002B2CF9AE}" pid="4" name="ZOTERO_PREF_1">
    <vt:lpwstr>&lt;data data-version="3" zotero-version="5.0.96.3"&gt;&lt;session id="z3ACsWGN"/&gt;&lt;style id="http://www.zotero.org/styles/water-science-and-technology" hasBibliography="1" bibliographyStyleHasBeenSet="1"/&gt;&lt;prefs&gt;&lt;pref name="fieldType" value="Field"/&gt;&lt;/prefs&gt;&lt;/data</vt:lpwstr>
  </property>
  <property fmtid="{D5CDD505-2E9C-101B-9397-08002B2CF9AE}" pid="5" name="ZOTERO_PREF_2">
    <vt:lpwstr>&gt;</vt:lpwstr>
  </property>
  <property fmtid="{D5CDD505-2E9C-101B-9397-08002B2CF9AE}" pid="6" name="_dlc_DocIdItemGuid">
    <vt:lpwstr>e1ccecb5-2a3c-4006-8400-22f3296394a3</vt:lpwstr>
  </property>
  <property fmtid="{D5CDD505-2E9C-101B-9397-08002B2CF9AE}" pid="7" name="MSIP_Label_9a5e7792-7543-4db2-bcc9-9caeff0b8eb1_Enabled">
    <vt:lpwstr>true</vt:lpwstr>
  </property>
  <property fmtid="{D5CDD505-2E9C-101B-9397-08002B2CF9AE}" pid="8" name="MSIP_Label_9a5e7792-7543-4db2-bcc9-9caeff0b8eb1_SetDate">
    <vt:lpwstr>2023-08-03T00:55:41Z</vt:lpwstr>
  </property>
  <property fmtid="{D5CDD505-2E9C-101B-9397-08002B2CF9AE}" pid="9" name="MSIP_Label_9a5e7792-7543-4db2-bcc9-9caeff0b8eb1_Method">
    <vt:lpwstr>Privileged</vt:lpwstr>
  </property>
  <property fmtid="{D5CDD505-2E9C-101B-9397-08002B2CF9AE}" pid="10" name="MSIP_Label_9a5e7792-7543-4db2-bcc9-9caeff0b8eb1_Name">
    <vt:lpwstr>OFFICIAL</vt:lpwstr>
  </property>
  <property fmtid="{D5CDD505-2E9C-101B-9397-08002B2CF9AE}" pid="11" name="MSIP_Label_9a5e7792-7543-4db2-bcc9-9caeff0b8eb1_SiteId">
    <vt:lpwstr>402fca06-dc9c-412f-9bf9-1a335a4671f7</vt:lpwstr>
  </property>
  <property fmtid="{D5CDD505-2E9C-101B-9397-08002B2CF9AE}" pid="12" name="MSIP_Label_9a5e7792-7543-4db2-bcc9-9caeff0b8eb1_ActionId">
    <vt:lpwstr>d40d69fc-3e80-4331-895f-ef98664024ad</vt:lpwstr>
  </property>
  <property fmtid="{D5CDD505-2E9C-101B-9397-08002B2CF9AE}" pid="13" name="MSIP_Label_9a5e7792-7543-4db2-bcc9-9caeff0b8eb1_ContentBits">
    <vt:lpwstr>0</vt:lpwstr>
  </property>
  <property fmtid="{D5CDD505-2E9C-101B-9397-08002B2CF9AE}" pid="14" name="MediaServiceImageTags">
    <vt:lpwstr/>
  </property>
</Properties>
</file>