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A6DCF" w14:textId="0610F3D4" w:rsidR="00C06B9C" w:rsidRPr="00595884" w:rsidRDefault="00274BC6" w:rsidP="007E01B4">
      <w:r w:rsidRPr="00595884">
        <w:rPr>
          <w:noProof/>
        </w:rPr>
        <w:drawing>
          <wp:anchor distT="0" distB="0" distL="114300" distR="114300" simplePos="0" relativeHeight="251658240" behindDoc="0" locked="0" layoutInCell="1" allowOverlap="1" wp14:anchorId="2E1A8381" wp14:editId="4A33C82D">
            <wp:simplePos x="0" y="0"/>
            <wp:positionH relativeFrom="column">
              <wp:posOffset>-1828676</wp:posOffset>
            </wp:positionH>
            <wp:positionV relativeFrom="paragraph">
              <wp:posOffset>-1139512</wp:posOffset>
            </wp:positionV>
            <wp:extent cx="7771163" cy="3954483"/>
            <wp:effectExtent l="19050" t="0" r="0" b="0"/>
            <wp:wrapNone/>
            <wp:docPr id="20" name="Picture 3" descr="cover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3" descr="cover_header"/>
                    <pic:cNvPicPr>
                      <a:picLocks noChangeAspect="1" noChangeArrowheads="1"/>
                    </pic:cNvPicPr>
                  </pic:nvPicPr>
                  <pic:blipFill>
                    <a:blip r:embed="rId12" cstate="print"/>
                    <a:stretch>
                      <a:fillRect/>
                    </a:stretch>
                  </pic:blipFill>
                  <pic:spPr bwMode="auto">
                    <a:xfrm>
                      <a:off x="0" y="0"/>
                      <a:ext cx="7772400" cy="3956050"/>
                    </a:xfrm>
                    <a:prstGeom prst="rect">
                      <a:avLst/>
                    </a:prstGeom>
                    <a:noFill/>
                    <a:ln w="9525">
                      <a:noFill/>
                      <a:miter lim="800000"/>
                      <a:headEnd/>
                      <a:tailEnd/>
                    </a:ln>
                  </pic:spPr>
                </pic:pic>
              </a:graphicData>
            </a:graphic>
          </wp:anchor>
        </w:drawing>
      </w:r>
      <w:proofErr w:type="spellStart"/>
      <w:r w:rsidR="00BC02BB" w:rsidRPr="00595884">
        <w:t>pcb</w:t>
      </w:r>
      <w:proofErr w:type="spellEnd"/>
    </w:p>
    <w:p w14:paraId="2873890C" w14:textId="77777777" w:rsidR="00C06B9C" w:rsidRPr="00595884" w:rsidRDefault="00C06B9C"/>
    <w:p w14:paraId="735D6C18" w14:textId="77777777" w:rsidR="00C06B9C" w:rsidRPr="00595884" w:rsidRDefault="00C06B9C"/>
    <w:p w14:paraId="6208D3A5" w14:textId="77777777" w:rsidR="00C06B9C" w:rsidRPr="00595884" w:rsidRDefault="00C06B9C"/>
    <w:p w14:paraId="07AC55C2" w14:textId="77777777" w:rsidR="00C06B9C" w:rsidRPr="00595884" w:rsidRDefault="00C06B9C"/>
    <w:p w14:paraId="7962ADC5" w14:textId="77777777" w:rsidR="00C06B9C" w:rsidRPr="00595884" w:rsidRDefault="00C06B9C"/>
    <w:p w14:paraId="59B1448B" w14:textId="77777777" w:rsidR="00C06B9C" w:rsidRPr="00595884" w:rsidRDefault="00C06B9C"/>
    <w:p w14:paraId="009F6A95" w14:textId="77777777" w:rsidR="008463CE" w:rsidRPr="00595884" w:rsidRDefault="008463CE"/>
    <w:p w14:paraId="7EC880AF" w14:textId="77777777" w:rsidR="008463CE" w:rsidRPr="00595884" w:rsidRDefault="008463CE"/>
    <w:p w14:paraId="6CFDC05E" w14:textId="77777777" w:rsidR="008463CE" w:rsidRPr="00595884" w:rsidRDefault="008463CE"/>
    <w:p w14:paraId="5DC9D932" w14:textId="77777777" w:rsidR="008463CE" w:rsidRPr="00595884" w:rsidRDefault="008463CE"/>
    <w:p w14:paraId="1D4BE6B5" w14:textId="65EB8A93" w:rsidR="00704440" w:rsidRPr="00595884" w:rsidRDefault="00274BC6" w:rsidP="005F554B">
      <w:pPr>
        <w:pStyle w:val="CoverHeadings"/>
      </w:pPr>
      <w:r w:rsidRPr="00595884">
        <w:t>Evidence Evaluation</w:t>
      </w:r>
      <w:r w:rsidR="00927991" w:rsidRPr="00595884">
        <w:t xml:space="preserve"> Report </w:t>
      </w:r>
      <w:r w:rsidR="008F4405" w:rsidRPr="00595884">
        <w:t>for Narrative Review in support of the NHMRC Recreational Water Quality Guidelines</w:t>
      </w:r>
      <w:r w:rsidRPr="00595884">
        <w:t>:</w:t>
      </w:r>
      <w:r w:rsidR="00625F79" w:rsidRPr="00595884">
        <w:t xml:space="preserve"> </w:t>
      </w:r>
      <w:r w:rsidR="00E71B92" w:rsidRPr="00595884">
        <w:t>Chemical Hazards</w:t>
      </w:r>
    </w:p>
    <w:p w14:paraId="4EC6CC66" w14:textId="27C54A96" w:rsidR="00976F03" w:rsidRPr="00595884" w:rsidRDefault="00976F03" w:rsidP="00976F03"/>
    <w:p w14:paraId="35A4A541" w14:textId="1F418DAF" w:rsidR="00B82672" w:rsidRPr="00595884" w:rsidRDefault="00B82672" w:rsidP="00976F03"/>
    <w:p w14:paraId="30E54765" w14:textId="66F0B8D8" w:rsidR="005550BA" w:rsidRPr="00595884" w:rsidRDefault="005550BA" w:rsidP="00976F03"/>
    <w:p w14:paraId="3BF0176D" w14:textId="3833AA34" w:rsidR="005550BA" w:rsidRPr="00476802" w:rsidRDefault="005550BA" w:rsidP="00976F03"/>
    <w:p w14:paraId="436DF984" w14:textId="77777777" w:rsidR="005550BA" w:rsidRPr="00595884" w:rsidRDefault="005550BA" w:rsidP="00976F03"/>
    <w:p w14:paraId="22544B92" w14:textId="16E3D7CA" w:rsidR="005550BA" w:rsidRPr="00595884" w:rsidRDefault="005550BA" w:rsidP="00976F03"/>
    <w:p w14:paraId="3DDA1941" w14:textId="77777777" w:rsidR="005550BA" w:rsidRPr="00595884" w:rsidRDefault="005550BA" w:rsidP="00976F03"/>
    <w:p w14:paraId="4CF833AB" w14:textId="77777777" w:rsidR="007F0E68" w:rsidRPr="00595884" w:rsidRDefault="007F0E68" w:rsidP="00A76AEB"/>
    <w:p w14:paraId="66C87920" w14:textId="77777777" w:rsidR="007F0E68" w:rsidRPr="00595884" w:rsidRDefault="007F0E68" w:rsidP="00A76AEB"/>
    <w:p w14:paraId="4AC9A333" w14:textId="68E2FB1D" w:rsidR="00A76AEB" w:rsidRPr="00595884" w:rsidRDefault="00274BC6" w:rsidP="00A76AEB">
      <w:r w:rsidRPr="00595884">
        <w:rPr>
          <w:noProof/>
        </w:rPr>
        <w:drawing>
          <wp:inline distT="0" distB="0" distL="0" distR="0" wp14:anchorId="3F9337CC" wp14:editId="0DD05199">
            <wp:extent cx="266700" cy="66675"/>
            <wp:effectExtent l="19050" t="0" r="0" b="0"/>
            <wp:docPr id="3" name="Picture 1" descr="do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dots"/>
                    <pic:cNvPicPr>
                      <a:picLocks noChangeAspect="1" noChangeArrowheads="1"/>
                    </pic:cNvPicPr>
                  </pic:nvPicPr>
                  <pic:blipFill>
                    <a:blip r:embed="rId13" cstate="print"/>
                    <a:stretch>
                      <a:fillRect/>
                    </a:stretch>
                  </pic:blipFill>
                  <pic:spPr bwMode="auto">
                    <a:xfrm>
                      <a:off x="0" y="0"/>
                      <a:ext cx="266700" cy="66675"/>
                    </a:xfrm>
                    <a:prstGeom prst="rect">
                      <a:avLst/>
                    </a:prstGeom>
                    <a:noFill/>
                    <a:ln w="9525">
                      <a:noFill/>
                      <a:miter lim="800000"/>
                      <a:headEnd/>
                      <a:tailEnd/>
                    </a:ln>
                  </pic:spPr>
                </pic:pic>
              </a:graphicData>
            </a:graphic>
          </wp:inline>
        </w:drawing>
      </w:r>
    </w:p>
    <w:p w14:paraId="3486ABED" w14:textId="3E394393" w:rsidR="00A76AEB" w:rsidRPr="00595884" w:rsidRDefault="00274BC6" w:rsidP="00D41AAE">
      <w:pPr>
        <w:pStyle w:val="CoverSubheading"/>
        <w:outlineLvl w:val="0"/>
      </w:pPr>
      <w:r w:rsidRPr="00595884">
        <w:t xml:space="preserve">Report Prepared for </w:t>
      </w:r>
      <w:r w:rsidR="0048257F" w:rsidRPr="00595884">
        <w:t>NHMRC</w:t>
      </w:r>
    </w:p>
    <w:p w14:paraId="2D7E791E" w14:textId="77777777" w:rsidR="00A76AEB" w:rsidRPr="00595884" w:rsidRDefault="00274BC6" w:rsidP="00A76AEB">
      <w:pPr>
        <w:pStyle w:val="CoverSubheading"/>
      </w:pPr>
      <w:r w:rsidRPr="00595884">
        <w:t xml:space="preserve">By </w:t>
      </w:r>
      <w:proofErr w:type="spellStart"/>
      <w:r w:rsidRPr="00595884">
        <w:t>Ecos</w:t>
      </w:r>
      <w:proofErr w:type="spellEnd"/>
      <w:r w:rsidRPr="00595884">
        <w:t xml:space="preserve"> Environmental Consulting Pty Ltd</w:t>
      </w:r>
    </w:p>
    <w:p w14:paraId="67F93B74" w14:textId="77777777" w:rsidR="00A76AEB" w:rsidRPr="00595884" w:rsidRDefault="00A76AEB" w:rsidP="00A76AEB">
      <w:pPr>
        <w:pStyle w:val="CoverSubheading"/>
      </w:pPr>
    </w:p>
    <w:p w14:paraId="5F6ABCE3" w14:textId="606A2C8E" w:rsidR="00A76AEB" w:rsidRPr="00595884" w:rsidRDefault="00C55B9B" w:rsidP="00A76AEB">
      <w:pPr>
        <w:pStyle w:val="CoverSubheading"/>
      </w:pPr>
      <w:r>
        <w:t>June</w:t>
      </w:r>
      <w:r w:rsidRPr="00595884">
        <w:t xml:space="preserve"> 202</w:t>
      </w:r>
      <w:r>
        <w:t>2</w:t>
      </w:r>
    </w:p>
    <w:p w14:paraId="11E409B2" w14:textId="77777777" w:rsidR="00F92298" w:rsidRPr="00595884" w:rsidRDefault="00274BC6">
      <w:pPr>
        <w:spacing w:before="0" w:after="0" w:line="240" w:lineRule="auto"/>
        <w:rPr>
          <w:rFonts w:cs="Arial"/>
          <w:sz w:val="22"/>
          <w:szCs w:val="22"/>
          <w:highlight w:val="cyan"/>
          <w:lang w:eastAsia="en-US"/>
        </w:rPr>
      </w:pPr>
      <w:r w:rsidRPr="00595884">
        <w:rPr>
          <w:rFonts w:cs="Arial"/>
          <w:sz w:val="22"/>
          <w:szCs w:val="22"/>
          <w:highlight w:val="cyan"/>
        </w:rPr>
        <w:br w:type="page"/>
      </w:r>
    </w:p>
    <w:p w14:paraId="1CDD31F3" w14:textId="77777777" w:rsidR="00A76AEB" w:rsidRPr="00595884" w:rsidRDefault="00274BC6" w:rsidP="00D41AAE">
      <w:pPr>
        <w:pStyle w:val="Non-numberedHeading1"/>
        <w:outlineLvl w:val="0"/>
      </w:pPr>
      <w:r w:rsidRPr="00595884">
        <w:lastRenderedPageBreak/>
        <w:t>Document Information</w:t>
      </w:r>
    </w:p>
    <w:tbl>
      <w:tblPr>
        <w:tblStyle w:val="BlueDocumentInfoTableStyle"/>
        <w:tblW w:w="7869" w:type="dxa"/>
        <w:tblLayout w:type="fixed"/>
        <w:tblLook w:val="01E0" w:firstRow="1" w:lastRow="1" w:firstColumn="1" w:lastColumn="1" w:noHBand="0" w:noVBand="0"/>
      </w:tblPr>
      <w:tblGrid>
        <w:gridCol w:w="846"/>
        <w:gridCol w:w="1134"/>
        <w:gridCol w:w="1417"/>
        <w:gridCol w:w="1099"/>
        <w:gridCol w:w="1169"/>
        <w:gridCol w:w="1079"/>
        <w:gridCol w:w="1125"/>
      </w:tblGrid>
      <w:tr w:rsidR="004254E5" w14:paraId="555C01C3" w14:textId="77777777" w:rsidTr="004254E5">
        <w:trPr>
          <w:cnfStyle w:val="100000000000" w:firstRow="1" w:lastRow="0" w:firstColumn="0" w:lastColumn="0" w:oddVBand="0" w:evenVBand="0" w:oddHBand="0" w:evenHBand="0" w:firstRowFirstColumn="0" w:firstRowLastColumn="0" w:lastRowFirstColumn="0" w:lastRowLastColumn="0"/>
        </w:trPr>
        <w:tc>
          <w:tcPr>
            <w:tcW w:w="846" w:type="dxa"/>
          </w:tcPr>
          <w:p w14:paraId="6CD1F6D0" w14:textId="77777777" w:rsidR="008463CE" w:rsidRPr="00595884" w:rsidRDefault="00274BC6" w:rsidP="00C02989">
            <w:pPr>
              <w:spacing w:before="0" w:after="0" w:line="240" w:lineRule="auto"/>
              <w:rPr>
                <w:rFonts w:asciiTheme="minorHAnsi" w:hAnsiTheme="minorHAnsi" w:cstheme="minorHAnsi"/>
                <w:bCs/>
              </w:rPr>
            </w:pPr>
            <w:r w:rsidRPr="00595884">
              <w:rPr>
                <w:rFonts w:asciiTheme="minorHAnsi" w:hAnsiTheme="minorHAnsi" w:cstheme="minorHAnsi"/>
                <w:bCs/>
              </w:rPr>
              <w:t>Revision</w:t>
            </w:r>
          </w:p>
        </w:tc>
        <w:tc>
          <w:tcPr>
            <w:tcW w:w="1134" w:type="dxa"/>
          </w:tcPr>
          <w:p w14:paraId="4DF68AF7" w14:textId="77777777" w:rsidR="008463CE" w:rsidRPr="00595884" w:rsidRDefault="00274BC6" w:rsidP="00C02989">
            <w:pPr>
              <w:spacing w:before="0" w:after="0" w:line="240" w:lineRule="auto"/>
              <w:rPr>
                <w:rFonts w:asciiTheme="minorHAnsi" w:hAnsiTheme="minorHAnsi" w:cstheme="minorHAnsi"/>
                <w:bCs/>
              </w:rPr>
            </w:pPr>
            <w:r w:rsidRPr="00595884">
              <w:rPr>
                <w:rFonts w:asciiTheme="minorHAnsi" w:hAnsiTheme="minorHAnsi" w:cstheme="minorHAnsi"/>
                <w:bCs/>
              </w:rPr>
              <w:t>Status</w:t>
            </w:r>
          </w:p>
        </w:tc>
        <w:tc>
          <w:tcPr>
            <w:tcW w:w="1417" w:type="dxa"/>
          </w:tcPr>
          <w:p w14:paraId="063DF3E2" w14:textId="77777777" w:rsidR="008463CE" w:rsidRPr="00595884" w:rsidRDefault="00274BC6" w:rsidP="00C02989">
            <w:pPr>
              <w:spacing w:before="0" w:after="0" w:line="240" w:lineRule="auto"/>
              <w:rPr>
                <w:rFonts w:asciiTheme="minorHAnsi" w:hAnsiTheme="minorHAnsi" w:cstheme="minorHAnsi"/>
                <w:bCs/>
              </w:rPr>
            </w:pPr>
            <w:r w:rsidRPr="00595884">
              <w:rPr>
                <w:rFonts w:asciiTheme="minorHAnsi" w:hAnsiTheme="minorHAnsi" w:cstheme="minorHAnsi"/>
                <w:bCs/>
              </w:rPr>
              <w:t>Prepared by</w:t>
            </w:r>
          </w:p>
        </w:tc>
        <w:tc>
          <w:tcPr>
            <w:tcW w:w="1099" w:type="dxa"/>
          </w:tcPr>
          <w:p w14:paraId="11C1E9E4" w14:textId="77777777" w:rsidR="008463CE" w:rsidRPr="00595884" w:rsidRDefault="00274BC6" w:rsidP="00C02989">
            <w:pPr>
              <w:spacing w:before="0" w:after="0" w:line="240" w:lineRule="auto"/>
              <w:rPr>
                <w:rFonts w:asciiTheme="minorHAnsi" w:hAnsiTheme="minorHAnsi" w:cstheme="minorHAnsi"/>
                <w:bCs/>
              </w:rPr>
            </w:pPr>
            <w:r w:rsidRPr="00595884">
              <w:rPr>
                <w:rFonts w:asciiTheme="minorHAnsi" w:hAnsiTheme="minorHAnsi" w:cstheme="minorHAnsi"/>
                <w:bCs/>
              </w:rPr>
              <w:t>Issued to</w:t>
            </w:r>
          </w:p>
        </w:tc>
        <w:tc>
          <w:tcPr>
            <w:tcW w:w="1169" w:type="dxa"/>
          </w:tcPr>
          <w:p w14:paraId="57367990" w14:textId="77777777" w:rsidR="008463CE" w:rsidRPr="00595884" w:rsidRDefault="00274BC6" w:rsidP="00C02989">
            <w:pPr>
              <w:spacing w:before="0" w:after="0" w:line="240" w:lineRule="auto"/>
              <w:rPr>
                <w:rFonts w:asciiTheme="minorHAnsi" w:hAnsiTheme="minorHAnsi" w:cstheme="minorHAnsi"/>
                <w:bCs/>
              </w:rPr>
            </w:pPr>
            <w:r w:rsidRPr="00595884">
              <w:rPr>
                <w:rFonts w:asciiTheme="minorHAnsi" w:hAnsiTheme="minorHAnsi" w:cstheme="minorHAnsi"/>
                <w:bCs/>
              </w:rPr>
              <w:t>Date</w:t>
            </w:r>
          </w:p>
        </w:tc>
        <w:tc>
          <w:tcPr>
            <w:tcW w:w="1079" w:type="dxa"/>
          </w:tcPr>
          <w:p w14:paraId="5FE269D2" w14:textId="77777777" w:rsidR="008463CE" w:rsidRPr="00595884" w:rsidRDefault="00274BC6" w:rsidP="00C02989">
            <w:pPr>
              <w:spacing w:before="0" w:after="0" w:line="240" w:lineRule="auto"/>
              <w:rPr>
                <w:rFonts w:asciiTheme="minorHAnsi" w:hAnsiTheme="minorHAnsi" w:cstheme="minorHAnsi"/>
                <w:bCs/>
              </w:rPr>
            </w:pPr>
            <w:r w:rsidRPr="00595884">
              <w:rPr>
                <w:rFonts w:asciiTheme="minorHAnsi" w:hAnsiTheme="minorHAnsi" w:cstheme="minorHAnsi"/>
                <w:bCs/>
              </w:rPr>
              <w:t>Reviewed by</w:t>
            </w:r>
          </w:p>
        </w:tc>
        <w:tc>
          <w:tcPr>
            <w:tcW w:w="1125" w:type="dxa"/>
          </w:tcPr>
          <w:p w14:paraId="0C027555" w14:textId="77777777" w:rsidR="008463CE" w:rsidRPr="00595884" w:rsidRDefault="00274BC6" w:rsidP="00C02989">
            <w:pPr>
              <w:spacing w:before="0" w:after="0" w:line="240" w:lineRule="auto"/>
              <w:rPr>
                <w:rFonts w:asciiTheme="minorHAnsi" w:hAnsiTheme="minorHAnsi" w:cstheme="minorHAnsi"/>
                <w:bCs/>
              </w:rPr>
            </w:pPr>
            <w:r w:rsidRPr="00595884">
              <w:rPr>
                <w:rFonts w:asciiTheme="minorHAnsi" w:hAnsiTheme="minorHAnsi" w:cstheme="minorHAnsi"/>
                <w:bCs/>
              </w:rPr>
              <w:t>Approved</w:t>
            </w:r>
          </w:p>
        </w:tc>
      </w:tr>
      <w:tr w:rsidR="004254E5" w14:paraId="7C41A39E" w14:textId="77777777" w:rsidTr="004254E5">
        <w:tc>
          <w:tcPr>
            <w:tcW w:w="846" w:type="dxa"/>
          </w:tcPr>
          <w:p w14:paraId="45BC8568" w14:textId="77777777" w:rsidR="008463CE" w:rsidRPr="00595884" w:rsidRDefault="00274BC6" w:rsidP="00C02989">
            <w:pPr>
              <w:spacing w:before="0" w:after="0" w:line="240" w:lineRule="auto"/>
              <w:rPr>
                <w:rFonts w:asciiTheme="minorHAnsi" w:hAnsiTheme="minorHAnsi" w:cstheme="minorHAnsi"/>
              </w:rPr>
            </w:pPr>
            <w:r w:rsidRPr="00595884">
              <w:rPr>
                <w:rFonts w:asciiTheme="minorHAnsi" w:hAnsiTheme="minorHAnsi" w:cstheme="minorHAnsi"/>
              </w:rPr>
              <w:t>1.0</w:t>
            </w:r>
          </w:p>
        </w:tc>
        <w:tc>
          <w:tcPr>
            <w:tcW w:w="1134" w:type="dxa"/>
          </w:tcPr>
          <w:p w14:paraId="6C56D260" w14:textId="5524223D" w:rsidR="008463CE" w:rsidRPr="00595884" w:rsidRDefault="00274BC6" w:rsidP="00C02989">
            <w:pPr>
              <w:spacing w:before="0" w:after="0" w:line="240" w:lineRule="auto"/>
              <w:rPr>
                <w:rFonts w:asciiTheme="minorHAnsi" w:hAnsiTheme="minorHAnsi" w:cstheme="minorHAnsi"/>
              </w:rPr>
            </w:pPr>
            <w:r w:rsidRPr="00595884">
              <w:rPr>
                <w:rFonts w:asciiTheme="minorHAnsi" w:hAnsiTheme="minorHAnsi" w:cstheme="minorHAnsi"/>
              </w:rPr>
              <w:t>Draft</w:t>
            </w:r>
          </w:p>
        </w:tc>
        <w:tc>
          <w:tcPr>
            <w:tcW w:w="1417" w:type="dxa"/>
          </w:tcPr>
          <w:p w14:paraId="59D1A6C8" w14:textId="38D82F60" w:rsidR="008463CE" w:rsidRPr="00595884" w:rsidRDefault="00274BC6" w:rsidP="00C02989">
            <w:pPr>
              <w:spacing w:before="0" w:after="0" w:line="240" w:lineRule="auto"/>
              <w:rPr>
                <w:rFonts w:asciiTheme="minorHAnsi" w:hAnsiTheme="minorHAnsi" w:cstheme="minorHAnsi"/>
              </w:rPr>
            </w:pPr>
            <w:r w:rsidRPr="00595884">
              <w:rPr>
                <w:rFonts w:asciiTheme="minorHAnsi" w:hAnsiTheme="minorHAnsi" w:cstheme="minorHAnsi"/>
              </w:rPr>
              <w:t>Nick O’Connor</w:t>
            </w:r>
          </w:p>
        </w:tc>
        <w:tc>
          <w:tcPr>
            <w:tcW w:w="1099" w:type="dxa"/>
          </w:tcPr>
          <w:p w14:paraId="5AF834E0" w14:textId="52FFB5C5" w:rsidR="008463CE" w:rsidRPr="00595884" w:rsidRDefault="00274BC6" w:rsidP="00C02989">
            <w:pPr>
              <w:spacing w:before="0" w:after="0" w:line="240" w:lineRule="auto"/>
              <w:rPr>
                <w:rFonts w:asciiTheme="minorHAnsi" w:hAnsiTheme="minorHAnsi" w:cstheme="minorHAnsi"/>
              </w:rPr>
            </w:pPr>
            <w:r w:rsidRPr="00595884">
              <w:rPr>
                <w:rFonts w:asciiTheme="minorHAnsi" w:hAnsiTheme="minorHAnsi" w:cstheme="minorHAnsi"/>
              </w:rPr>
              <w:t>NHM</w:t>
            </w:r>
            <w:r w:rsidR="00D76DFB">
              <w:rPr>
                <w:rFonts w:asciiTheme="minorHAnsi" w:hAnsiTheme="minorHAnsi" w:cstheme="minorHAnsi"/>
              </w:rPr>
              <w:t>R</w:t>
            </w:r>
            <w:r w:rsidRPr="00595884">
              <w:rPr>
                <w:rFonts w:asciiTheme="minorHAnsi" w:hAnsiTheme="minorHAnsi" w:cstheme="minorHAnsi"/>
              </w:rPr>
              <w:t>C</w:t>
            </w:r>
          </w:p>
        </w:tc>
        <w:tc>
          <w:tcPr>
            <w:tcW w:w="1169" w:type="dxa"/>
          </w:tcPr>
          <w:p w14:paraId="7F1156A1" w14:textId="60B9DB6F" w:rsidR="008463CE" w:rsidRPr="00595884" w:rsidRDefault="00274BC6" w:rsidP="00014F38">
            <w:pPr>
              <w:spacing w:before="0" w:after="0" w:line="240" w:lineRule="auto"/>
              <w:rPr>
                <w:rFonts w:asciiTheme="minorHAnsi" w:hAnsiTheme="minorHAnsi" w:cstheme="minorHAnsi"/>
              </w:rPr>
            </w:pPr>
            <w:r>
              <w:rPr>
                <w:rFonts w:asciiTheme="minorHAnsi" w:hAnsiTheme="minorHAnsi" w:cstheme="minorHAnsi"/>
              </w:rPr>
              <w:t>21</w:t>
            </w:r>
            <w:r w:rsidR="00111E63" w:rsidRPr="00595884">
              <w:rPr>
                <w:rFonts w:asciiTheme="minorHAnsi" w:hAnsiTheme="minorHAnsi" w:cstheme="minorHAnsi"/>
              </w:rPr>
              <w:t xml:space="preserve"> May 2021</w:t>
            </w:r>
          </w:p>
        </w:tc>
        <w:tc>
          <w:tcPr>
            <w:tcW w:w="1079" w:type="dxa"/>
          </w:tcPr>
          <w:p w14:paraId="573555D9" w14:textId="77777777" w:rsidR="008463CE" w:rsidRPr="00595884" w:rsidRDefault="00274BC6" w:rsidP="00C02989">
            <w:pPr>
              <w:spacing w:before="0" w:after="0" w:line="240" w:lineRule="auto"/>
              <w:rPr>
                <w:rFonts w:asciiTheme="minorHAnsi" w:hAnsiTheme="minorHAnsi" w:cstheme="minorHAnsi"/>
              </w:rPr>
            </w:pPr>
            <w:r w:rsidRPr="00595884">
              <w:rPr>
                <w:rFonts w:asciiTheme="minorHAnsi" w:hAnsiTheme="minorHAnsi" w:cstheme="minorHAnsi"/>
              </w:rPr>
              <w:t>Nick O'Connor</w:t>
            </w:r>
          </w:p>
        </w:tc>
        <w:tc>
          <w:tcPr>
            <w:tcW w:w="1125" w:type="dxa"/>
          </w:tcPr>
          <w:p w14:paraId="342B4D4F" w14:textId="77777777" w:rsidR="008463CE" w:rsidRPr="00595884" w:rsidRDefault="00274BC6" w:rsidP="00C02989">
            <w:pPr>
              <w:spacing w:before="0" w:after="0" w:line="240" w:lineRule="auto"/>
              <w:rPr>
                <w:rFonts w:asciiTheme="minorHAnsi" w:hAnsiTheme="minorHAnsi" w:cstheme="minorHAnsi"/>
              </w:rPr>
            </w:pPr>
            <w:r w:rsidRPr="00595884">
              <w:rPr>
                <w:rFonts w:asciiTheme="minorHAnsi" w:hAnsiTheme="minorHAnsi" w:cstheme="minorHAnsi"/>
              </w:rPr>
              <w:t>Nick O'Connor</w:t>
            </w:r>
          </w:p>
        </w:tc>
      </w:tr>
      <w:tr w:rsidR="004254E5" w14:paraId="25C8701A" w14:textId="77777777" w:rsidTr="004254E5">
        <w:tc>
          <w:tcPr>
            <w:tcW w:w="846" w:type="dxa"/>
          </w:tcPr>
          <w:p w14:paraId="71EFB815" w14:textId="2043C78B" w:rsidR="00083178" w:rsidRPr="00595884" w:rsidRDefault="00274BC6" w:rsidP="00083178">
            <w:pPr>
              <w:spacing w:before="0" w:after="0" w:line="240" w:lineRule="auto"/>
              <w:rPr>
                <w:rFonts w:asciiTheme="minorHAnsi" w:hAnsiTheme="minorHAnsi" w:cstheme="minorHAnsi"/>
              </w:rPr>
            </w:pPr>
            <w:r>
              <w:rPr>
                <w:rFonts w:asciiTheme="minorHAnsi" w:hAnsiTheme="minorHAnsi" w:cstheme="minorHAnsi"/>
              </w:rPr>
              <w:t>1.1</w:t>
            </w:r>
          </w:p>
        </w:tc>
        <w:tc>
          <w:tcPr>
            <w:tcW w:w="1134" w:type="dxa"/>
          </w:tcPr>
          <w:p w14:paraId="1475E2C9" w14:textId="539C6736" w:rsidR="00083178" w:rsidRPr="00595884" w:rsidRDefault="00274BC6" w:rsidP="00083178">
            <w:pPr>
              <w:spacing w:before="0" w:after="0" w:line="240" w:lineRule="auto"/>
              <w:rPr>
                <w:rFonts w:asciiTheme="minorHAnsi" w:hAnsiTheme="minorHAnsi" w:cstheme="minorHAnsi"/>
              </w:rPr>
            </w:pPr>
            <w:r>
              <w:rPr>
                <w:rFonts w:asciiTheme="minorHAnsi" w:hAnsiTheme="minorHAnsi" w:cstheme="minorHAnsi"/>
              </w:rPr>
              <w:t>Draft</w:t>
            </w:r>
          </w:p>
        </w:tc>
        <w:tc>
          <w:tcPr>
            <w:tcW w:w="1417" w:type="dxa"/>
          </w:tcPr>
          <w:p w14:paraId="0989F4E4" w14:textId="70368764" w:rsidR="00083178" w:rsidRPr="00595884" w:rsidRDefault="00274BC6" w:rsidP="00083178">
            <w:pPr>
              <w:spacing w:before="0" w:after="0" w:line="240" w:lineRule="auto"/>
              <w:rPr>
                <w:rFonts w:asciiTheme="minorHAnsi" w:hAnsiTheme="minorHAnsi" w:cstheme="minorHAnsi"/>
              </w:rPr>
            </w:pPr>
            <w:r w:rsidRPr="00595884">
              <w:rPr>
                <w:rFonts w:asciiTheme="minorHAnsi" w:hAnsiTheme="minorHAnsi" w:cstheme="minorHAnsi"/>
              </w:rPr>
              <w:t>Nick O’Connor</w:t>
            </w:r>
          </w:p>
        </w:tc>
        <w:tc>
          <w:tcPr>
            <w:tcW w:w="1099" w:type="dxa"/>
          </w:tcPr>
          <w:p w14:paraId="0C848754" w14:textId="76F50235" w:rsidR="00083178" w:rsidRPr="00595884" w:rsidRDefault="00274BC6" w:rsidP="00083178">
            <w:pPr>
              <w:spacing w:before="0" w:after="0" w:line="240" w:lineRule="auto"/>
              <w:rPr>
                <w:rFonts w:asciiTheme="minorHAnsi" w:hAnsiTheme="minorHAnsi" w:cstheme="minorHAnsi"/>
              </w:rPr>
            </w:pPr>
            <w:r w:rsidRPr="00595884">
              <w:rPr>
                <w:rFonts w:asciiTheme="minorHAnsi" w:hAnsiTheme="minorHAnsi" w:cstheme="minorHAnsi"/>
              </w:rPr>
              <w:t>NHM</w:t>
            </w:r>
            <w:r>
              <w:rPr>
                <w:rFonts w:asciiTheme="minorHAnsi" w:hAnsiTheme="minorHAnsi" w:cstheme="minorHAnsi"/>
              </w:rPr>
              <w:t>R</w:t>
            </w:r>
            <w:r w:rsidRPr="00595884">
              <w:rPr>
                <w:rFonts w:asciiTheme="minorHAnsi" w:hAnsiTheme="minorHAnsi" w:cstheme="minorHAnsi"/>
              </w:rPr>
              <w:t>C</w:t>
            </w:r>
          </w:p>
        </w:tc>
        <w:tc>
          <w:tcPr>
            <w:tcW w:w="1169" w:type="dxa"/>
          </w:tcPr>
          <w:p w14:paraId="53485358" w14:textId="1A6404E2" w:rsidR="00083178" w:rsidRPr="00595884" w:rsidRDefault="00274BC6" w:rsidP="00083178">
            <w:pPr>
              <w:spacing w:before="0" w:after="0" w:line="240" w:lineRule="auto"/>
              <w:rPr>
                <w:rFonts w:asciiTheme="minorHAnsi" w:hAnsiTheme="minorHAnsi" w:cstheme="minorHAnsi"/>
              </w:rPr>
            </w:pPr>
            <w:r>
              <w:rPr>
                <w:rFonts w:asciiTheme="minorHAnsi" w:hAnsiTheme="minorHAnsi" w:cstheme="minorHAnsi"/>
              </w:rPr>
              <w:t>23</w:t>
            </w:r>
            <w:r w:rsidRPr="00595884">
              <w:rPr>
                <w:rFonts w:asciiTheme="minorHAnsi" w:hAnsiTheme="minorHAnsi" w:cstheme="minorHAnsi"/>
              </w:rPr>
              <w:t xml:space="preserve"> </w:t>
            </w:r>
            <w:r>
              <w:rPr>
                <w:rFonts w:asciiTheme="minorHAnsi" w:hAnsiTheme="minorHAnsi" w:cstheme="minorHAnsi"/>
              </w:rPr>
              <w:t>July</w:t>
            </w:r>
            <w:r w:rsidRPr="00595884">
              <w:rPr>
                <w:rFonts w:asciiTheme="minorHAnsi" w:hAnsiTheme="minorHAnsi" w:cstheme="minorHAnsi"/>
              </w:rPr>
              <w:t xml:space="preserve"> 2021</w:t>
            </w:r>
          </w:p>
        </w:tc>
        <w:tc>
          <w:tcPr>
            <w:tcW w:w="1079" w:type="dxa"/>
          </w:tcPr>
          <w:p w14:paraId="18B228CB" w14:textId="68DD7C9C" w:rsidR="00083178" w:rsidRPr="00595884" w:rsidRDefault="00274BC6" w:rsidP="00083178">
            <w:pPr>
              <w:spacing w:before="0" w:after="0" w:line="240" w:lineRule="auto"/>
              <w:rPr>
                <w:rFonts w:asciiTheme="minorHAnsi" w:hAnsiTheme="minorHAnsi" w:cstheme="minorHAnsi"/>
              </w:rPr>
            </w:pPr>
            <w:r>
              <w:rPr>
                <w:rFonts w:asciiTheme="minorHAnsi" w:hAnsiTheme="minorHAnsi" w:cstheme="minorHAnsi"/>
              </w:rPr>
              <w:t>NHMRC</w:t>
            </w:r>
          </w:p>
        </w:tc>
        <w:tc>
          <w:tcPr>
            <w:tcW w:w="1125" w:type="dxa"/>
          </w:tcPr>
          <w:p w14:paraId="05D3B4B6" w14:textId="41C942BB" w:rsidR="00083178" w:rsidRPr="00595884" w:rsidRDefault="00274BC6" w:rsidP="00083178">
            <w:pPr>
              <w:spacing w:before="0" w:after="0" w:line="240" w:lineRule="auto"/>
              <w:rPr>
                <w:rFonts w:asciiTheme="minorHAnsi" w:hAnsiTheme="minorHAnsi" w:cstheme="minorHAnsi"/>
              </w:rPr>
            </w:pPr>
            <w:r w:rsidRPr="00595884">
              <w:rPr>
                <w:rFonts w:asciiTheme="minorHAnsi" w:hAnsiTheme="minorHAnsi" w:cstheme="minorHAnsi"/>
              </w:rPr>
              <w:t>Nick O'Connor</w:t>
            </w:r>
          </w:p>
        </w:tc>
      </w:tr>
      <w:tr w:rsidR="00C55B9B" w14:paraId="6050E0E5" w14:textId="77777777" w:rsidTr="004254E5">
        <w:tc>
          <w:tcPr>
            <w:tcW w:w="846" w:type="dxa"/>
          </w:tcPr>
          <w:p w14:paraId="26F366C7" w14:textId="29B15B0C" w:rsidR="00C55B9B" w:rsidRDefault="00C55B9B" w:rsidP="00C55B9B">
            <w:pPr>
              <w:spacing w:before="0" w:after="0" w:line="240" w:lineRule="auto"/>
              <w:rPr>
                <w:rFonts w:asciiTheme="minorHAnsi" w:hAnsiTheme="minorHAnsi" w:cstheme="minorHAnsi"/>
              </w:rPr>
            </w:pPr>
            <w:r>
              <w:rPr>
                <w:rFonts w:asciiTheme="minorHAnsi" w:hAnsiTheme="minorHAnsi" w:cstheme="minorHAnsi"/>
              </w:rPr>
              <w:t>1.2</w:t>
            </w:r>
          </w:p>
        </w:tc>
        <w:tc>
          <w:tcPr>
            <w:tcW w:w="1134" w:type="dxa"/>
          </w:tcPr>
          <w:p w14:paraId="62BAA094" w14:textId="536BB7FE" w:rsidR="00C55B9B" w:rsidRDefault="00C55B9B" w:rsidP="00C55B9B">
            <w:pPr>
              <w:spacing w:before="0" w:after="0" w:line="240" w:lineRule="auto"/>
              <w:rPr>
                <w:rFonts w:asciiTheme="minorHAnsi" w:hAnsiTheme="minorHAnsi" w:cstheme="minorHAnsi"/>
              </w:rPr>
            </w:pPr>
            <w:r>
              <w:rPr>
                <w:rFonts w:asciiTheme="minorHAnsi" w:hAnsiTheme="minorHAnsi" w:cstheme="minorHAnsi"/>
              </w:rPr>
              <w:t>Draft</w:t>
            </w:r>
          </w:p>
        </w:tc>
        <w:tc>
          <w:tcPr>
            <w:tcW w:w="1417" w:type="dxa"/>
          </w:tcPr>
          <w:p w14:paraId="2CAF4820" w14:textId="667E5BBF" w:rsidR="00C55B9B" w:rsidRPr="00595884" w:rsidRDefault="00C55B9B" w:rsidP="00C55B9B">
            <w:pPr>
              <w:spacing w:before="0" w:after="0" w:line="240" w:lineRule="auto"/>
              <w:rPr>
                <w:rFonts w:asciiTheme="minorHAnsi" w:hAnsiTheme="minorHAnsi" w:cstheme="minorHAnsi"/>
              </w:rPr>
            </w:pPr>
            <w:r w:rsidRPr="00595884">
              <w:rPr>
                <w:rFonts w:asciiTheme="minorHAnsi" w:hAnsiTheme="minorHAnsi" w:cstheme="minorHAnsi"/>
              </w:rPr>
              <w:t>Nick O’Connor</w:t>
            </w:r>
          </w:p>
        </w:tc>
        <w:tc>
          <w:tcPr>
            <w:tcW w:w="1099" w:type="dxa"/>
          </w:tcPr>
          <w:p w14:paraId="5B6EBEDA" w14:textId="18928B60" w:rsidR="00C55B9B" w:rsidRPr="00595884" w:rsidRDefault="00C55B9B" w:rsidP="00C55B9B">
            <w:pPr>
              <w:spacing w:before="0" w:after="0" w:line="240" w:lineRule="auto"/>
              <w:rPr>
                <w:rFonts w:asciiTheme="minorHAnsi" w:hAnsiTheme="minorHAnsi" w:cstheme="minorHAnsi"/>
              </w:rPr>
            </w:pPr>
            <w:r w:rsidRPr="00595884">
              <w:rPr>
                <w:rFonts w:asciiTheme="minorHAnsi" w:hAnsiTheme="minorHAnsi" w:cstheme="minorHAnsi"/>
              </w:rPr>
              <w:t>NHM</w:t>
            </w:r>
            <w:r>
              <w:rPr>
                <w:rFonts w:asciiTheme="minorHAnsi" w:hAnsiTheme="minorHAnsi" w:cstheme="minorHAnsi"/>
              </w:rPr>
              <w:t>R</w:t>
            </w:r>
            <w:r w:rsidRPr="00595884">
              <w:rPr>
                <w:rFonts w:asciiTheme="minorHAnsi" w:hAnsiTheme="minorHAnsi" w:cstheme="minorHAnsi"/>
              </w:rPr>
              <w:t>C</w:t>
            </w:r>
          </w:p>
        </w:tc>
        <w:tc>
          <w:tcPr>
            <w:tcW w:w="1169" w:type="dxa"/>
          </w:tcPr>
          <w:p w14:paraId="429C991F" w14:textId="6602C95A" w:rsidR="00C55B9B" w:rsidRDefault="00C55B9B" w:rsidP="00C55B9B">
            <w:pPr>
              <w:spacing w:before="0" w:after="0" w:line="240" w:lineRule="auto"/>
              <w:rPr>
                <w:rFonts w:asciiTheme="minorHAnsi" w:hAnsiTheme="minorHAnsi" w:cstheme="minorHAnsi"/>
              </w:rPr>
            </w:pPr>
            <w:r>
              <w:rPr>
                <w:rFonts w:asciiTheme="minorHAnsi" w:hAnsiTheme="minorHAnsi" w:cstheme="minorHAnsi"/>
              </w:rPr>
              <w:t>22</w:t>
            </w:r>
            <w:r w:rsidRPr="00595884">
              <w:rPr>
                <w:rFonts w:asciiTheme="minorHAnsi" w:hAnsiTheme="minorHAnsi" w:cstheme="minorHAnsi"/>
              </w:rPr>
              <w:t xml:space="preserve"> </w:t>
            </w:r>
            <w:r>
              <w:rPr>
                <w:rFonts w:asciiTheme="minorHAnsi" w:hAnsiTheme="minorHAnsi" w:cstheme="minorHAnsi"/>
              </w:rPr>
              <w:t>June</w:t>
            </w:r>
            <w:r w:rsidRPr="00595884">
              <w:rPr>
                <w:rFonts w:asciiTheme="minorHAnsi" w:hAnsiTheme="minorHAnsi" w:cstheme="minorHAnsi"/>
              </w:rPr>
              <w:t xml:space="preserve"> 202</w:t>
            </w:r>
            <w:r>
              <w:rPr>
                <w:rFonts w:asciiTheme="minorHAnsi" w:hAnsiTheme="minorHAnsi" w:cstheme="minorHAnsi"/>
              </w:rPr>
              <w:t>2</w:t>
            </w:r>
          </w:p>
        </w:tc>
        <w:tc>
          <w:tcPr>
            <w:tcW w:w="1079" w:type="dxa"/>
          </w:tcPr>
          <w:p w14:paraId="0CAB11A2" w14:textId="2C47B3D3" w:rsidR="00C55B9B" w:rsidRDefault="00C55B9B" w:rsidP="00C55B9B">
            <w:pPr>
              <w:spacing w:before="0" w:after="0" w:line="240" w:lineRule="auto"/>
              <w:rPr>
                <w:rFonts w:asciiTheme="minorHAnsi" w:hAnsiTheme="minorHAnsi" w:cstheme="minorHAnsi"/>
              </w:rPr>
            </w:pPr>
            <w:r>
              <w:rPr>
                <w:rFonts w:asciiTheme="minorHAnsi" w:hAnsiTheme="minorHAnsi" w:cstheme="minorHAnsi"/>
              </w:rPr>
              <w:t>NHMRC</w:t>
            </w:r>
          </w:p>
        </w:tc>
        <w:tc>
          <w:tcPr>
            <w:tcW w:w="1125" w:type="dxa"/>
          </w:tcPr>
          <w:p w14:paraId="19D01F63" w14:textId="55CA5D40" w:rsidR="00C55B9B" w:rsidRPr="00595884" w:rsidRDefault="00C55B9B" w:rsidP="00C55B9B">
            <w:pPr>
              <w:spacing w:before="0" w:after="0" w:line="240" w:lineRule="auto"/>
              <w:rPr>
                <w:rFonts w:asciiTheme="minorHAnsi" w:hAnsiTheme="minorHAnsi" w:cstheme="minorHAnsi"/>
              </w:rPr>
            </w:pPr>
            <w:r w:rsidRPr="00595884">
              <w:rPr>
                <w:rFonts w:asciiTheme="minorHAnsi" w:hAnsiTheme="minorHAnsi" w:cstheme="minorHAnsi"/>
              </w:rPr>
              <w:t>Nick O'Connor</w:t>
            </w:r>
          </w:p>
        </w:tc>
      </w:tr>
    </w:tbl>
    <w:p w14:paraId="36966094" w14:textId="77777777" w:rsidR="00A76AEB" w:rsidRPr="00595884" w:rsidRDefault="00A76AEB" w:rsidP="00A76AEB"/>
    <w:tbl>
      <w:tblPr>
        <w:tblW w:w="0" w:type="auto"/>
        <w:tblLook w:val="01E0" w:firstRow="1" w:lastRow="1" w:firstColumn="1" w:lastColumn="1" w:noHBand="0" w:noVBand="0"/>
      </w:tblPr>
      <w:tblGrid>
        <w:gridCol w:w="1869"/>
        <w:gridCol w:w="5784"/>
      </w:tblGrid>
      <w:tr w:rsidR="004254E5" w14:paraId="42910B91" w14:textId="77777777" w:rsidTr="00C45E02">
        <w:tc>
          <w:tcPr>
            <w:tcW w:w="1869" w:type="dxa"/>
          </w:tcPr>
          <w:p w14:paraId="4203EDAD" w14:textId="77777777" w:rsidR="00C45E02" w:rsidRPr="00595884" w:rsidRDefault="00274BC6" w:rsidP="00C45E02">
            <w:pPr>
              <w:spacing w:before="0"/>
              <w:rPr>
                <w:b/>
                <w:color w:val="000000"/>
                <w:sz w:val="16"/>
              </w:rPr>
            </w:pPr>
            <w:r w:rsidRPr="00595884">
              <w:rPr>
                <w:b/>
                <w:color w:val="000000"/>
                <w:sz w:val="16"/>
              </w:rPr>
              <w:t>Created by</w:t>
            </w:r>
          </w:p>
        </w:tc>
        <w:tc>
          <w:tcPr>
            <w:tcW w:w="5784" w:type="dxa"/>
          </w:tcPr>
          <w:p w14:paraId="2BC1CC82" w14:textId="77777777" w:rsidR="00C45E02" w:rsidRPr="00595884" w:rsidRDefault="00274BC6" w:rsidP="00C45E02">
            <w:pPr>
              <w:spacing w:before="0" w:after="0" w:line="240" w:lineRule="auto"/>
              <w:rPr>
                <w:rFonts w:cs="Arial"/>
                <w:color w:val="000000"/>
                <w:sz w:val="16"/>
              </w:rPr>
            </w:pPr>
            <w:proofErr w:type="spellStart"/>
            <w:r w:rsidRPr="00595884">
              <w:rPr>
                <w:rFonts w:cs="Arial"/>
                <w:color w:val="000000"/>
                <w:sz w:val="16"/>
              </w:rPr>
              <w:t>Ecos</w:t>
            </w:r>
            <w:proofErr w:type="spellEnd"/>
            <w:r w:rsidRPr="00595884">
              <w:rPr>
                <w:rFonts w:cs="Arial"/>
                <w:color w:val="000000"/>
                <w:sz w:val="16"/>
              </w:rPr>
              <w:t xml:space="preserve"> Environmental Consulting Pty Ltd</w:t>
            </w:r>
          </w:p>
          <w:p w14:paraId="44CF55B7" w14:textId="77777777" w:rsidR="00C45E02" w:rsidRPr="00595884" w:rsidRDefault="00274BC6" w:rsidP="00C45E02">
            <w:pPr>
              <w:spacing w:before="0" w:after="0" w:line="240" w:lineRule="auto"/>
              <w:rPr>
                <w:rFonts w:cs="Arial"/>
                <w:color w:val="000000"/>
                <w:sz w:val="16"/>
                <w:szCs w:val="22"/>
              </w:rPr>
            </w:pPr>
            <w:r w:rsidRPr="00595884">
              <w:rPr>
                <w:rFonts w:cs="Arial"/>
                <w:color w:val="000000"/>
                <w:sz w:val="16"/>
              </w:rPr>
              <w:t>ABN 11 086 102 383, ACN 086 102 383</w:t>
            </w:r>
          </w:p>
          <w:p w14:paraId="61183A0D" w14:textId="604F48EB" w:rsidR="00C45E02" w:rsidRPr="00595884" w:rsidRDefault="00274BC6" w:rsidP="00C45E02">
            <w:pPr>
              <w:spacing w:before="0" w:after="0" w:line="240" w:lineRule="auto"/>
              <w:rPr>
                <w:rFonts w:cs="Arial"/>
                <w:color w:val="000000"/>
                <w:sz w:val="16"/>
              </w:rPr>
            </w:pPr>
            <w:r w:rsidRPr="00595884">
              <w:rPr>
                <w:rFonts w:cs="Arial"/>
                <w:color w:val="000000"/>
                <w:sz w:val="16"/>
              </w:rPr>
              <w:t>64 Milne Street, Templestowe, Victoria 3106</w:t>
            </w:r>
          </w:p>
          <w:p w14:paraId="1F278B7E" w14:textId="77777777" w:rsidR="00D2700F" w:rsidRPr="00595884" w:rsidRDefault="00D2700F" w:rsidP="00C45E02">
            <w:pPr>
              <w:spacing w:before="0" w:after="0" w:line="240" w:lineRule="auto"/>
              <w:rPr>
                <w:rFonts w:cs="Arial"/>
                <w:color w:val="000000"/>
                <w:sz w:val="16"/>
              </w:rPr>
            </w:pPr>
          </w:p>
          <w:tbl>
            <w:tblPr>
              <w:tblW w:w="0" w:type="auto"/>
              <w:tblLook w:val="01E0" w:firstRow="1" w:lastRow="1" w:firstColumn="1" w:lastColumn="1" w:noHBand="0" w:noVBand="0"/>
            </w:tblPr>
            <w:tblGrid>
              <w:gridCol w:w="926"/>
              <w:gridCol w:w="2793"/>
            </w:tblGrid>
            <w:tr w:rsidR="004254E5" w14:paraId="137A62F9" w14:textId="77777777" w:rsidTr="00C55583">
              <w:tc>
                <w:tcPr>
                  <w:tcW w:w="926" w:type="dxa"/>
                </w:tcPr>
                <w:p w14:paraId="7977E620" w14:textId="77777777" w:rsidR="00C45E02" w:rsidRPr="00595884" w:rsidRDefault="00274BC6" w:rsidP="00C45E02">
                  <w:pPr>
                    <w:spacing w:before="0" w:after="0" w:line="240" w:lineRule="auto"/>
                    <w:rPr>
                      <w:rFonts w:cs="Arial"/>
                      <w:b/>
                      <w:color w:val="000000"/>
                      <w:sz w:val="16"/>
                    </w:rPr>
                  </w:pPr>
                  <w:r w:rsidRPr="00595884">
                    <w:rPr>
                      <w:rFonts w:cs="Arial"/>
                      <w:b/>
                      <w:color w:val="000000"/>
                      <w:sz w:val="16"/>
                    </w:rPr>
                    <w:t>Mail</w:t>
                  </w:r>
                </w:p>
              </w:tc>
              <w:tc>
                <w:tcPr>
                  <w:tcW w:w="2793" w:type="dxa"/>
                </w:tcPr>
                <w:p w14:paraId="07C45EED" w14:textId="77777777" w:rsidR="00C45E02" w:rsidRPr="00595884" w:rsidRDefault="00274BC6" w:rsidP="00C45E02">
                  <w:pPr>
                    <w:spacing w:before="0" w:after="0" w:line="240" w:lineRule="auto"/>
                    <w:rPr>
                      <w:rFonts w:cs="Arial"/>
                      <w:color w:val="000000"/>
                      <w:sz w:val="16"/>
                    </w:rPr>
                  </w:pPr>
                  <w:r w:rsidRPr="00595884">
                    <w:rPr>
                      <w:rFonts w:cs="Arial"/>
                      <w:color w:val="000000"/>
                      <w:sz w:val="16"/>
                    </w:rPr>
                    <w:t>PO Box 1064G North Balwyn Victoria 3104</w:t>
                  </w:r>
                </w:p>
              </w:tc>
            </w:tr>
            <w:tr w:rsidR="004254E5" w14:paraId="5E02A6B8" w14:textId="77777777" w:rsidTr="00C55583">
              <w:tc>
                <w:tcPr>
                  <w:tcW w:w="926" w:type="dxa"/>
                </w:tcPr>
                <w:p w14:paraId="63FD6B46" w14:textId="77777777" w:rsidR="00C45E02" w:rsidRPr="00595884" w:rsidRDefault="00274BC6" w:rsidP="00C45E02">
                  <w:pPr>
                    <w:spacing w:before="0" w:after="0" w:line="240" w:lineRule="auto"/>
                    <w:rPr>
                      <w:rFonts w:cs="Arial"/>
                      <w:b/>
                      <w:color w:val="000000"/>
                      <w:sz w:val="16"/>
                    </w:rPr>
                  </w:pPr>
                  <w:r w:rsidRPr="00595884">
                    <w:rPr>
                      <w:rFonts w:cs="Arial"/>
                      <w:b/>
                      <w:color w:val="000000"/>
                      <w:sz w:val="16"/>
                    </w:rPr>
                    <w:t>Mob</w:t>
                  </w:r>
                </w:p>
              </w:tc>
              <w:tc>
                <w:tcPr>
                  <w:tcW w:w="2793" w:type="dxa"/>
                </w:tcPr>
                <w:p w14:paraId="0C095B5D" w14:textId="77777777" w:rsidR="00C45E02" w:rsidRPr="00595884" w:rsidRDefault="00274BC6" w:rsidP="00C45E02">
                  <w:pPr>
                    <w:spacing w:before="0" w:after="0" w:line="240" w:lineRule="auto"/>
                    <w:rPr>
                      <w:rFonts w:cs="Arial"/>
                      <w:color w:val="000000"/>
                      <w:sz w:val="16"/>
                    </w:rPr>
                  </w:pPr>
                  <w:r w:rsidRPr="00595884">
                    <w:rPr>
                      <w:rFonts w:cs="Arial"/>
                      <w:color w:val="000000"/>
                      <w:sz w:val="16"/>
                    </w:rPr>
                    <w:t>0408 520 579 (Nick)</w:t>
                  </w:r>
                </w:p>
              </w:tc>
            </w:tr>
            <w:tr w:rsidR="004254E5" w14:paraId="5CCFCFAE" w14:textId="77777777" w:rsidTr="00C55583">
              <w:tc>
                <w:tcPr>
                  <w:tcW w:w="926" w:type="dxa"/>
                </w:tcPr>
                <w:p w14:paraId="26C2D9EE" w14:textId="77777777" w:rsidR="00C45E02" w:rsidRPr="00595884" w:rsidRDefault="00274BC6" w:rsidP="00C45E02">
                  <w:pPr>
                    <w:spacing w:before="0" w:after="0" w:line="240" w:lineRule="auto"/>
                    <w:rPr>
                      <w:rFonts w:cs="Arial"/>
                      <w:b/>
                      <w:color w:val="000000"/>
                      <w:sz w:val="16"/>
                    </w:rPr>
                  </w:pPr>
                  <w:r w:rsidRPr="00595884">
                    <w:rPr>
                      <w:rFonts w:cs="Arial"/>
                      <w:b/>
                      <w:color w:val="000000"/>
                      <w:sz w:val="16"/>
                    </w:rPr>
                    <w:t>Email</w:t>
                  </w:r>
                </w:p>
              </w:tc>
              <w:tc>
                <w:tcPr>
                  <w:tcW w:w="2793" w:type="dxa"/>
                </w:tcPr>
                <w:p w14:paraId="1C2F4752" w14:textId="36D93B71" w:rsidR="00C45E02" w:rsidRPr="00595884" w:rsidRDefault="00274BC6" w:rsidP="00C45E02">
                  <w:pPr>
                    <w:spacing w:before="0" w:after="0" w:line="240" w:lineRule="auto"/>
                    <w:rPr>
                      <w:rFonts w:cs="Arial"/>
                      <w:color w:val="000000"/>
                      <w:sz w:val="16"/>
                    </w:rPr>
                  </w:pPr>
                  <w:hyperlink r:id="rId14" w:history="1">
                    <w:r w:rsidRPr="00595884">
                      <w:rPr>
                        <w:rStyle w:val="Hyperlink"/>
                        <w:rFonts w:cs="Arial"/>
                        <w:sz w:val="16"/>
                      </w:rPr>
                      <w:t>ecos@ecosec.com.au</w:t>
                    </w:r>
                  </w:hyperlink>
                </w:p>
              </w:tc>
            </w:tr>
            <w:tr w:rsidR="004254E5" w14:paraId="01404902" w14:textId="77777777" w:rsidTr="00C55583">
              <w:tc>
                <w:tcPr>
                  <w:tcW w:w="926" w:type="dxa"/>
                </w:tcPr>
                <w:p w14:paraId="2B5F3D93" w14:textId="77777777" w:rsidR="00C45E02" w:rsidRPr="00595884" w:rsidRDefault="00274BC6" w:rsidP="00C45E02">
                  <w:pPr>
                    <w:spacing w:before="0" w:after="0" w:line="240" w:lineRule="auto"/>
                    <w:rPr>
                      <w:rFonts w:cs="Arial"/>
                      <w:b/>
                      <w:color w:val="000000"/>
                      <w:sz w:val="16"/>
                    </w:rPr>
                  </w:pPr>
                  <w:r w:rsidRPr="00595884">
                    <w:rPr>
                      <w:rFonts w:cs="Arial"/>
                      <w:b/>
                      <w:color w:val="000000"/>
                      <w:sz w:val="16"/>
                    </w:rPr>
                    <w:t>Web</w:t>
                  </w:r>
                </w:p>
              </w:tc>
              <w:tc>
                <w:tcPr>
                  <w:tcW w:w="2793" w:type="dxa"/>
                </w:tcPr>
                <w:p w14:paraId="7FC9F170" w14:textId="46CA3DCF" w:rsidR="00C45E02" w:rsidRPr="00595884" w:rsidRDefault="00274BC6" w:rsidP="00C45E02">
                  <w:pPr>
                    <w:spacing w:before="0" w:after="0" w:line="240" w:lineRule="auto"/>
                    <w:rPr>
                      <w:rFonts w:cs="Arial"/>
                      <w:color w:val="000000"/>
                      <w:sz w:val="16"/>
                    </w:rPr>
                  </w:pPr>
                  <w:hyperlink r:id="rId15" w:history="1">
                    <w:r w:rsidRPr="00595884">
                      <w:rPr>
                        <w:rStyle w:val="Hyperlink"/>
                        <w:rFonts w:cs="Arial"/>
                        <w:sz w:val="16"/>
                      </w:rPr>
                      <w:t>www.ecosec.com.au</w:t>
                    </w:r>
                  </w:hyperlink>
                </w:p>
              </w:tc>
            </w:tr>
          </w:tbl>
          <w:p w14:paraId="1A3D73D2" w14:textId="77777777" w:rsidR="00C45E02" w:rsidRPr="00595884" w:rsidRDefault="00C45E02" w:rsidP="00C45E02">
            <w:pPr>
              <w:spacing w:before="0"/>
              <w:rPr>
                <w:rFonts w:cs="Arial"/>
                <w:color w:val="000000"/>
                <w:sz w:val="16"/>
              </w:rPr>
            </w:pPr>
          </w:p>
        </w:tc>
      </w:tr>
      <w:tr w:rsidR="004254E5" w14:paraId="0B1CBAB3" w14:textId="77777777" w:rsidTr="00C45E02">
        <w:tc>
          <w:tcPr>
            <w:tcW w:w="1869" w:type="dxa"/>
          </w:tcPr>
          <w:p w14:paraId="51759B92" w14:textId="77777777" w:rsidR="00C45E02" w:rsidRPr="00595884" w:rsidRDefault="00274BC6" w:rsidP="00C45E02">
            <w:pPr>
              <w:rPr>
                <w:b/>
                <w:color w:val="000000"/>
                <w:sz w:val="16"/>
              </w:rPr>
            </w:pPr>
            <w:r w:rsidRPr="00595884">
              <w:rPr>
                <w:b/>
                <w:color w:val="000000"/>
                <w:sz w:val="16"/>
              </w:rPr>
              <w:t>File name</w:t>
            </w:r>
          </w:p>
        </w:tc>
        <w:tc>
          <w:tcPr>
            <w:tcW w:w="5784" w:type="dxa"/>
          </w:tcPr>
          <w:p w14:paraId="27DE02C3" w14:textId="0515B3CC" w:rsidR="00C45E02" w:rsidRPr="00595884" w:rsidRDefault="00274BC6" w:rsidP="009F068F">
            <w:pPr>
              <w:rPr>
                <w:noProof/>
                <w:color w:val="000000"/>
                <w:sz w:val="16"/>
                <w:szCs w:val="16"/>
              </w:rPr>
            </w:pPr>
            <w:r w:rsidRPr="00595884">
              <w:rPr>
                <w:noProof/>
                <w:color w:val="000000"/>
                <w:sz w:val="16"/>
                <w:szCs w:val="16"/>
              </w:rPr>
              <w:fldChar w:fldCharType="begin"/>
            </w:r>
            <w:r w:rsidRPr="00595884">
              <w:rPr>
                <w:noProof/>
                <w:color w:val="000000"/>
                <w:sz w:val="16"/>
                <w:szCs w:val="16"/>
              </w:rPr>
              <w:instrText xml:space="preserve"> FILENAME  \p  \* MERGEFORMAT </w:instrText>
            </w:r>
            <w:r w:rsidRPr="00595884">
              <w:rPr>
                <w:noProof/>
                <w:color w:val="000000"/>
                <w:sz w:val="16"/>
                <w:szCs w:val="16"/>
              </w:rPr>
              <w:fldChar w:fldCharType="separate"/>
            </w:r>
            <w:r w:rsidR="003132AF">
              <w:rPr>
                <w:noProof/>
                <w:color w:val="000000"/>
                <w:sz w:val="16"/>
                <w:szCs w:val="16"/>
              </w:rPr>
              <w:t>Y:\Ecos Projects\1344 - NHMRC Narrative reviews for RWQAC\Report - Final\Chemical Hazards\4B. Chemical Evidence Evaluation Report_Final_2.docx</w:t>
            </w:r>
            <w:r w:rsidRPr="00595884">
              <w:rPr>
                <w:noProof/>
                <w:color w:val="000000"/>
                <w:sz w:val="16"/>
                <w:szCs w:val="16"/>
              </w:rPr>
              <w:fldChar w:fldCharType="end"/>
            </w:r>
          </w:p>
        </w:tc>
      </w:tr>
      <w:tr w:rsidR="004254E5" w14:paraId="5183FA55" w14:textId="77777777" w:rsidTr="00C45E02">
        <w:tc>
          <w:tcPr>
            <w:tcW w:w="1869" w:type="dxa"/>
          </w:tcPr>
          <w:p w14:paraId="68331FEB" w14:textId="77777777" w:rsidR="00C45E02" w:rsidRPr="00595884" w:rsidRDefault="00274BC6" w:rsidP="00C45E02">
            <w:pPr>
              <w:rPr>
                <w:b/>
                <w:color w:val="000000"/>
                <w:sz w:val="16"/>
              </w:rPr>
            </w:pPr>
            <w:r w:rsidRPr="00595884">
              <w:rPr>
                <w:b/>
                <w:color w:val="000000"/>
                <w:sz w:val="16"/>
              </w:rPr>
              <w:t>Client</w:t>
            </w:r>
          </w:p>
        </w:tc>
        <w:tc>
          <w:tcPr>
            <w:tcW w:w="5784" w:type="dxa"/>
          </w:tcPr>
          <w:p w14:paraId="0C5C71BC" w14:textId="4DF428BF" w:rsidR="00C45E02" w:rsidRPr="00595884" w:rsidRDefault="00274BC6" w:rsidP="00C45E02">
            <w:pPr>
              <w:rPr>
                <w:color w:val="000000"/>
                <w:sz w:val="16"/>
              </w:rPr>
            </w:pPr>
            <w:r w:rsidRPr="00595884">
              <w:rPr>
                <w:color w:val="000000"/>
                <w:sz w:val="16"/>
              </w:rPr>
              <w:t xml:space="preserve">Dr </w:t>
            </w:r>
            <w:r w:rsidR="0048257F" w:rsidRPr="00595884">
              <w:rPr>
                <w:color w:val="000000"/>
                <w:sz w:val="16"/>
              </w:rPr>
              <w:t>Kristal Jackson</w:t>
            </w:r>
          </w:p>
        </w:tc>
      </w:tr>
      <w:tr w:rsidR="004254E5" w14:paraId="42E2402B" w14:textId="77777777" w:rsidTr="00C45E02">
        <w:tc>
          <w:tcPr>
            <w:tcW w:w="1869" w:type="dxa"/>
          </w:tcPr>
          <w:p w14:paraId="4F278231" w14:textId="77777777" w:rsidR="00C45E02" w:rsidRPr="00595884" w:rsidRDefault="00274BC6" w:rsidP="00C45E02">
            <w:pPr>
              <w:rPr>
                <w:b/>
                <w:color w:val="000000"/>
                <w:sz w:val="16"/>
              </w:rPr>
            </w:pPr>
            <w:r w:rsidRPr="00595884">
              <w:rPr>
                <w:b/>
                <w:color w:val="000000"/>
                <w:sz w:val="16"/>
              </w:rPr>
              <w:t>Name of organisation</w:t>
            </w:r>
          </w:p>
        </w:tc>
        <w:tc>
          <w:tcPr>
            <w:tcW w:w="5784" w:type="dxa"/>
          </w:tcPr>
          <w:p w14:paraId="39BA808C" w14:textId="612EB7DF" w:rsidR="00C45E02" w:rsidRPr="00595884" w:rsidRDefault="00274BC6" w:rsidP="00C45E02">
            <w:pPr>
              <w:rPr>
                <w:color w:val="000000"/>
                <w:sz w:val="16"/>
              </w:rPr>
            </w:pPr>
            <w:r w:rsidRPr="00595884">
              <w:rPr>
                <w:color w:val="000000"/>
                <w:sz w:val="16"/>
              </w:rPr>
              <w:t>National Health and Medical Research Council (NHMRC)</w:t>
            </w:r>
          </w:p>
        </w:tc>
      </w:tr>
      <w:tr w:rsidR="004254E5" w14:paraId="229FE39E" w14:textId="77777777" w:rsidTr="00C45E02">
        <w:tc>
          <w:tcPr>
            <w:tcW w:w="1869" w:type="dxa"/>
          </w:tcPr>
          <w:p w14:paraId="7CC48C22" w14:textId="77777777" w:rsidR="00C45E02" w:rsidRPr="00595884" w:rsidRDefault="00274BC6" w:rsidP="00C45E02">
            <w:pPr>
              <w:rPr>
                <w:b/>
                <w:color w:val="000000"/>
                <w:sz w:val="16"/>
              </w:rPr>
            </w:pPr>
            <w:r w:rsidRPr="00595884">
              <w:rPr>
                <w:b/>
                <w:color w:val="000000"/>
                <w:sz w:val="16"/>
              </w:rPr>
              <w:t>Name of project</w:t>
            </w:r>
          </w:p>
        </w:tc>
        <w:tc>
          <w:tcPr>
            <w:tcW w:w="5784" w:type="dxa"/>
          </w:tcPr>
          <w:p w14:paraId="1B40DE61" w14:textId="72C89EAE" w:rsidR="00C45E02" w:rsidRPr="00595884" w:rsidRDefault="00274BC6" w:rsidP="00C45E02">
            <w:pPr>
              <w:rPr>
                <w:color w:val="000000"/>
                <w:sz w:val="16"/>
              </w:rPr>
            </w:pPr>
            <w:r w:rsidRPr="00595884">
              <w:rPr>
                <w:color w:val="000000"/>
                <w:sz w:val="16"/>
              </w:rPr>
              <w:t xml:space="preserve">Evidence Evaluation </w:t>
            </w:r>
            <w:r w:rsidR="00F47F81" w:rsidRPr="00595884">
              <w:rPr>
                <w:color w:val="000000"/>
                <w:sz w:val="16"/>
              </w:rPr>
              <w:t xml:space="preserve">Report </w:t>
            </w:r>
            <w:r w:rsidR="0048257F" w:rsidRPr="00595884">
              <w:rPr>
                <w:color w:val="000000"/>
                <w:sz w:val="16"/>
              </w:rPr>
              <w:t xml:space="preserve">for </w:t>
            </w:r>
            <w:r w:rsidR="00BE0642" w:rsidRPr="00595884">
              <w:rPr>
                <w:color w:val="000000"/>
                <w:sz w:val="16"/>
              </w:rPr>
              <w:t xml:space="preserve">NHMRC </w:t>
            </w:r>
            <w:r w:rsidR="0048257F" w:rsidRPr="00595884">
              <w:rPr>
                <w:color w:val="000000"/>
                <w:sz w:val="16"/>
              </w:rPr>
              <w:t>Recreational Water Quality Advisory Committee</w:t>
            </w:r>
          </w:p>
        </w:tc>
      </w:tr>
      <w:tr w:rsidR="004254E5" w14:paraId="04D463B0" w14:textId="77777777" w:rsidTr="00C45E02">
        <w:tc>
          <w:tcPr>
            <w:tcW w:w="1869" w:type="dxa"/>
          </w:tcPr>
          <w:p w14:paraId="6AEBD699" w14:textId="77777777" w:rsidR="00C45E02" w:rsidRPr="00595884" w:rsidRDefault="00274BC6" w:rsidP="00C45E02">
            <w:pPr>
              <w:rPr>
                <w:b/>
                <w:color w:val="000000"/>
                <w:sz w:val="16"/>
              </w:rPr>
            </w:pPr>
            <w:r w:rsidRPr="00595884">
              <w:rPr>
                <w:b/>
                <w:color w:val="000000"/>
                <w:sz w:val="16"/>
              </w:rPr>
              <w:t>Name of document</w:t>
            </w:r>
          </w:p>
        </w:tc>
        <w:tc>
          <w:tcPr>
            <w:tcW w:w="5784" w:type="dxa"/>
          </w:tcPr>
          <w:p w14:paraId="7494A03E" w14:textId="7794794A" w:rsidR="00C45E02" w:rsidRPr="00595884" w:rsidRDefault="00274BC6" w:rsidP="009F068F">
            <w:pPr>
              <w:rPr>
                <w:color w:val="000000"/>
                <w:sz w:val="16"/>
              </w:rPr>
            </w:pPr>
            <w:r w:rsidRPr="00595884">
              <w:rPr>
                <w:noProof/>
                <w:color w:val="000000"/>
                <w:sz w:val="16"/>
              </w:rPr>
              <w:fldChar w:fldCharType="begin"/>
            </w:r>
            <w:r w:rsidRPr="00595884">
              <w:rPr>
                <w:noProof/>
                <w:color w:val="000000"/>
                <w:sz w:val="16"/>
              </w:rPr>
              <w:instrText xml:space="preserve"> FILENAME   \* MERGEFORMAT </w:instrText>
            </w:r>
            <w:r w:rsidRPr="00595884">
              <w:rPr>
                <w:noProof/>
                <w:color w:val="000000"/>
                <w:sz w:val="16"/>
              </w:rPr>
              <w:fldChar w:fldCharType="separate"/>
            </w:r>
            <w:r w:rsidR="003132AF">
              <w:rPr>
                <w:noProof/>
                <w:color w:val="000000"/>
                <w:sz w:val="16"/>
              </w:rPr>
              <w:t>4B.</w:t>
            </w:r>
            <w:r w:rsidR="003132AF" w:rsidRPr="003132AF">
              <w:rPr>
                <w:noProof/>
                <w:color w:val="000000"/>
                <w:sz w:val="16"/>
                <w:szCs w:val="16"/>
              </w:rPr>
              <w:t xml:space="preserve"> Chemical</w:t>
            </w:r>
            <w:r w:rsidR="003132AF">
              <w:rPr>
                <w:noProof/>
                <w:color w:val="000000"/>
                <w:sz w:val="16"/>
              </w:rPr>
              <w:t xml:space="preserve"> Evidence Evaluation Report_Final_2</w:t>
            </w:r>
            <w:r w:rsidRPr="00595884">
              <w:rPr>
                <w:color w:val="000000"/>
                <w:sz w:val="16"/>
              </w:rPr>
              <w:fldChar w:fldCharType="end"/>
            </w:r>
          </w:p>
        </w:tc>
      </w:tr>
      <w:tr w:rsidR="004254E5" w14:paraId="49439810" w14:textId="77777777" w:rsidTr="00C45E02">
        <w:tc>
          <w:tcPr>
            <w:tcW w:w="1869" w:type="dxa"/>
          </w:tcPr>
          <w:p w14:paraId="6300FF79" w14:textId="77777777" w:rsidR="00C45E02" w:rsidRPr="00595884" w:rsidRDefault="00274BC6" w:rsidP="00C45E02">
            <w:pPr>
              <w:rPr>
                <w:b/>
                <w:color w:val="000000"/>
                <w:sz w:val="16"/>
              </w:rPr>
            </w:pPr>
            <w:r w:rsidRPr="00595884">
              <w:rPr>
                <w:b/>
                <w:color w:val="000000"/>
                <w:sz w:val="16"/>
              </w:rPr>
              <w:t>Document version</w:t>
            </w:r>
          </w:p>
        </w:tc>
        <w:tc>
          <w:tcPr>
            <w:tcW w:w="5784" w:type="dxa"/>
          </w:tcPr>
          <w:p w14:paraId="3855A910" w14:textId="604F3414" w:rsidR="00C45E02" w:rsidRPr="00595884" w:rsidRDefault="00274BC6" w:rsidP="009F068F">
            <w:pPr>
              <w:rPr>
                <w:color w:val="000000"/>
                <w:sz w:val="16"/>
              </w:rPr>
            </w:pPr>
            <w:r w:rsidRPr="00595884">
              <w:rPr>
                <w:color w:val="000000"/>
                <w:sz w:val="16"/>
              </w:rPr>
              <w:t>1</w:t>
            </w:r>
            <w:r w:rsidR="00F47F81" w:rsidRPr="00595884">
              <w:rPr>
                <w:color w:val="000000"/>
                <w:sz w:val="16"/>
              </w:rPr>
              <w:t>.</w:t>
            </w:r>
            <w:r w:rsidR="00C55B9B">
              <w:rPr>
                <w:color w:val="000000"/>
                <w:sz w:val="16"/>
              </w:rPr>
              <w:t>2</w:t>
            </w:r>
          </w:p>
        </w:tc>
      </w:tr>
      <w:tr w:rsidR="004254E5" w14:paraId="7CB248CB" w14:textId="77777777" w:rsidTr="00C45E02">
        <w:tc>
          <w:tcPr>
            <w:tcW w:w="1869" w:type="dxa"/>
          </w:tcPr>
          <w:p w14:paraId="412D8211" w14:textId="77777777" w:rsidR="00837E00" w:rsidRPr="00595884" w:rsidRDefault="00274BC6" w:rsidP="00837E00">
            <w:pPr>
              <w:rPr>
                <w:rFonts w:cs="Arial"/>
                <w:b/>
                <w:color w:val="000000"/>
                <w:sz w:val="16"/>
              </w:rPr>
            </w:pPr>
            <w:r w:rsidRPr="00595884">
              <w:rPr>
                <w:rFonts w:cs="Arial"/>
                <w:b/>
                <w:color w:val="000000"/>
                <w:sz w:val="16"/>
              </w:rPr>
              <w:t>Citation</w:t>
            </w:r>
          </w:p>
        </w:tc>
        <w:tc>
          <w:tcPr>
            <w:tcW w:w="5784" w:type="dxa"/>
          </w:tcPr>
          <w:p w14:paraId="09E3A15E" w14:textId="0B48C94E" w:rsidR="00837E00" w:rsidRPr="00595884" w:rsidRDefault="00274BC6" w:rsidP="00737542">
            <w:pPr>
              <w:rPr>
                <w:rFonts w:cs="Arial"/>
                <w:color w:val="000000"/>
                <w:sz w:val="16"/>
              </w:rPr>
            </w:pPr>
            <w:r w:rsidRPr="00595884">
              <w:rPr>
                <w:rFonts w:cs="Arial"/>
                <w:color w:val="000000"/>
                <w:sz w:val="16"/>
              </w:rPr>
              <w:t>O’Connor, N.A.</w:t>
            </w:r>
            <w:r w:rsidR="00620DAE" w:rsidRPr="00595884">
              <w:rPr>
                <w:rFonts w:cs="Arial"/>
                <w:color w:val="000000"/>
                <w:sz w:val="16"/>
              </w:rPr>
              <w:t xml:space="preserve"> </w:t>
            </w:r>
            <w:r w:rsidRPr="00595884">
              <w:rPr>
                <w:rFonts w:cs="Arial"/>
                <w:color w:val="000000"/>
                <w:sz w:val="16"/>
              </w:rPr>
              <w:t>(20</w:t>
            </w:r>
            <w:r w:rsidR="0048257F" w:rsidRPr="00595884">
              <w:rPr>
                <w:rFonts w:cs="Arial"/>
                <w:color w:val="000000"/>
                <w:sz w:val="16"/>
              </w:rPr>
              <w:t>2</w:t>
            </w:r>
            <w:r w:rsidR="007345A4">
              <w:rPr>
                <w:rFonts w:cs="Arial"/>
                <w:color w:val="000000"/>
                <w:sz w:val="16"/>
              </w:rPr>
              <w:t>2</w:t>
            </w:r>
            <w:r w:rsidRPr="00595884">
              <w:rPr>
                <w:rFonts w:cs="Arial"/>
                <w:color w:val="000000"/>
                <w:sz w:val="16"/>
              </w:rPr>
              <w:t xml:space="preserve">).  </w:t>
            </w:r>
            <w:r w:rsidR="00111E63" w:rsidRPr="00595884">
              <w:rPr>
                <w:rFonts w:cs="Arial"/>
                <w:color w:val="000000"/>
                <w:sz w:val="16"/>
              </w:rPr>
              <w:t xml:space="preserve">Evidence Evaluation </w:t>
            </w:r>
            <w:r w:rsidR="00F47F81" w:rsidRPr="00595884">
              <w:rPr>
                <w:rFonts w:cs="Arial"/>
                <w:color w:val="000000"/>
                <w:sz w:val="16"/>
              </w:rPr>
              <w:t xml:space="preserve">Report </w:t>
            </w:r>
            <w:r w:rsidR="00737542" w:rsidRPr="00595884">
              <w:rPr>
                <w:rFonts w:cs="Arial"/>
                <w:color w:val="000000"/>
                <w:sz w:val="16"/>
              </w:rPr>
              <w:t xml:space="preserve">for Narrative Review in support of the NHMRC Recreational Water Quality Guidelines: </w:t>
            </w:r>
            <w:r w:rsidR="00E71B92" w:rsidRPr="00595884">
              <w:rPr>
                <w:rFonts w:cs="Arial"/>
                <w:color w:val="000000"/>
                <w:sz w:val="16"/>
              </w:rPr>
              <w:t>Chemical Hazards</w:t>
            </w:r>
            <w:r w:rsidRPr="00595884">
              <w:rPr>
                <w:rFonts w:cs="Arial"/>
                <w:color w:val="000000"/>
                <w:sz w:val="16"/>
              </w:rPr>
              <w:t xml:space="preserve">. </w:t>
            </w:r>
            <w:proofErr w:type="spellStart"/>
            <w:r w:rsidR="00913FCC" w:rsidRPr="00595884">
              <w:rPr>
                <w:rFonts w:cs="Arial"/>
                <w:color w:val="000000"/>
                <w:sz w:val="16"/>
              </w:rPr>
              <w:t>Ecos</w:t>
            </w:r>
            <w:proofErr w:type="spellEnd"/>
            <w:r w:rsidR="00913FCC" w:rsidRPr="00595884">
              <w:rPr>
                <w:rFonts w:cs="Arial"/>
                <w:color w:val="000000"/>
                <w:sz w:val="16"/>
              </w:rPr>
              <w:t xml:space="preserve"> Environmental Consulting, </w:t>
            </w:r>
            <w:r w:rsidR="00C55B9B">
              <w:rPr>
                <w:rFonts w:cs="Arial"/>
                <w:color w:val="000000"/>
                <w:sz w:val="16"/>
              </w:rPr>
              <w:t xml:space="preserve">June </w:t>
            </w:r>
            <w:r w:rsidRPr="00595884">
              <w:rPr>
                <w:rFonts w:cs="Arial"/>
                <w:color w:val="000000"/>
                <w:sz w:val="16"/>
              </w:rPr>
              <w:t>20</w:t>
            </w:r>
            <w:r w:rsidR="0048257F" w:rsidRPr="00595884">
              <w:rPr>
                <w:rFonts w:cs="Arial"/>
                <w:color w:val="000000"/>
                <w:sz w:val="16"/>
              </w:rPr>
              <w:t>2</w:t>
            </w:r>
            <w:r w:rsidR="00C55B9B">
              <w:rPr>
                <w:rFonts w:cs="Arial"/>
                <w:color w:val="000000"/>
                <w:sz w:val="16"/>
              </w:rPr>
              <w:t>2</w:t>
            </w:r>
          </w:p>
        </w:tc>
      </w:tr>
      <w:tr w:rsidR="004254E5" w14:paraId="225D927A" w14:textId="77777777" w:rsidTr="00C45E02">
        <w:tc>
          <w:tcPr>
            <w:tcW w:w="1869" w:type="dxa"/>
          </w:tcPr>
          <w:p w14:paraId="5E9F960B" w14:textId="77777777" w:rsidR="00837E00" w:rsidRPr="00595884" w:rsidRDefault="00274BC6" w:rsidP="00837E00">
            <w:pPr>
              <w:rPr>
                <w:b/>
                <w:color w:val="000000"/>
                <w:sz w:val="16"/>
              </w:rPr>
            </w:pPr>
            <w:r w:rsidRPr="00595884">
              <w:rPr>
                <w:b/>
                <w:color w:val="000000"/>
                <w:sz w:val="16"/>
              </w:rPr>
              <w:t>Cover</w:t>
            </w:r>
          </w:p>
        </w:tc>
        <w:tc>
          <w:tcPr>
            <w:tcW w:w="5784" w:type="dxa"/>
          </w:tcPr>
          <w:p w14:paraId="2B4C1F68" w14:textId="77777777" w:rsidR="00837E00" w:rsidRPr="00595884" w:rsidRDefault="00274BC6" w:rsidP="00837E00">
            <w:pPr>
              <w:rPr>
                <w:color w:val="000000"/>
                <w:sz w:val="16"/>
              </w:rPr>
            </w:pPr>
            <w:r w:rsidRPr="00595884">
              <w:rPr>
                <w:color w:val="000000"/>
                <w:sz w:val="16"/>
              </w:rPr>
              <w:t xml:space="preserve">Images and logos are © </w:t>
            </w:r>
            <w:proofErr w:type="spellStart"/>
            <w:r w:rsidRPr="00595884">
              <w:rPr>
                <w:color w:val="000000"/>
                <w:sz w:val="16"/>
              </w:rPr>
              <w:t>Ecos</w:t>
            </w:r>
            <w:proofErr w:type="spellEnd"/>
            <w:r w:rsidRPr="00595884">
              <w:rPr>
                <w:color w:val="000000"/>
                <w:sz w:val="16"/>
              </w:rPr>
              <w:t xml:space="preserve"> Environmental Consulting</w:t>
            </w:r>
          </w:p>
        </w:tc>
      </w:tr>
      <w:tr w:rsidR="004254E5" w14:paraId="5BB889B8" w14:textId="77777777" w:rsidTr="00C45E02">
        <w:tc>
          <w:tcPr>
            <w:tcW w:w="1869" w:type="dxa"/>
          </w:tcPr>
          <w:p w14:paraId="7AC926E9" w14:textId="77777777" w:rsidR="00837E00" w:rsidRPr="00595884" w:rsidRDefault="00274BC6" w:rsidP="00837E00">
            <w:pPr>
              <w:rPr>
                <w:b/>
                <w:color w:val="000000"/>
                <w:sz w:val="16"/>
              </w:rPr>
            </w:pPr>
            <w:r w:rsidRPr="00595884">
              <w:rPr>
                <w:b/>
                <w:color w:val="000000"/>
                <w:sz w:val="16"/>
              </w:rPr>
              <w:t>Sensitivity</w:t>
            </w:r>
          </w:p>
        </w:tc>
        <w:tc>
          <w:tcPr>
            <w:tcW w:w="5784" w:type="dxa"/>
          </w:tcPr>
          <w:p w14:paraId="11E6BB9F" w14:textId="42E13D5E" w:rsidR="00837E00" w:rsidRPr="00595884" w:rsidRDefault="00274BC6" w:rsidP="00837E00">
            <w:pPr>
              <w:rPr>
                <w:color w:val="000000"/>
                <w:sz w:val="16"/>
              </w:rPr>
            </w:pPr>
            <w:r w:rsidRPr="00595884">
              <w:rPr>
                <w:color w:val="000000"/>
                <w:sz w:val="16"/>
              </w:rPr>
              <w:t xml:space="preserve">This document and the information, ideas, concepts, methodologies, </w:t>
            </w:r>
            <w:r w:rsidR="00704440" w:rsidRPr="00595884">
              <w:rPr>
                <w:color w:val="000000"/>
                <w:sz w:val="16"/>
              </w:rPr>
              <w:t>technologies,</w:t>
            </w:r>
            <w:r w:rsidRPr="00595884">
              <w:rPr>
                <w:color w:val="000000"/>
                <w:sz w:val="16"/>
              </w:rPr>
              <w:t xml:space="preserve"> and other material it contains remain the intellectual property of </w:t>
            </w:r>
            <w:proofErr w:type="spellStart"/>
            <w:r w:rsidRPr="00595884">
              <w:rPr>
                <w:color w:val="000000"/>
                <w:sz w:val="16"/>
              </w:rPr>
              <w:t>Ecos</w:t>
            </w:r>
            <w:proofErr w:type="spellEnd"/>
            <w:r w:rsidRPr="00595884">
              <w:rPr>
                <w:color w:val="000000"/>
                <w:sz w:val="16"/>
              </w:rPr>
              <w:t xml:space="preserve"> Environmental Consulting P/L and </w:t>
            </w:r>
            <w:r w:rsidR="0048257F" w:rsidRPr="00595884">
              <w:rPr>
                <w:color w:val="000000"/>
                <w:sz w:val="16"/>
              </w:rPr>
              <w:t>NH</w:t>
            </w:r>
            <w:r w:rsidR="00D76DFB">
              <w:rPr>
                <w:color w:val="000000"/>
                <w:sz w:val="16"/>
              </w:rPr>
              <w:t>M</w:t>
            </w:r>
            <w:r w:rsidR="0048257F" w:rsidRPr="00595884">
              <w:rPr>
                <w:color w:val="000000"/>
                <w:sz w:val="16"/>
              </w:rPr>
              <w:t>RC</w:t>
            </w:r>
            <w:r w:rsidRPr="00595884">
              <w:rPr>
                <w:color w:val="000000"/>
                <w:sz w:val="16"/>
              </w:rPr>
              <w:t>.  The document is not to be copied without the express permission of at least one of the above parties.</w:t>
            </w:r>
          </w:p>
        </w:tc>
      </w:tr>
    </w:tbl>
    <w:p w14:paraId="2BCAEA9B" w14:textId="229716E6" w:rsidR="00713942" w:rsidRPr="00595884" w:rsidRDefault="00713942" w:rsidP="00713942">
      <w:pPr>
        <w:rPr>
          <w:highlight w:val="yellow"/>
        </w:rPr>
      </w:pPr>
    </w:p>
    <w:p w14:paraId="19564030" w14:textId="1CE9219E" w:rsidR="00713942" w:rsidRPr="00595884" w:rsidRDefault="00713942" w:rsidP="00713942">
      <w:pPr>
        <w:rPr>
          <w:highlight w:val="yellow"/>
        </w:rPr>
      </w:pPr>
    </w:p>
    <w:p w14:paraId="0BAC4C5D" w14:textId="6356AB0A" w:rsidR="009F5023" w:rsidRPr="0097602E" w:rsidRDefault="00274BC6" w:rsidP="00D41AAE">
      <w:pPr>
        <w:pStyle w:val="Non-numberedHeading1"/>
        <w:outlineLvl w:val="0"/>
      </w:pPr>
      <w:r w:rsidRPr="0097602E">
        <w:lastRenderedPageBreak/>
        <w:t>Executive Summary</w:t>
      </w:r>
    </w:p>
    <w:p w14:paraId="783AB82E" w14:textId="6EB26F09" w:rsidR="0097602E" w:rsidRPr="0097602E" w:rsidRDefault="00274BC6" w:rsidP="0097602E">
      <w:pPr>
        <w:rPr>
          <w:b/>
          <w:bCs/>
          <w:color w:val="008000"/>
        </w:rPr>
      </w:pPr>
      <w:bookmarkStart w:id="0" w:name="_Hlk72506086"/>
      <w:r w:rsidRPr="0097602E">
        <w:rPr>
          <w:b/>
          <w:bCs/>
          <w:color w:val="008000"/>
        </w:rPr>
        <w:t>Background</w:t>
      </w:r>
    </w:p>
    <w:p w14:paraId="675F754E" w14:textId="025F7434" w:rsidR="00B86DEF" w:rsidRPr="00595884" w:rsidRDefault="00274BC6" w:rsidP="0045465B">
      <w:r w:rsidRPr="00595884">
        <w:t xml:space="preserve">The National Health and Medical Research Council (NHMRC) commissioned </w:t>
      </w:r>
      <w:proofErr w:type="spellStart"/>
      <w:r w:rsidRPr="00595884">
        <w:t>Ecos</w:t>
      </w:r>
      <w:proofErr w:type="spellEnd"/>
      <w:r w:rsidRPr="00595884">
        <w:t xml:space="preserve"> Environmental Consulting P</w:t>
      </w:r>
      <w:r w:rsidR="00AF7656">
        <w:t xml:space="preserve">ty </w:t>
      </w:r>
      <w:r w:rsidRPr="00595884">
        <w:t>L</w:t>
      </w:r>
      <w:r w:rsidR="00AF7656">
        <w:t>td</w:t>
      </w:r>
      <w:r w:rsidRPr="00595884">
        <w:t xml:space="preserve"> (</w:t>
      </w:r>
      <w:proofErr w:type="spellStart"/>
      <w:r w:rsidRPr="00595884">
        <w:t>Ecos</w:t>
      </w:r>
      <w:proofErr w:type="spellEnd"/>
      <w:r w:rsidRPr="00595884">
        <w:t xml:space="preserve">) to conduct </w:t>
      </w:r>
      <w:r>
        <w:t xml:space="preserve">this Evidence Evaluation Report as part of a </w:t>
      </w:r>
      <w:r w:rsidRPr="00595884">
        <w:t>narrative review</w:t>
      </w:r>
      <w:r>
        <w:t xml:space="preserve"> on </w:t>
      </w:r>
      <w:r w:rsidR="0045465B">
        <w:t xml:space="preserve">chemical hazards in recreational waters </w:t>
      </w:r>
      <w:r w:rsidRPr="00595884">
        <w:t xml:space="preserve">that will be used to update the </w:t>
      </w:r>
      <w:r w:rsidRPr="00595884">
        <w:rPr>
          <w:i/>
          <w:iCs/>
        </w:rPr>
        <w:t xml:space="preserve">Guidelines for Managing Risks </w:t>
      </w:r>
      <w:r w:rsidR="00D211EB">
        <w:rPr>
          <w:i/>
          <w:iCs/>
        </w:rPr>
        <w:t>in</w:t>
      </w:r>
      <w:r w:rsidR="00D211EB" w:rsidRPr="00595884">
        <w:rPr>
          <w:i/>
          <w:iCs/>
        </w:rPr>
        <w:t xml:space="preserve"> </w:t>
      </w:r>
      <w:r w:rsidRPr="00595884">
        <w:rPr>
          <w:i/>
          <w:iCs/>
        </w:rPr>
        <w:t xml:space="preserve">Recreational Water </w:t>
      </w:r>
      <w:r w:rsidRPr="00B22E84">
        <w:rPr>
          <w:iCs/>
        </w:rPr>
        <w:fldChar w:fldCharType="begin"/>
      </w:r>
      <w:r w:rsidRPr="00B22E84">
        <w:rPr>
          <w:iCs/>
        </w:rPr>
        <w:instrText xml:space="preserve"> ADDIN ZOTERO_ITEM CSL_CITATION {"citationID":"5dXRZHiP","properties":{"formattedCitation":"(NHMRC, 2008)","plainCitation":"(NHMRC, 2008)","noteIndex":0},"citationItems":[{"id":1603,"uris":["http://zotero.org/users/148142/items/JQ2FU6EI"],"uri":["http://zotero.org/users/148142/items/JQ2FU6EI"],"itemData":{"id":1603,"type":"book","abstract":"Guidelines to protect human health from threats posed by the recreational use of coastal, estuarine and fresh waters, such as natural and artificial hazards.","event-place":"Canberra, A.C.T.","ISBN":"1-86496-272-0","language":"English","publisher":"National Health and Medical Research Council","publisher-place":"Canberra, A.C.T.","source":"Open WorldCat","title":"Guidelines for managing risks in recreational water. National Health and Medical Research Council (Australia)","URL":"http://www.nhmrc.gov.au/publications/synopses/_files/eh38.pdf","author":[{"literal":"NHMRC"}],"accessed":{"date-parts":[["2012",10,18]]},"issued":{"date-parts":[["2008"]]}}}],"schema":"https://github.com/citation-style-language/schema/raw/master/csl-citation.json"} </w:instrText>
      </w:r>
      <w:r w:rsidRPr="00B22E84">
        <w:rPr>
          <w:iCs/>
        </w:rPr>
        <w:fldChar w:fldCharType="separate"/>
      </w:r>
      <w:r w:rsidRPr="00B22E84">
        <w:rPr>
          <w:rFonts w:cs="Arial"/>
        </w:rPr>
        <w:t>(NHMRC, 2008)</w:t>
      </w:r>
      <w:r w:rsidRPr="00B22E84">
        <w:rPr>
          <w:iCs/>
        </w:rPr>
        <w:fldChar w:fldCharType="end"/>
      </w:r>
      <w:r w:rsidR="00B22E84" w:rsidRPr="00B22E84">
        <w:rPr>
          <w:iCs/>
        </w:rPr>
        <w:t xml:space="preserve"> (the Guidelines)</w:t>
      </w:r>
      <w:r w:rsidRPr="00B22E84">
        <w:t>.</w:t>
      </w:r>
    </w:p>
    <w:p w14:paraId="71BB187B" w14:textId="7A17736D" w:rsidR="0045465B" w:rsidRPr="00595884" w:rsidRDefault="00274BC6" w:rsidP="0045465B">
      <w:r>
        <w:t xml:space="preserve">Chemical hazards in recreational waters may arise from a range of point and non-point (diffuse) sources in the catchment area of the </w:t>
      </w:r>
      <w:proofErr w:type="gramStart"/>
      <w:r>
        <w:t>particular recreational</w:t>
      </w:r>
      <w:proofErr w:type="gramEnd"/>
      <w:r>
        <w:t xml:space="preserve"> water body. It is generally considered that exposures to chemical hazards in recreational waters will be low and usually within safe levels</w:t>
      </w:r>
      <w:r w:rsidR="00542ED3">
        <w:t xml:space="preserve"> (i.e. below guideline levels)</w:t>
      </w:r>
      <w:r>
        <w:t>.  However, for the update to the</w:t>
      </w:r>
      <w:r w:rsidR="00B22E84">
        <w:t xml:space="preserve"> Guidelines</w:t>
      </w:r>
      <w:r>
        <w:t xml:space="preserve">, </w:t>
      </w:r>
      <w:r w:rsidRPr="00595884">
        <w:t>NHMRC</w:t>
      </w:r>
      <w:r>
        <w:t xml:space="preserve"> considers it important to determine </w:t>
      </w:r>
      <w:r w:rsidR="0026492E">
        <w:t xml:space="preserve">the </w:t>
      </w:r>
      <w:proofErr w:type="gramStart"/>
      <w:r w:rsidR="0026492E">
        <w:t>current status</w:t>
      </w:r>
      <w:proofErr w:type="gramEnd"/>
      <w:r w:rsidR="0026492E">
        <w:t xml:space="preserve"> of the evidence for any potential human health risks resulting from exposure to chemical hazards in recreational water.</w:t>
      </w:r>
      <w:r w:rsidR="00D9765E">
        <w:t xml:space="preserve"> This includes reviewing </w:t>
      </w:r>
      <w:r>
        <w:t>any site-specific issues that could lead to higher exposures or types of chemical substances that may be problematic in most recreational water use situations</w:t>
      </w:r>
      <w:r w:rsidR="0026492E" w:rsidRPr="0026492E">
        <w:rPr>
          <w:szCs w:val="20"/>
        </w:rPr>
        <w:t xml:space="preserve"> </w:t>
      </w:r>
      <w:r w:rsidR="0018283C">
        <w:rPr>
          <w:szCs w:val="20"/>
        </w:rPr>
        <w:t>The</w:t>
      </w:r>
      <w:r w:rsidR="0026492E">
        <w:rPr>
          <w:szCs w:val="20"/>
        </w:rPr>
        <w:t xml:space="preserve"> review will provide NHMRC with an independent body of evidence to </w:t>
      </w:r>
      <w:r w:rsidR="00457C3D">
        <w:rPr>
          <w:szCs w:val="20"/>
        </w:rPr>
        <w:t>ensure</w:t>
      </w:r>
      <w:r w:rsidR="0026492E">
        <w:rPr>
          <w:szCs w:val="20"/>
        </w:rPr>
        <w:t xml:space="preserve"> that the revision of the Guidelines is based on the most up-to-date and relevant scientific literature.</w:t>
      </w:r>
    </w:p>
    <w:p w14:paraId="1F5C49C6" w14:textId="35661133" w:rsidR="0097602E" w:rsidRDefault="00274BC6" w:rsidP="00085457">
      <w:pPr>
        <w:rPr>
          <w:b/>
          <w:bCs/>
          <w:color w:val="008000"/>
        </w:rPr>
      </w:pPr>
      <w:r w:rsidRPr="0097602E">
        <w:rPr>
          <w:b/>
          <w:bCs/>
          <w:color w:val="008000"/>
        </w:rPr>
        <w:t>Methods</w:t>
      </w:r>
    </w:p>
    <w:p w14:paraId="1F506B84" w14:textId="6D465AEF" w:rsidR="001929FF" w:rsidRDefault="00274BC6" w:rsidP="001929FF">
      <w:r w:rsidRPr="001929FF">
        <w:t>The review process followed a research protocol methodology developed specifically for this narrative review</w:t>
      </w:r>
      <w:r w:rsidR="0004776B" w:rsidRPr="001929FF">
        <w:t xml:space="preserve"> </w:t>
      </w:r>
      <w:r w:rsidR="0004776B" w:rsidRPr="001929FF">
        <w:fldChar w:fldCharType="begin"/>
      </w:r>
      <w:r w:rsidR="0004776B" w:rsidRPr="001929FF">
        <w:instrText xml:space="preserve"> ADDIN ZOTERO_ITEM CSL_CITATION {"citationID":"NUlRqxxq","properties":{"formattedCitation":"(O\\uc0\\u8217{}Connor, 2020)","plainCitation":"(O’Connor, 2020)","noteIndex":0},"citationItems":[{"id":17347,"uris":["http://zotero.org/users/148142/items/7MEF2GKB"],"uri":["http://zotero.org/users/148142/items/7MEF2GKB"],"itemData":{"id":17347,"type":"report","title":"Research Protocols for Narrative Reviews in support of the NHMRC Recreational Water Quality Guidelines: Chemical Hazards. Ecos Environmental Consulting, September 2020","author":[{"family":"O'Connor","given":"N.A."}],"issued":{"date-parts":[["2020"]]}}}],"schema":"https://github.com/citation-style-language/schema/raw/master/csl-citation.json"} </w:instrText>
      </w:r>
      <w:r w:rsidR="0004776B" w:rsidRPr="001929FF">
        <w:fldChar w:fldCharType="separate"/>
      </w:r>
      <w:r w:rsidR="0004776B" w:rsidRPr="001929FF">
        <w:rPr>
          <w:rFonts w:cs="Arial"/>
        </w:rPr>
        <w:t>(O’Connor, 2020)</w:t>
      </w:r>
      <w:r w:rsidR="0004776B" w:rsidRPr="001929FF">
        <w:fldChar w:fldCharType="end"/>
      </w:r>
      <w:r w:rsidR="0004776B" w:rsidRPr="001929FF">
        <w:t xml:space="preserve">.  The protocol </w:t>
      </w:r>
      <w:r w:rsidRPr="001929FF">
        <w:t xml:space="preserve">involved a systematic search of several international databases of primary scientific research literature (Scopus, Web of Science, PubMed, Google Scholar) using search strings constructed from an extensive key word list. In addition to primary research literature, a search of grey literature, including existing recreational water quality guidelines and/or reports, was undertaken. </w:t>
      </w:r>
      <w:r>
        <w:t xml:space="preserve"> </w:t>
      </w:r>
    </w:p>
    <w:p w14:paraId="42E284A4" w14:textId="2BEE86CB" w:rsidR="001929FF" w:rsidRPr="0073337D" w:rsidRDefault="00274BC6" w:rsidP="001929FF">
      <w:r>
        <w:t>The search strings were constructed to identify literature citations relevant to a primary research question and three secondary research questions supplied by NHM</w:t>
      </w:r>
      <w:r w:rsidR="00D76DFB">
        <w:t>R</w:t>
      </w:r>
      <w:r>
        <w:t xml:space="preserve">C’s </w:t>
      </w:r>
      <w:r w:rsidRPr="0073337D">
        <w:t xml:space="preserve">Recreational Water </w:t>
      </w:r>
      <w:r w:rsidR="00F3033F">
        <w:t xml:space="preserve">Quality </w:t>
      </w:r>
      <w:r w:rsidRPr="0073337D">
        <w:t>Advisory Committee</w:t>
      </w:r>
      <w:r w:rsidR="00B83DE2">
        <w:t xml:space="preserve"> (</w:t>
      </w:r>
      <w:r w:rsidR="00B22E84">
        <w:t>the Committee</w:t>
      </w:r>
      <w:r w:rsidR="00B83DE2">
        <w:t>)</w:t>
      </w:r>
      <w:r w:rsidRPr="0073337D">
        <w:t xml:space="preserve">.  The primary research question </w:t>
      </w:r>
      <w:r w:rsidR="0073337D" w:rsidRPr="0073337D">
        <w:t>was</w:t>
      </w:r>
      <w:r w:rsidRPr="0073337D">
        <w:t xml:space="preserve">: </w:t>
      </w:r>
    </w:p>
    <w:p w14:paraId="491893F4" w14:textId="601E4791" w:rsidR="001929FF" w:rsidRPr="0073337D" w:rsidRDefault="00274BC6" w:rsidP="0073337D">
      <w:pPr>
        <w:ind w:left="720"/>
        <w:rPr>
          <w:i/>
        </w:rPr>
      </w:pPr>
      <w:r w:rsidRPr="001929FF">
        <w:rPr>
          <w:i/>
        </w:rPr>
        <w:t xml:space="preserve">Are exposures to the </w:t>
      </w:r>
      <w:r w:rsidR="0073337D" w:rsidRPr="0073337D">
        <w:rPr>
          <w:i/>
        </w:rPr>
        <w:t xml:space="preserve">following </w:t>
      </w:r>
      <w:r w:rsidRPr="001929FF">
        <w:rPr>
          <w:i/>
        </w:rPr>
        <w:t>hazards</w:t>
      </w:r>
      <w:r w:rsidR="0073337D" w:rsidRPr="0073337D">
        <w:rPr>
          <w:i/>
        </w:rPr>
        <w:t>:</w:t>
      </w:r>
      <w:r w:rsidRPr="001929FF">
        <w:rPr>
          <w:i/>
        </w:rPr>
        <w:t xml:space="preserve"> </w:t>
      </w:r>
      <w:r w:rsidR="00055C0D">
        <w:rPr>
          <w:i/>
        </w:rPr>
        <w:t>p</w:t>
      </w:r>
      <w:r w:rsidR="00055C0D" w:rsidRPr="00055C0D">
        <w:rPr>
          <w:bCs/>
          <w:i/>
        </w:rPr>
        <w:t>er</w:t>
      </w:r>
      <w:r w:rsidR="00055C0D">
        <w:rPr>
          <w:bCs/>
          <w:i/>
        </w:rPr>
        <w:t>- and p</w:t>
      </w:r>
      <w:r w:rsidR="00055C0D" w:rsidRPr="00055C0D">
        <w:rPr>
          <w:bCs/>
          <w:i/>
        </w:rPr>
        <w:t xml:space="preserve">olyfluoroalkyl </w:t>
      </w:r>
      <w:r w:rsidR="00055C0D">
        <w:rPr>
          <w:bCs/>
          <w:i/>
        </w:rPr>
        <w:t>s</w:t>
      </w:r>
      <w:r w:rsidR="00055C0D" w:rsidRPr="00055C0D">
        <w:rPr>
          <w:bCs/>
          <w:i/>
        </w:rPr>
        <w:t>ubstances</w:t>
      </w:r>
      <w:r w:rsidR="00055C0D" w:rsidRPr="00055C0D">
        <w:rPr>
          <w:i/>
        </w:rPr>
        <w:t xml:space="preserve"> </w:t>
      </w:r>
      <w:r w:rsidR="00055C0D">
        <w:rPr>
          <w:i/>
        </w:rPr>
        <w:t>(</w:t>
      </w:r>
      <w:r w:rsidR="0073337D" w:rsidRPr="0073337D">
        <w:rPr>
          <w:i/>
        </w:rPr>
        <w:t>PFAS</w:t>
      </w:r>
      <w:r w:rsidR="00055C0D">
        <w:rPr>
          <w:i/>
        </w:rPr>
        <w:t>)</w:t>
      </w:r>
      <w:r w:rsidR="0073337D" w:rsidRPr="0073337D">
        <w:rPr>
          <w:i/>
        </w:rPr>
        <w:t>, pesticides, nanomaterials, hydrocarbons</w:t>
      </w:r>
      <w:r w:rsidR="00542ED3">
        <w:rPr>
          <w:i/>
        </w:rPr>
        <w:t xml:space="preserve">, </w:t>
      </w:r>
      <w:r w:rsidR="0073337D" w:rsidRPr="0073337D">
        <w:rPr>
          <w:i/>
        </w:rPr>
        <w:t xml:space="preserve">metals, </w:t>
      </w:r>
      <w:r w:rsidR="00055C0D">
        <w:rPr>
          <w:i/>
        </w:rPr>
        <w:t>endocrine-disrupting chemicals (</w:t>
      </w:r>
      <w:r w:rsidR="0073337D" w:rsidRPr="0073337D">
        <w:rPr>
          <w:i/>
        </w:rPr>
        <w:t>EDCs</w:t>
      </w:r>
      <w:r w:rsidR="00055C0D">
        <w:rPr>
          <w:i/>
        </w:rPr>
        <w:t>)</w:t>
      </w:r>
      <w:r w:rsidR="0073337D" w:rsidRPr="0073337D">
        <w:rPr>
          <w:i/>
        </w:rPr>
        <w:t>, surfactants, or combinations thereof,</w:t>
      </w:r>
      <w:r w:rsidRPr="001929FF">
        <w:rPr>
          <w:i/>
        </w:rPr>
        <w:t xml:space="preserve"> likely to give rise to any significant human health risks given that chemical concentrations in recreational waters are generally low?</w:t>
      </w:r>
    </w:p>
    <w:p w14:paraId="7CB297C5" w14:textId="050E5483" w:rsidR="0073337D" w:rsidRPr="008F7938" w:rsidRDefault="00274BC6" w:rsidP="0073337D">
      <w:r w:rsidRPr="008F7938">
        <w:t xml:space="preserve">The secondary questions </w:t>
      </w:r>
      <w:r>
        <w:t>were</w:t>
      </w:r>
      <w:r w:rsidRPr="008F7938">
        <w:t xml:space="preserve">: </w:t>
      </w:r>
    </w:p>
    <w:p w14:paraId="6A755DFE" w14:textId="77777777" w:rsidR="0073337D" w:rsidRPr="008F7938" w:rsidRDefault="00274BC6" w:rsidP="0073337D">
      <w:pPr>
        <w:pStyle w:val="ListParagraph"/>
        <w:numPr>
          <w:ilvl w:val="0"/>
          <w:numId w:val="7"/>
        </w:numPr>
        <w:rPr>
          <w:i/>
          <w:lang w:val="en-AU"/>
        </w:rPr>
      </w:pPr>
      <w:r w:rsidRPr="008F7938">
        <w:rPr>
          <w:i/>
          <w:lang w:val="en-AU"/>
        </w:rPr>
        <w:t>What chemicals (that potentially pose a risk to humans) are present at elevated concentrations in recreational waters and what are their sources?</w:t>
      </w:r>
    </w:p>
    <w:p w14:paraId="33A3DC2D" w14:textId="77777777" w:rsidR="0073337D" w:rsidRPr="008F7938" w:rsidRDefault="00274BC6" w:rsidP="0073337D">
      <w:pPr>
        <w:pStyle w:val="ListParagraph"/>
        <w:numPr>
          <w:ilvl w:val="0"/>
          <w:numId w:val="7"/>
        </w:numPr>
        <w:rPr>
          <w:i/>
          <w:iCs/>
          <w:lang w:val="en-AU"/>
        </w:rPr>
      </w:pPr>
      <w:r w:rsidRPr="008F7938">
        <w:rPr>
          <w:i/>
          <w:iCs/>
          <w:lang w:val="en-AU"/>
        </w:rPr>
        <w:t>What chemicals are of most concern due to their physicochemical properties which may enhance their uptake via dermal, inhalation or ingestion exposure pathways? How can we adjust exposure assumptions for these chemicals?</w:t>
      </w:r>
    </w:p>
    <w:p w14:paraId="30426A56" w14:textId="77777777" w:rsidR="0073337D" w:rsidRPr="008F7938" w:rsidRDefault="00274BC6" w:rsidP="0073337D">
      <w:pPr>
        <w:pStyle w:val="ListParagraph"/>
        <w:numPr>
          <w:ilvl w:val="0"/>
          <w:numId w:val="7"/>
        </w:numPr>
        <w:rPr>
          <w:i/>
          <w:iCs/>
          <w:lang w:val="en-AU"/>
        </w:rPr>
      </w:pPr>
      <w:r w:rsidRPr="008F7938">
        <w:rPr>
          <w:i/>
          <w:iCs/>
          <w:lang w:val="en-AU"/>
        </w:rPr>
        <w:t>Should the focus be on “hot spots” i.e. site-specific rather than chemical specific, and/or include periodic toxicity screening of sites to complement chemical testing?</w:t>
      </w:r>
    </w:p>
    <w:p w14:paraId="43CABDA4" w14:textId="770F6A3A" w:rsidR="000F322F" w:rsidRDefault="00274BC6" w:rsidP="00085457">
      <w:r w:rsidRPr="008F7938">
        <w:t>To assist in appropriate assessment of the literature, the search results were classified into two broad categories</w:t>
      </w:r>
      <w:r>
        <w:t>:</w:t>
      </w:r>
      <w:r w:rsidRPr="008F7938">
        <w:t xml:space="preserve"> </w:t>
      </w:r>
    </w:p>
    <w:p w14:paraId="6D6A8A9E" w14:textId="40CF05A1" w:rsidR="000F322F" w:rsidRDefault="00274BC6" w:rsidP="00700FDF">
      <w:pPr>
        <w:pStyle w:val="ListParagraph"/>
        <w:numPr>
          <w:ilvl w:val="0"/>
          <w:numId w:val="20"/>
        </w:numPr>
      </w:pPr>
      <w:r>
        <w:t>p</w:t>
      </w:r>
      <w:r w:rsidR="00982C5A" w:rsidRPr="008F7938">
        <w:t xml:space="preserve">rimary </w:t>
      </w:r>
      <w:r>
        <w:t>s</w:t>
      </w:r>
      <w:r w:rsidR="00982C5A" w:rsidRPr="008F7938">
        <w:t>tudies that were largely peer-reviewed journal articles</w:t>
      </w:r>
      <w:r>
        <w:t>,</w:t>
      </w:r>
      <w:r w:rsidR="00982C5A" w:rsidRPr="008F7938">
        <w:t xml:space="preserve"> </w:t>
      </w:r>
      <w:proofErr w:type="gramStart"/>
      <w:r w:rsidR="00982C5A" w:rsidRPr="008F7938">
        <w:t>and</w:t>
      </w:r>
      <w:r>
        <w:t>;</w:t>
      </w:r>
      <w:proofErr w:type="gramEnd"/>
      <w:r w:rsidR="00982C5A" w:rsidRPr="008F7938">
        <w:t xml:space="preserve"> </w:t>
      </w:r>
    </w:p>
    <w:p w14:paraId="2A88EF08" w14:textId="06173C66" w:rsidR="00E30133" w:rsidRDefault="00274BC6" w:rsidP="00700FDF">
      <w:pPr>
        <w:pStyle w:val="ListParagraph"/>
        <w:numPr>
          <w:ilvl w:val="0"/>
          <w:numId w:val="20"/>
        </w:numPr>
      </w:pPr>
      <w:r>
        <w:t>existing g</w:t>
      </w:r>
      <w:r w:rsidR="00982C5A" w:rsidRPr="008F7938">
        <w:t xml:space="preserve">uidelines </w:t>
      </w:r>
      <w:r w:rsidR="000F322F">
        <w:t>that</w:t>
      </w:r>
      <w:r w:rsidR="000F322F" w:rsidRPr="008F7938">
        <w:t xml:space="preserve"> </w:t>
      </w:r>
      <w:r w:rsidR="00982C5A" w:rsidRPr="008F7938">
        <w:t>were mainly regulatory guidelines or technical guidance publications produced by federal and state agencies in support of regulatory compliance goals</w:t>
      </w:r>
      <w:r w:rsidR="000F322F">
        <w:t>. S</w:t>
      </w:r>
      <w:r w:rsidR="00982C5A" w:rsidRPr="008F7938">
        <w:t>uch literature is also commonly included in the classification “</w:t>
      </w:r>
      <w:r w:rsidR="00C37BFE">
        <w:t>g</w:t>
      </w:r>
      <w:r w:rsidR="00982C5A" w:rsidRPr="008F7938">
        <w:t xml:space="preserve">rey </w:t>
      </w:r>
      <w:r w:rsidR="00C37BFE">
        <w:t>l</w:t>
      </w:r>
      <w:r w:rsidR="00982C5A" w:rsidRPr="008F7938">
        <w:t>iterature</w:t>
      </w:r>
      <w:r>
        <w:t>”</w:t>
      </w:r>
      <w:r w:rsidR="00982C5A" w:rsidRPr="008F7938">
        <w:t xml:space="preserve">. </w:t>
      </w:r>
    </w:p>
    <w:p w14:paraId="7867BD05" w14:textId="29338A49" w:rsidR="0045465B" w:rsidRPr="009C74C3" w:rsidRDefault="00274BC6" w:rsidP="00E30133">
      <w:r w:rsidRPr="009C74C3">
        <w:t>The p</w:t>
      </w:r>
      <w:r w:rsidR="00C44544" w:rsidRPr="009C74C3">
        <w:t xml:space="preserve">ublication date-range for inclusion was from </w:t>
      </w:r>
      <w:r w:rsidR="001E4CD0">
        <w:t xml:space="preserve">1 </w:t>
      </w:r>
      <w:r w:rsidR="00542ED3">
        <w:t xml:space="preserve">January </w:t>
      </w:r>
      <w:r w:rsidR="00C44544" w:rsidRPr="009C74C3">
        <w:t>2003</w:t>
      </w:r>
      <w:r w:rsidRPr="009C74C3">
        <w:t xml:space="preserve"> to</w:t>
      </w:r>
      <w:r w:rsidR="00542ED3">
        <w:t xml:space="preserve"> </w:t>
      </w:r>
      <w:r w:rsidR="001E4CD0">
        <w:t xml:space="preserve">30 </w:t>
      </w:r>
      <w:r w:rsidR="00542ED3">
        <w:t>October 30</w:t>
      </w:r>
      <w:proofErr w:type="gramStart"/>
      <w:r w:rsidRPr="009C74C3">
        <w:t xml:space="preserve"> 2020</w:t>
      </w:r>
      <w:proofErr w:type="gramEnd"/>
      <w:r w:rsidRPr="009C74C3">
        <w:t>.</w:t>
      </w:r>
    </w:p>
    <w:p w14:paraId="6CF47BBC" w14:textId="5374A3EB" w:rsidR="00E30133" w:rsidRDefault="00274BC6" w:rsidP="009C74C3">
      <w:r w:rsidRPr="00595884">
        <w:t xml:space="preserve">The methodological quality of </w:t>
      </w:r>
      <w:r w:rsidR="00C37BFE">
        <w:t>g</w:t>
      </w:r>
      <w:r w:rsidRPr="00595884">
        <w:t>uidelines was assessed using administrative and technical criteria via an assessment tool</w:t>
      </w:r>
      <w:r>
        <w:t xml:space="preserve"> </w:t>
      </w:r>
      <w:r w:rsidR="00D211EB">
        <w:t xml:space="preserve">which was developed </w:t>
      </w:r>
      <w:r w:rsidR="00C37BFE">
        <w:t xml:space="preserve">by NHMRC </w:t>
      </w:r>
      <w:r w:rsidRPr="00595884">
        <w:t xml:space="preserve">based on common domains </w:t>
      </w:r>
      <w:r w:rsidR="000F322F">
        <w:t xml:space="preserve">for </w:t>
      </w:r>
      <w:r w:rsidRPr="00595884">
        <w:t xml:space="preserve">assessing guidelines and systematic reviews </w:t>
      </w:r>
      <w:r>
        <w:t>such as the</w:t>
      </w:r>
      <w:r w:rsidRPr="00595884">
        <w:t xml:space="preserve"> </w:t>
      </w:r>
      <w:r w:rsidR="000F322F" w:rsidRPr="00E27C9B">
        <w:t>A</w:t>
      </w:r>
      <w:r w:rsidR="000F322F" w:rsidRPr="000F322F">
        <w:t>ppraisal of </w:t>
      </w:r>
      <w:r w:rsidR="000F322F" w:rsidRPr="00E27C9B">
        <w:t>G</w:t>
      </w:r>
      <w:r w:rsidR="000F322F" w:rsidRPr="000F322F">
        <w:t>uidelines for </w:t>
      </w:r>
      <w:r w:rsidR="000F322F" w:rsidRPr="00E27C9B">
        <w:t>R</w:t>
      </w:r>
      <w:r w:rsidR="000F322F" w:rsidRPr="000F322F">
        <w:t>esearch and </w:t>
      </w:r>
      <w:r w:rsidR="000F322F" w:rsidRPr="00E27C9B">
        <w:t>E</w:t>
      </w:r>
      <w:r w:rsidR="000F322F" w:rsidRPr="000F322F">
        <w:t xml:space="preserve">valuation </w:t>
      </w:r>
      <w:r w:rsidR="000F322F">
        <w:t>(</w:t>
      </w:r>
      <w:hyperlink r:id="rId16" w:history="1">
        <w:r w:rsidRPr="00595884">
          <w:rPr>
            <w:rStyle w:val="Hyperlink"/>
            <w:color w:val="auto"/>
            <w:u w:val="none"/>
          </w:rPr>
          <w:t>AGREE</w:t>
        </w:r>
        <w:r w:rsidR="000F322F">
          <w:rPr>
            <w:rStyle w:val="Hyperlink"/>
            <w:color w:val="auto"/>
            <w:u w:val="none"/>
          </w:rPr>
          <w:t>)</w:t>
        </w:r>
        <w:r w:rsidRPr="00595884">
          <w:rPr>
            <w:rStyle w:val="Hyperlink"/>
            <w:color w:val="auto"/>
            <w:u w:val="none"/>
          </w:rPr>
          <w:t xml:space="preserve"> tool</w:t>
        </w:r>
      </w:hyperlink>
      <w:r>
        <w:rPr>
          <w:rStyle w:val="Hyperlink"/>
          <w:color w:val="auto"/>
          <w:u w:val="none"/>
        </w:rPr>
        <w:t>.</w:t>
      </w:r>
      <w:r w:rsidR="009C74C3">
        <w:rPr>
          <w:rStyle w:val="Hyperlink"/>
          <w:color w:val="auto"/>
          <w:u w:val="none"/>
        </w:rPr>
        <w:t xml:space="preserve">  </w:t>
      </w:r>
      <w:r>
        <w:t xml:space="preserve">For </w:t>
      </w:r>
      <w:r w:rsidR="00C37BFE">
        <w:t>p</w:t>
      </w:r>
      <w:r>
        <w:t xml:space="preserve">rimary </w:t>
      </w:r>
      <w:r w:rsidR="00C37BFE">
        <w:t>s</w:t>
      </w:r>
      <w:r>
        <w:t>tudies, a critical appraisal tool was used</w:t>
      </w:r>
      <w:r w:rsidR="00D211EB">
        <w:t xml:space="preserve"> to undertake a quality assessment. The tool</w:t>
      </w:r>
      <w:r>
        <w:t xml:space="preserve"> was based on </w:t>
      </w:r>
      <w:r w:rsidR="009C74C3">
        <w:t xml:space="preserve">approaches described </w:t>
      </w:r>
      <w:r w:rsidR="00D211EB">
        <w:t xml:space="preserve">by </w:t>
      </w:r>
      <w:r w:rsidR="000F322F">
        <w:t>the Critical Appraisal Skills Programme (</w:t>
      </w:r>
      <w:r>
        <w:t>CASP</w:t>
      </w:r>
      <w:r w:rsidR="00D211EB">
        <w:t>, Oxford CVTH, 2020</w:t>
      </w:r>
      <w:r w:rsidR="000F322F">
        <w:t>)</w:t>
      </w:r>
      <w:r w:rsidR="00D211EB">
        <w:t xml:space="preserve"> with a risk-of-bias rating </w:t>
      </w:r>
      <w:proofErr w:type="gramStart"/>
      <w:r w:rsidR="00D211EB">
        <w:t>similar to</w:t>
      </w:r>
      <w:proofErr w:type="gramEnd"/>
      <w:r w:rsidR="00D211EB">
        <w:t xml:space="preserve"> that used in</w:t>
      </w:r>
      <w:r>
        <w:t xml:space="preserve"> the US Office of Health Assessment and Translation (OHAT) </w:t>
      </w:r>
      <w:r w:rsidR="00700316">
        <w:t>R</w:t>
      </w:r>
      <w:r>
        <w:t>isk</w:t>
      </w:r>
      <w:r w:rsidR="00700316">
        <w:t>-</w:t>
      </w:r>
      <w:r>
        <w:t>of</w:t>
      </w:r>
      <w:r w:rsidR="00700316">
        <w:t>-B</w:t>
      </w:r>
      <w:r>
        <w:t xml:space="preserve">ias </w:t>
      </w:r>
      <w:r w:rsidR="00700316">
        <w:t>T</w:t>
      </w:r>
      <w:r>
        <w:t>ool</w:t>
      </w:r>
      <w:r w:rsidR="00D211EB">
        <w:t xml:space="preserve"> (OHAT, 2015)</w:t>
      </w:r>
      <w:r>
        <w:t>.</w:t>
      </w:r>
    </w:p>
    <w:p w14:paraId="0C2DFF1F" w14:textId="4F3E94A0" w:rsidR="00BA1458" w:rsidRDefault="00274BC6" w:rsidP="00BA1458">
      <w:r w:rsidRPr="00595884">
        <w:t xml:space="preserve">A process based on the OHAT approach to using the </w:t>
      </w:r>
      <w:r w:rsidR="00B83DE2" w:rsidRPr="00B83DE2">
        <w:t>Grading of Recommendations Assessment, Development and Evaluation</w:t>
      </w:r>
      <w:r w:rsidR="00B83DE2">
        <w:t xml:space="preserve"> (</w:t>
      </w:r>
      <w:r w:rsidRPr="00595884">
        <w:t>GRADE</w:t>
      </w:r>
      <w:r w:rsidR="00B83DE2">
        <w:t>)</w:t>
      </w:r>
      <w:r w:rsidRPr="00595884">
        <w:t xml:space="preserve"> system was used to assess the certainty of the body of evidence from </w:t>
      </w:r>
      <w:r w:rsidR="001A3BA0">
        <w:t>p</w:t>
      </w:r>
      <w:r w:rsidRPr="00595884">
        <w:t xml:space="preserve">rimary </w:t>
      </w:r>
      <w:r w:rsidR="001A3BA0">
        <w:t>s</w:t>
      </w:r>
      <w:r w:rsidRPr="00595884">
        <w:t>tudies</w:t>
      </w:r>
      <w:r>
        <w:t xml:space="preserve"> and permit upgrading or downgrading </w:t>
      </w:r>
      <w:r w:rsidR="00B83DE2">
        <w:t xml:space="preserve">of </w:t>
      </w:r>
      <w:r>
        <w:t>the body of evidence</w:t>
      </w:r>
      <w:r w:rsidR="00B83DE2">
        <w:t>,</w:t>
      </w:r>
      <w:r>
        <w:t xml:space="preserve"> as appropriate</w:t>
      </w:r>
      <w:r w:rsidR="00D211EB">
        <w:t xml:space="preserve"> (OHAT, 2019)</w:t>
      </w:r>
      <w:r w:rsidRPr="00595884">
        <w:t>.</w:t>
      </w:r>
      <w:r>
        <w:t xml:space="preserve">  For </w:t>
      </w:r>
      <w:r w:rsidR="006544A2">
        <w:t>existing g</w:t>
      </w:r>
      <w:r>
        <w:t xml:space="preserve">uidelines, </w:t>
      </w:r>
      <w:r w:rsidRPr="00595884">
        <w:t>the assessment methodology for the body of evidence drew on the GRADE approach as well as the outcomes of relevance to the primary and secondary research questions</w:t>
      </w:r>
      <w:r>
        <w:t>.</w:t>
      </w:r>
    </w:p>
    <w:p w14:paraId="1C930603" w14:textId="735D3BA7" w:rsidR="0097602E" w:rsidRPr="0097602E" w:rsidRDefault="00274BC6" w:rsidP="00085457">
      <w:pPr>
        <w:rPr>
          <w:b/>
          <w:bCs/>
          <w:color w:val="008000"/>
        </w:rPr>
      </w:pPr>
      <w:r w:rsidRPr="0097602E">
        <w:rPr>
          <w:b/>
          <w:bCs/>
          <w:color w:val="008000"/>
        </w:rPr>
        <w:t>Results</w:t>
      </w:r>
    </w:p>
    <w:p w14:paraId="030DF8C4" w14:textId="5E832B36" w:rsidR="00B071BD" w:rsidRDefault="00274BC6" w:rsidP="00B071BD">
      <w:r w:rsidRPr="009C74C3">
        <w:t>Searches for grey literature identified 40 documents</w:t>
      </w:r>
      <w:r>
        <w:t xml:space="preserve">.  </w:t>
      </w:r>
      <w:r w:rsidRPr="009C74C3">
        <w:t xml:space="preserve">Each document was evaluated for its relevance to the primary and secondary research questions and </w:t>
      </w:r>
      <w:r w:rsidR="008C0042">
        <w:t>excluded</w:t>
      </w:r>
      <w:r w:rsidR="00B83DE2">
        <w:t xml:space="preserve"> </w:t>
      </w:r>
      <w:r w:rsidRPr="009C74C3">
        <w:t xml:space="preserve">if not relevant.  This process identified 11 </w:t>
      </w:r>
      <w:r>
        <w:t xml:space="preserve">guideline </w:t>
      </w:r>
      <w:r w:rsidRPr="009C74C3">
        <w:t>documents relevant to the primary and secondary research questions</w:t>
      </w:r>
      <w:r>
        <w:t xml:space="preserve">.  Following quality assessments, </w:t>
      </w:r>
      <w:r w:rsidR="00D211EB">
        <w:t>four</w:t>
      </w:r>
      <w:r w:rsidR="00D211EB" w:rsidRPr="009C74C3">
        <w:t xml:space="preserve"> </w:t>
      </w:r>
      <w:r w:rsidRPr="009C74C3">
        <w:t xml:space="preserve">documents </w:t>
      </w:r>
      <w:r>
        <w:t xml:space="preserve">were considered ineligible on quality grounds, leaving </w:t>
      </w:r>
      <w:r w:rsidR="00D211EB">
        <w:t xml:space="preserve">seven </w:t>
      </w:r>
      <w:r>
        <w:t>guidelines for evaluation and synthesis</w:t>
      </w:r>
      <w:r w:rsidRPr="009C74C3">
        <w:t xml:space="preserve">.  </w:t>
      </w:r>
    </w:p>
    <w:p w14:paraId="4A0D1E3E" w14:textId="67758720" w:rsidR="00B071BD" w:rsidRDefault="00274BC6" w:rsidP="00B071BD">
      <w:r>
        <w:t xml:space="preserve">For </w:t>
      </w:r>
      <w:r w:rsidR="008C0042">
        <w:t>p</w:t>
      </w:r>
      <w:r>
        <w:t xml:space="preserve">rimary </w:t>
      </w:r>
      <w:r w:rsidR="008C0042">
        <w:t>s</w:t>
      </w:r>
      <w:r>
        <w:t>tudies, s</w:t>
      </w:r>
      <w:r w:rsidRPr="00B071BD">
        <w:t>earch results by database yielded 3523 citations initially</w:t>
      </w:r>
      <w:r w:rsidR="00324FAF">
        <w:t>.</w:t>
      </w:r>
      <w:r w:rsidRPr="00B071BD">
        <w:t xml:space="preserve"> </w:t>
      </w:r>
      <w:r w:rsidR="00324FAF">
        <w:t>A</w:t>
      </w:r>
      <w:r w:rsidRPr="00B071BD">
        <w:t xml:space="preserve">fter removal of duplicates </w:t>
      </w:r>
      <w:r>
        <w:t xml:space="preserve">the number was </w:t>
      </w:r>
      <w:r w:rsidRPr="00B071BD">
        <w:t>1769</w:t>
      </w:r>
      <w:r>
        <w:t xml:space="preserve">.  Further screening for relevancy identified </w:t>
      </w:r>
      <w:r w:rsidR="00D211EB">
        <w:t>six</w:t>
      </w:r>
      <w:r>
        <w:t xml:space="preserve"> studies</w:t>
      </w:r>
      <w:r w:rsidR="00324FAF">
        <w:t>.</w:t>
      </w:r>
      <w:r>
        <w:t xml:space="preserve"> </w:t>
      </w:r>
      <w:r w:rsidR="00324FAF">
        <w:t xml:space="preserve">These </w:t>
      </w:r>
      <w:r>
        <w:t>were assessed for eligibility (quality</w:t>
      </w:r>
      <w:r w:rsidR="00324FAF">
        <w:t>,</w:t>
      </w:r>
      <w:r>
        <w:t xml:space="preserve"> including </w:t>
      </w:r>
      <w:r w:rsidR="00B25EC0">
        <w:t>r</w:t>
      </w:r>
      <w:r>
        <w:t>isk</w:t>
      </w:r>
      <w:r w:rsidR="00B25EC0">
        <w:t xml:space="preserve"> </w:t>
      </w:r>
      <w:r>
        <w:t>of</w:t>
      </w:r>
      <w:r w:rsidR="00B25EC0">
        <w:t xml:space="preserve"> b</w:t>
      </w:r>
      <w:r>
        <w:t>ias)</w:t>
      </w:r>
      <w:r w:rsidR="00770659">
        <w:t>,</w:t>
      </w:r>
      <w:r>
        <w:t xml:space="preserve"> which resulted in </w:t>
      </w:r>
      <w:r w:rsidR="00D211EB">
        <w:t xml:space="preserve">three </w:t>
      </w:r>
      <w:r>
        <w:t>studies remaining for evaluation and synthesis.</w:t>
      </w:r>
    </w:p>
    <w:p w14:paraId="73DCF8CB" w14:textId="3986CD67" w:rsidR="0097602E" w:rsidRPr="0097602E" w:rsidRDefault="00274BC6" w:rsidP="005B6ACD">
      <w:pPr>
        <w:keepNext/>
        <w:rPr>
          <w:b/>
          <w:bCs/>
          <w:color w:val="008000"/>
        </w:rPr>
      </w:pPr>
      <w:r w:rsidRPr="0097602E">
        <w:rPr>
          <w:b/>
          <w:bCs/>
          <w:color w:val="008000"/>
        </w:rPr>
        <w:t>Conclusions</w:t>
      </w:r>
    </w:p>
    <w:bookmarkEnd w:id="0"/>
    <w:p w14:paraId="0382B48D" w14:textId="77041DE3" w:rsidR="0097602E" w:rsidRPr="00733D99" w:rsidRDefault="00274BC6" w:rsidP="00085457">
      <w:pPr>
        <w:rPr>
          <w:i/>
          <w:iCs/>
        </w:rPr>
      </w:pPr>
      <w:r w:rsidRPr="00733D99">
        <w:rPr>
          <w:i/>
          <w:iCs/>
        </w:rPr>
        <w:t>Primary research question</w:t>
      </w:r>
    </w:p>
    <w:p w14:paraId="793A738B" w14:textId="798B3162" w:rsidR="00733D99" w:rsidRDefault="00274BC6" w:rsidP="00733D99">
      <w:r>
        <w:t xml:space="preserve">The body of evidence assembled was inadequate to answer the primary research question. It did not provide any significant quantitative or qualitative information on the relationship between concentrations of the listed chemical hazards in recreational waters and human health risks. The minor exceptions were single studies on heavy metals and </w:t>
      </w:r>
      <w:r w:rsidRPr="00324FAF">
        <w:t>polycyclic aromatic hydrocarbon</w:t>
      </w:r>
      <w:r>
        <w:t>s (PAHs) at a tiny number of locations globally.</w:t>
      </w:r>
    </w:p>
    <w:p w14:paraId="526F86DE" w14:textId="6C033BD4" w:rsidR="00733D99" w:rsidRDefault="00274BC6" w:rsidP="00733D99">
      <w:r w:rsidRPr="00290D35">
        <w:t>The GRADE quality assessment</w:t>
      </w:r>
      <w:r>
        <w:t xml:space="preserve"> for the primary studies literature</w:t>
      </w:r>
      <w:r w:rsidRPr="00290D35">
        <w:t xml:space="preserve"> was “Low” and this led to a final certainty rating of “limited confidence in the reported associations”</w:t>
      </w:r>
      <w:r w:rsidR="00F736E0">
        <w:t>.</w:t>
      </w:r>
      <w:r>
        <w:t xml:space="preserve"> </w:t>
      </w:r>
      <w:r w:rsidR="00324FAF">
        <w:t xml:space="preserve">This was </w:t>
      </w:r>
      <w:r>
        <w:t>mainly due to the small quantity of relevant studies of satisfactory quality that were identified</w:t>
      </w:r>
      <w:r w:rsidRPr="00290D35">
        <w:t xml:space="preserve">.  None of the factors that could influence a change in the grading of </w:t>
      </w:r>
      <w:r w:rsidR="00324FAF">
        <w:t xml:space="preserve">the </w:t>
      </w:r>
      <w:r w:rsidRPr="00290D35">
        <w:t>certainty of the body of evidence were identified</w:t>
      </w:r>
    </w:p>
    <w:p w14:paraId="1B95D7BB" w14:textId="527713E5" w:rsidR="00733D99" w:rsidRDefault="00274BC6" w:rsidP="00733D99">
      <w:r>
        <w:t>The evidence base from the guidelines was also limited as the</w:t>
      </w:r>
      <w:r w:rsidR="00324FAF">
        <w:t>y</w:t>
      </w:r>
      <w:r>
        <w:t xml:space="preserve"> generally only addressed broad chemical classes and did not clearly identify the source of information upon which their conclusions were drawn</w:t>
      </w:r>
      <w:r w:rsidR="00324FAF">
        <w:t>.</w:t>
      </w:r>
      <w:r>
        <w:t xml:space="preserve"> </w:t>
      </w:r>
      <w:r w:rsidR="00324FAF">
        <w:t>T</w:t>
      </w:r>
      <w:r>
        <w:t xml:space="preserve">he exception </w:t>
      </w:r>
      <w:r w:rsidR="00324FAF">
        <w:t>was</w:t>
      </w:r>
      <w:r>
        <w:t xml:space="preserve"> the NHM</w:t>
      </w:r>
      <w:r w:rsidR="00D76DFB">
        <w:t>R</w:t>
      </w:r>
      <w:r>
        <w:t>C</w:t>
      </w:r>
      <w:r w:rsidR="002457D1">
        <w:t xml:space="preserve"> </w:t>
      </w:r>
      <w:r w:rsidR="004313F3" w:rsidRPr="00E27C9B">
        <w:rPr>
          <w:i/>
        </w:rPr>
        <w:t xml:space="preserve">Guidance on </w:t>
      </w:r>
      <w:r w:rsidR="004313F3">
        <w:rPr>
          <w:i/>
        </w:rPr>
        <w:t>P</w:t>
      </w:r>
      <w:r w:rsidR="00324FAF" w:rsidRPr="00E27C9B">
        <w:rPr>
          <w:i/>
        </w:rPr>
        <w:t>er</w:t>
      </w:r>
      <w:r w:rsidR="00C33434">
        <w:rPr>
          <w:i/>
        </w:rPr>
        <w:t>-</w:t>
      </w:r>
      <w:r w:rsidR="00324FAF" w:rsidRPr="00E27C9B">
        <w:rPr>
          <w:i/>
        </w:rPr>
        <w:t xml:space="preserve"> and </w:t>
      </w:r>
      <w:r w:rsidR="004313F3">
        <w:rPr>
          <w:i/>
        </w:rPr>
        <w:t>P</w:t>
      </w:r>
      <w:r w:rsidR="00324FAF" w:rsidRPr="00E27C9B">
        <w:rPr>
          <w:i/>
        </w:rPr>
        <w:t xml:space="preserve">olyfluoroalkyl </w:t>
      </w:r>
      <w:r w:rsidR="004313F3">
        <w:rPr>
          <w:i/>
        </w:rPr>
        <w:t>S</w:t>
      </w:r>
      <w:r w:rsidR="00324FAF" w:rsidRPr="00E27C9B">
        <w:rPr>
          <w:i/>
        </w:rPr>
        <w:t>ubstances (</w:t>
      </w:r>
      <w:r w:rsidRPr="00E27C9B">
        <w:rPr>
          <w:i/>
        </w:rPr>
        <w:t>PFAS</w:t>
      </w:r>
      <w:r w:rsidR="00324FAF" w:rsidRPr="00E27C9B">
        <w:rPr>
          <w:i/>
        </w:rPr>
        <w:t>)</w:t>
      </w:r>
      <w:r w:rsidRPr="00E27C9B">
        <w:rPr>
          <w:i/>
        </w:rPr>
        <w:t xml:space="preserve"> </w:t>
      </w:r>
      <w:r w:rsidR="004313F3" w:rsidRPr="00E27C9B">
        <w:rPr>
          <w:i/>
        </w:rPr>
        <w:t xml:space="preserve">in </w:t>
      </w:r>
      <w:r w:rsidR="004313F3">
        <w:rPr>
          <w:i/>
        </w:rPr>
        <w:t>R</w:t>
      </w:r>
      <w:r w:rsidR="004313F3" w:rsidRPr="00E27C9B">
        <w:rPr>
          <w:i/>
        </w:rPr>
        <w:t xml:space="preserve">ecreational </w:t>
      </w:r>
      <w:r w:rsidR="004313F3">
        <w:rPr>
          <w:i/>
        </w:rPr>
        <w:t>W</w:t>
      </w:r>
      <w:r w:rsidR="004313F3" w:rsidRPr="00E27C9B">
        <w:rPr>
          <w:i/>
        </w:rPr>
        <w:t>ater</w:t>
      </w:r>
      <w:r>
        <w:t xml:space="preserve"> </w:t>
      </w:r>
      <w:r w:rsidR="004313F3">
        <w:t>(</w:t>
      </w:r>
      <w:r w:rsidR="005F554B">
        <w:t>NHM</w:t>
      </w:r>
      <w:r w:rsidR="00566AC4">
        <w:t>R</w:t>
      </w:r>
      <w:r w:rsidR="005F554B">
        <w:t xml:space="preserve">C, </w:t>
      </w:r>
      <w:r w:rsidR="004313F3">
        <w:t xml:space="preserve">2019), </w:t>
      </w:r>
      <w:r>
        <w:t>which cited two recent Australian studies.</w:t>
      </w:r>
    </w:p>
    <w:p w14:paraId="5F3882D3" w14:textId="5C863280" w:rsidR="00733D99" w:rsidRPr="00733D99" w:rsidRDefault="00274BC6" w:rsidP="00733D99">
      <w:pPr>
        <w:rPr>
          <w:i/>
          <w:iCs/>
        </w:rPr>
      </w:pPr>
      <w:r w:rsidRPr="00733D99">
        <w:rPr>
          <w:i/>
          <w:iCs/>
        </w:rPr>
        <w:t>Secondary research questions</w:t>
      </w:r>
    </w:p>
    <w:p w14:paraId="3DBB1F33" w14:textId="4D2409ED" w:rsidR="00733D99" w:rsidRPr="00A53498" w:rsidRDefault="00274BC6" w:rsidP="00733D99">
      <w:r w:rsidRPr="00A53498">
        <w:t xml:space="preserve">Evidence for the secondary research questions was limited to </w:t>
      </w:r>
      <w:r w:rsidR="008C0042">
        <w:t xml:space="preserve">existing </w:t>
      </w:r>
      <w:r w:rsidRPr="00A53498">
        <w:t xml:space="preserve">guidelines </w:t>
      </w:r>
      <w:r w:rsidR="006D2309">
        <w:t xml:space="preserve">or reviews </w:t>
      </w:r>
      <w:r w:rsidRPr="00A53498">
        <w:t xml:space="preserve">as </w:t>
      </w:r>
      <w:r w:rsidR="008C0042">
        <w:t>outlined in the research protocol</w:t>
      </w:r>
      <w:r w:rsidRPr="00A53498">
        <w:t>, with different suites of guidelines relevant depending on the research question.</w:t>
      </w:r>
    </w:p>
    <w:p w14:paraId="35EF6F9E" w14:textId="7A9DAA47" w:rsidR="00733D99" w:rsidRDefault="00274BC6" w:rsidP="00733D99">
      <w:r w:rsidRPr="00A53498">
        <w:t xml:space="preserve">In relation to secondary </w:t>
      </w:r>
      <w:r w:rsidR="00076DC2">
        <w:t xml:space="preserve">research </w:t>
      </w:r>
      <w:r w:rsidRPr="00A53498">
        <w:t xml:space="preserve">question 1, from the review of guidelines, it was concluded that there was a lack of specificity about which chemicals harmful to human health might be present at elevated concentrations in recreational waters and their sources. </w:t>
      </w:r>
    </w:p>
    <w:p w14:paraId="5344BD19" w14:textId="21A2B094" w:rsidR="00733D99" w:rsidRDefault="00274BC6" w:rsidP="00733D99">
      <w:r w:rsidRPr="00470B07">
        <w:t xml:space="preserve">For secondary </w:t>
      </w:r>
      <w:r w:rsidR="00076DC2">
        <w:t xml:space="preserve">research </w:t>
      </w:r>
      <w:r w:rsidRPr="00470B07">
        <w:t>question 2,</w:t>
      </w:r>
      <w:r w:rsidRPr="00733D99">
        <w:t xml:space="preserve"> </w:t>
      </w:r>
      <w:r w:rsidRPr="00470B07">
        <w:t>the</w:t>
      </w:r>
      <w:r>
        <w:t>re was limited</w:t>
      </w:r>
      <w:r w:rsidRPr="00470B07">
        <w:t xml:space="preserve"> discussion </w:t>
      </w:r>
      <w:r>
        <w:t xml:space="preserve">in the guideline </w:t>
      </w:r>
      <w:r w:rsidRPr="006D2309">
        <w:t>literature on</w:t>
      </w:r>
      <w:r w:rsidRPr="00470B07">
        <w:t xml:space="preserve"> physicochemical properties </w:t>
      </w:r>
      <w:r>
        <w:t xml:space="preserve">of </w:t>
      </w:r>
      <w:r w:rsidRPr="00470B07">
        <w:t xml:space="preserve">chemical </w:t>
      </w:r>
      <w:r>
        <w:t xml:space="preserve">hazards </w:t>
      </w:r>
      <w:r w:rsidRPr="00470B07">
        <w:t>that may enhance uptake</w:t>
      </w:r>
      <w:r>
        <w:t>. I</w:t>
      </w:r>
      <w:r w:rsidRPr="00470B07">
        <w:t>t is likely that better information can be obtained in the broader literature on chemical environmental fate beyond the recreational water use context of the current review.</w:t>
      </w:r>
      <w:r w:rsidRPr="00733D99">
        <w:t xml:space="preserve"> </w:t>
      </w:r>
      <w:r w:rsidRPr="00316807">
        <w:t xml:space="preserve">In addition to the above comments, there was also no information in the guideline literature on methods for adjusting exposure assumptions for problematic chemicals.  </w:t>
      </w:r>
    </w:p>
    <w:p w14:paraId="113531FF" w14:textId="4FA17B88" w:rsidR="00733D99" w:rsidRDefault="00274BC6" w:rsidP="00733D99">
      <w:r>
        <w:t xml:space="preserve">In relation to secondary </w:t>
      </w:r>
      <w:r w:rsidR="00923F25">
        <w:t xml:space="preserve">research </w:t>
      </w:r>
      <w:r>
        <w:t xml:space="preserve">question 3, the guideline literature contained no </w:t>
      </w:r>
      <w:r w:rsidRPr="00D0525C">
        <w:t>information</w:t>
      </w:r>
      <w:r>
        <w:t xml:space="preserve"> to support a focus on “hot spots” or site-specific over chemical-specific assessment apart from some indirect </w:t>
      </w:r>
      <w:r w:rsidRPr="001D00BC">
        <w:t xml:space="preserve">commentary </w:t>
      </w:r>
      <w:r>
        <w:t>in some of the reviewed documents.</w:t>
      </w:r>
    </w:p>
    <w:p w14:paraId="55313E86" w14:textId="60E35D70" w:rsidR="00733D99" w:rsidRPr="00733D99" w:rsidRDefault="00274BC6" w:rsidP="00733D99">
      <w:pPr>
        <w:rPr>
          <w:b/>
          <w:bCs/>
          <w:color w:val="008000"/>
        </w:rPr>
      </w:pPr>
      <w:r>
        <w:rPr>
          <w:b/>
          <w:bCs/>
          <w:color w:val="008000"/>
        </w:rPr>
        <w:t>Summary of conclusions</w:t>
      </w:r>
    </w:p>
    <w:p w14:paraId="5D388C45" w14:textId="77532A3C" w:rsidR="00733D99" w:rsidRPr="00F41A4A" w:rsidRDefault="00274BC6" w:rsidP="00733D99">
      <w:r w:rsidRPr="00F41A4A">
        <w:t xml:space="preserve">An evaluation of evidence contained in four guidelines and three qualitative research primary studies indicated that the available evidence was inadequate to determine if exposure to listed chemical hazards (PFAS, pesticides, nanomaterials, hydrocarbons, heavy metals, EDCs, surfactants, or combinations) could give rise to any significant human health risks in recreational waters, given that such exposures are generally low. </w:t>
      </w:r>
    </w:p>
    <w:p w14:paraId="41BFBEE3" w14:textId="0088C435" w:rsidR="00733D99" w:rsidRDefault="00274BC6" w:rsidP="00733D99">
      <w:r w:rsidRPr="00F41A4A">
        <w:t xml:space="preserve">An evaluation of </w:t>
      </w:r>
      <w:r w:rsidR="00837EBF">
        <w:t xml:space="preserve">the </w:t>
      </w:r>
      <w:r w:rsidRPr="00F41A4A">
        <w:t xml:space="preserve">evidence contained in seven guidelines indicated that the evidence in the </w:t>
      </w:r>
      <w:r w:rsidR="006D2309">
        <w:t xml:space="preserve">available </w:t>
      </w:r>
      <w:r w:rsidRPr="00F41A4A">
        <w:t>guideline literature lacked sufficient detail to determine which chemicals harmful to human health might be present at elevated concentrations in recreational waters and their sources.  Similarly, evidence for the physicochemical properties of chemical hazards that may enhance uptake via dermal, inhalation or ingestion exposure pathways was generally limited. Furthermore, there was no information in the guideline literature on methods for adjusting exposure assumptions for problematic chemicals.</w:t>
      </w:r>
    </w:p>
    <w:p w14:paraId="2EF32E20" w14:textId="77777777" w:rsidR="008E7800" w:rsidRPr="00595884" w:rsidRDefault="008E7800" w:rsidP="00733D99">
      <w:pPr>
        <w:rPr>
          <w:i/>
        </w:rPr>
      </w:pPr>
    </w:p>
    <w:p w14:paraId="3982AF82" w14:textId="77777777" w:rsidR="00A207BE" w:rsidRPr="00595884" w:rsidRDefault="00274BC6" w:rsidP="00D41AAE">
      <w:pPr>
        <w:pStyle w:val="Non-numberedHeading1"/>
        <w:outlineLvl w:val="0"/>
      </w:pPr>
      <w:r w:rsidRPr="00595884">
        <w:t>Table of Contents</w:t>
      </w:r>
    </w:p>
    <w:p w14:paraId="5F03967A" w14:textId="11DBB4A9" w:rsidR="00F021A6" w:rsidRDefault="00274BC6">
      <w:pPr>
        <w:pStyle w:val="TOC1"/>
        <w:rPr>
          <w:rFonts w:asciiTheme="minorHAnsi" w:eastAsiaTheme="minorEastAsia" w:hAnsiTheme="minorHAnsi" w:cstheme="minorBidi"/>
          <w:noProof/>
          <w:sz w:val="22"/>
          <w:szCs w:val="22"/>
        </w:rPr>
      </w:pPr>
      <w:r w:rsidRPr="00595884">
        <w:rPr>
          <w:rFonts w:cs="Arial"/>
          <w:szCs w:val="20"/>
          <w:highlight w:val="yellow"/>
        </w:rPr>
        <w:fldChar w:fldCharType="begin"/>
      </w:r>
      <w:r w:rsidR="00AE2161" w:rsidRPr="00595884">
        <w:rPr>
          <w:rFonts w:cs="Arial"/>
          <w:szCs w:val="20"/>
          <w:highlight w:val="yellow"/>
        </w:rPr>
        <w:instrText xml:space="preserve"> TOC  \* MERGEFORMAT </w:instrText>
      </w:r>
      <w:r w:rsidRPr="00595884">
        <w:rPr>
          <w:rFonts w:cs="Arial"/>
          <w:szCs w:val="20"/>
          <w:highlight w:val="yellow"/>
        </w:rPr>
        <w:fldChar w:fldCharType="separate"/>
      </w:r>
      <w:r w:rsidR="00F021A6">
        <w:rPr>
          <w:noProof/>
        </w:rPr>
        <w:t>1</w:t>
      </w:r>
      <w:r w:rsidR="00F021A6">
        <w:rPr>
          <w:rFonts w:asciiTheme="minorHAnsi" w:eastAsiaTheme="minorEastAsia" w:hAnsiTheme="minorHAnsi" w:cstheme="minorBidi"/>
          <w:noProof/>
          <w:sz w:val="22"/>
          <w:szCs w:val="22"/>
        </w:rPr>
        <w:tab/>
      </w:r>
      <w:r w:rsidR="00F021A6">
        <w:rPr>
          <w:noProof/>
        </w:rPr>
        <w:t>Introduction</w:t>
      </w:r>
      <w:r w:rsidR="00F021A6">
        <w:rPr>
          <w:noProof/>
        </w:rPr>
        <w:tab/>
      </w:r>
      <w:r w:rsidR="00F021A6">
        <w:rPr>
          <w:noProof/>
        </w:rPr>
        <w:fldChar w:fldCharType="begin"/>
      </w:r>
      <w:r w:rsidR="00F021A6">
        <w:rPr>
          <w:noProof/>
        </w:rPr>
        <w:instrText xml:space="preserve"> PAGEREF _Toc106811104 \h </w:instrText>
      </w:r>
      <w:r w:rsidR="00F021A6">
        <w:rPr>
          <w:noProof/>
        </w:rPr>
      </w:r>
      <w:r w:rsidR="00F021A6">
        <w:rPr>
          <w:noProof/>
        </w:rPr>
        <w:fldChar w:fldCharType="separate"/>
      </w:r>
      <w:r w:rsidR="003132AF">
        <w:rPr>
          <w:noProof/>
        </w:rPr>
        <w:t>12</w:t>
      </w:r>
      <w:r w:rsidR="00F021A6">
        <w:rPr>
          <w:noProof/>
        </w:rPr>
        <w:fldChar w:fldCharType="end"/>
      </w:r>
    </w:p>
    <w:p w14:paraId="27B0AE66" w14:textId="22B9B983" w:rsidR="00F021A6" w:rsidRDefault="00F021A6">
      <w:pPr>
        <w:pStyle w:val="TOC2"/>
        <w:tabs>
          <w:tab w:val="left" w:pos="880"/>
          <w:tab w:val="right" w:leader="dot" w:pos="7643"/>
        </w:tabs>
        <w:rPr>
          <w:rFonts w:asciiTheme="minorHAnsi" w:eastAsiaTheme="minorEastAsia" w:hAnsiTheme="minorHAnsi" w:cstheme="minorBidi"/>
          <w:noProof/>
          <w:sz w:val="22"/>
          <w:szCs w:val="22"/>
        </w:rPr>
      </w:pPr>
      <w:r>
        <w:rPr>
          <w:noProof/>
        </w:rPr>
        <w:t>1.1.</w:t>
      </w:r>
      <w:r>
        <w:rPr>
          <w:rFonts w:asciiTheme="minorHAnsi" w:eastAsiaTheme="minorEastAsia" w:hAnsiTheme="minorHAnsi" w:cstheme="minorBidi"/>
          <w:noProof/>
          <w:sz w:val="22"/>
          <w:szCs w:val="22"/>
        </w:rPr>
        <w:tab/>
      </w:r>
      <w:r>
        <w:rPr>
          <w:noProof/>
        </w:rPr>
        <w:t>Purpose and objectives of review</w:t>
      </w:r>
      <w:r>
        <w:rPr>
          <w:noProof/>
        </w:rPr>
        <w:tab/>
      </w:r>
      <w:r>
        <w:rPr>
          <w:noProof/>
        </w:rPr>
        <w:fldChar w:fldCharType="begin"/>
      </w:r>
      <w:r>
        <w:rPr>
          <w:noProof/>
        </w:rPr>
        <w:instrText xml:space="preserve"> PAGEREF _Toc106811105 \h </w:instrText>
      </w:r>
      <w:r>
        <w:rPr>
          <w:noProof/>
        </w:rPr>
      </w:r>
      <w:r>
        <w:rPr>
          <w:noProof/>
        </w:rPr>
        <w:fldChar w:fldCharType="separate"/>
      </w:r>
      <w:r w:rsidR="003132AF">
        <w:rPr>
          <w:noProof/>
        </w:rPr>
        <w:t>12</w:t>
      </w:r>
      <w:r>
        <w:rPr>
          <w:noProof/>
        </w:rPr>
        <w:fldChar w:fldCharType="end"/>
      </w:r>
    </w:p>
    <w:p w14:paraId="401F3DFF" w14:textId="2ECD1211" w:rsidR="00F021A6" w:rsidRDefault="00F021A6">
      <w:pPr>
        <w:pStyle w:val="TOC1"/>
        <w:rPr>
          <w:rFonts w:asciiTheme="minorHAnsi" w:eastAsiaTheme="minorEastAsia" w:hAnsiTheme="minorHAnsi" w:cstheme="minorBidi"/>
          <w:noProof/>
          <w:sz w:val="22"/>
          <w:szCs w:val="22"/>
        </w:rPr>
      </w:pPr>
      <w:r>
        <w:rPr>
          <w:noProof/>
        </w:rPr>
        <w:t>2</w:t>
      </w:r>
      <w:r>
        <w:rPr>
          <w:rFonts w:asciiTheme="minorHAnsi" w:eastAsiaTheme="minorEastAsia" w:hAnsiTheme="minorHAnsi" w:cstheme="minorBidi"/>
          <w:noProof/>
          <w:sz w:val="22"/>
          <w:szCs w:val="22"/>
        </w:rPr>
        <w:tab/>
      </w:r>
      <w:r>
        <w:rPr>
          <w:noProof/>
        </w:rPr>
        <w:t>Methodology</w:t>
      </w:r>
      <w:r>
        <w:rPr>
          <w:noProof/>
        </w:rPr>
        <w:tab/>
      </w:r>
      <w:r>
        <w:rPr>
          <w:noProof/>
        </w:rPr>
        <w:fldChar w:fldCharType="begin"/>
      </w:r>
      <w:r>
        <w:rPr>
          <w:noProof/>
        </w:rPr>
        <w:instrText xml:space="preserve"> PAGEREF _Toc106811106 \h </w:instrText>
      </w:r>
      <w:r>
        <w:rPr>
          <w:noProof/>
        </w:rPr>
      </w:r>
      <w:r>
        <w:rPr>
          <w:noProof/>
        </w:rPr>
        <w:fldChar w:fldCharType="separate"/>
      </w:r>
      <w:r w:rsidR="003132AF">
        <w:rPr>
          <w:noProof/>
        </w:rPr>
        <w:t>13</w:t>
      </w:r>
      <w:r>
        <w:rPr>
          <w:noProof/>
        </w:rPr>
        <w:fldChar w:fldCharType="end"/>
      </w:r>
    </w:p>
    <w:p w14:paraId="099A294B" w14:textId="4BDD1DB6" w:rsidR="00F021A6" w:rsidRDefault="00F021A6">
      <w:pPr>
        <w:pStyle w:val="TOC2"/>
        <w:tabs>
          <w:tab w:val="left" w:pos="880"/>
          <w:tab w:val="right" w:leader="dot" w:pos="7643"/>
        </w:tabs>
        <w:rPr>
          <w:rFonts w:asciiTheme="minorHAnsi" w:eastAsiaTheme="minorEastAsia" w:hAnsiTheme="minorHAnsi" w:cstheme="minorBidi"/>
          <w:noProof/>
          <w:sz w:val="22"/>
          <w:szCs w:val="22"/>
        </w:rPr>
      </w:pPr>
      <w:r>
        <w:rPr>
          <w:noProof/>
        </w:rPr>
        <w:t>2.1.</w:t>
      </w:r>
      <w:r>
        <w:rPr>
          <w:rFonts w:asciiTheme="minorHAnsi" w:eastAsiaTheme="minorEastAsia" w:hAnsiTheme="minorHAnsi" w:cstheme="minorBidi"/>
          <w:noProof/>
          <w:sz w:val="22"/>
          <w:szCs w:val="22"/>
        </w:rPr>
        <w:tab/>
      </w:r>
      <w:r>
        <w:rPr>
          <w:noProof/>
        </w:rPr>
        <w:t>Review Period</w:t>
      </w:r>
      <w:r>
        <w:rPr>
          <w:noProof/>
        </w:rPr>
        <w:tab/>
      </w:r>
      <w:r>
        <w:rPr>
          <w:noProof/>
        </w:rPr>
        <w:fldChar w:fldCharType="begin"/>
      </w:r>
      <w:r>
        <w:rPr>
          <w:noProof/>
        </w:rPr>
        <w:instrText xml:space="preserve"> PAGEREF _Toc106811107 \h </w:instrText>
      </w:r>
      <w:r>
        <w:rPr>
          <w:noProof/>
        </w:rPr>
      </w:r>
      <w:r>
        <w:rPr>
          <w:noProof/>
        </w:rPr>
        <w:fldChar w:fldCharType="separate"/>
      </w:r>
      <w:r w:rsidR="003132AF">
        <w:rPr>
          <w:noProof/>
        </w:rPr>
        <w:t>13</w:t>
      </w:r>
      <w:r>
        <w:rPr>
          <w:noProof/>
        </w:rPr>
        <w:fldChar w:fldCharType="end"/>
      </w:r>
    </w:p>
    <w:p w14:paraId="7A2EEAEC" w14:textId="602CC79F" w:rsidR="00F021A6" w:rsidRDefault="00F021A6">
      <w:pPr>
        <w:pStyle w:val="TOC2"/>
        <w:tabs>
          <w:tab w:val="left" w:pos="880"/>
          <w:tab w:val="right" w:leader="dot" w:pos="7643"/>
        </w:tabs>
        <w:rPr>
          <w:rFonts w:asciiTheme="minorHAnsi" w:eastAsiaTheme="minorEastAsia" w:hAnsiTheme="minorHAnsi" w:cstheme="minorBidi"/>
          <w:noProof/>
          <w:sz w:val="22"/>
          <w:szCs w:val="22"/>
        </w:rPr>
      </w:pPr>
      <w:r>
        <w:rPr>
          <w:noProof/>
        </w:rPr>
        <w:t>2.2.</w:t>
      </w:r>
      <w:r>
        <w:rPr>
          <w:rFonts w:asciiTheme="minorHAnsi" w:eastAsiaTheme="minorEastAsia" w:hAnsiTheme="minorHAnsi" w:cstheme="minorBidi"/>
          <w:noProof/>
          <w:sz w:val="22"/>
          <w:szCs w:val="22"/>
        </w:rPr>
        <w:tab/>
      </w:r>
      <w:r>
        <w:rPr>
          <w:noProof/>
        </w:rPr>
        <w:t>Definitions</w:t>
      </w:r>
      <w:r>
        <w:rPr>
          <w:noProof/>
        </w:rPr>
        <w:tab/>
      </w:r>
      <w:r>
        <w:rPr>
          <w:noProof/>
        </w:rPr>
        <w:fldChar w:fldCharType="begin"/>
      </w:r>
      <w:r>
        <w:rPr>
          <w:noProof/>
        </w:rPr>
        <w:instrText xml:space="preserve"> PAGEREF _Toc106811108 \h </w:instrText>
      </w:r>
      <w:r>
        <w:rPr>
          <w:noProof/>
        </w:rPr>
      </w:r>
      <w:r>
        <w:rPr>
          <w:noProof/>
        </w:rPr>
        <w:fldChar w:fldCharType="separate"/>
      </w:r>
      <w:r w:rsidR="003132AF">
        <w:rPr>
          <w:noProof/>
        </w:rPr>
        <w:t>13</w:t>
      </w:r>
      <w:r>
        <w:rPr>
          <w:noProof/>
        </w:rPr>
        <w:fldChar w:fldCharType="end"/>
      </w:r>
    </w:p>
    <w:p w14:paraId="74F76747" w14:textId="76E9DE93" w:rsidR="00F021A6" w:rsidRDefault="00F021A6">
      <w:pPr>
        <w:pStyle w:val="TOC2"/>
        <w:tabs>
          <w:tab w:val="left" w:pos="880"/>
          <w:tab w:val="right" w:leader="dot" w:pos="7643"/>
        </w:tabs>
        <w:rPr>
          <w:rFonts w:asciiTheme="minorHAnsi" w:eastAsiaTheme="minorEastAsia" w:hAnsiTheme="minorHAnsi" w:cstheme="minorBidi"/>
          <w:noProof/>
          <w:sz w:val="22"/>
          <w:szCs w:val="22"/>
        </w:rPr>
      </w:pPr>
      <w:r>
        <w:rPr>
          <w:noProof/>
        </w:rPr>
        <w:t>2.3.</w:t>
      </w:r>
      <w:r>
        <w:rPr>
          <w:rFonts w:asciiTheme="minorHAnsi" w:eastAsiaTheme="minorEastAsia" w:hAnsiTheme="minorHAnsi" w:cstheme="minorBidi"/>
          <w:noProof/>
          <w:sz w:val="22"/>
          <w:szCs w:val="22"/>
        </w:rPr>
        <w:tab/>
      </w:r>
      <w:r>
        <w:rPr>
          <w:noProof/>
        </w:rPr>
        <w:t>Research Questions</w:t>
      </w:r>
      <w:r>
        <w:rPr>
          <w:noProof/>
        </w:rPr>
        <w:tab/>
      </w:r>
      <w:r>
        <w:rPr>
          <w:noProof/>
        </w:rPr>
        <w:fldChar w:fldCharType="begin"/>
      </w:r>
      <w:r>
        <w:rPr>
          <w:noProof/>
        </w:rPr>
        <w:instrText xml:space="preserve"> PAGEREF _Toc106811109 \h </w:instrText>
      </w:r>
      <w:r>
        <w:rPr>
          <w:noProof/>
        </w:rPr>
      </w:r>
      <w:r>
        <w:rPr>
          <w:noProof/>
        </w:rPr>
        <w:fldChar w:fldCharType="separate"/>
      </w:r>
      <w:r w:rsidR="003132AF">
        <w:rPr>
          <w:noProof/>
        </w:rPr>
        <w:t>13</w:t>
      </w:r>
      <w:r>
        <w:rPr>
          <w:noProof/>
        </w:rPr>
        <w:fldChar w:fldCharType="end"/>
      </w:r>
    </w:p>
    <w:p w14:paraId="5241FF42" w14:textId="539D9759" w:rsidR="00F021A6" w:rsidRDefault="00F021A6">
      <w:pPr>
        <w:pStyle w:val="TOC3"/>
        <w:tabs>
          <w:tab w:val="left" w:pos="1320"/>
          <w:tab w:val="right" w:leader="dot" w:pos="7643"/>
        </w:tabs>
        <w:rPr>
          <w:rFonts w:asciiTheme="minorHAnsi" w:eastAsiaTheme="minorEastAsia" w:hAnsiTheme="minorHAnsi" w:cstheme="minorBidi"/>
          <w:noProof/>
          <w:sz w:val="22"/>
          <w:szCs w:val="22"/>
        </w:rPr>
      </w:pPr>
      <w:r w:rsidRPr="002854B6">
        <w:rPr>
          <w:noProof/>
        </w:rPr>
        <w:t>2.3.1.</w:t>
      </w:r>
      <w:r>
        <w:rPr>
          <w:rFonts w:asciiTheme="minorHAnsi" w:eastAsiaTheme="minorEastAsia" w:hAnsiTheme="minorHAnsi" w:cstheme="minorBidi"/>
          <w:noProof/>
          <w:sz w:val="22"/>
          <w:szCs w:val="22"/>
        </w:rPr>
        <w:tab/>
      </w:r>
      <w:r w:rsidRPr="002854B6">
        <w:rPr>
          <w:noProof/>
        </w:rPr>
        <w:t>Primary question</w:t>
      </w:r>
      <w:r>
        <w:rPr>
          <w:noProof/>
        </w:rPr>
        <w:tab/>
      </w:r>
      <w:r>
        <w:rPr>
          <w:noProof/>
        </w:rPr>
        <w:fldChar w:fldCharType="begin"/>
      </w:r>
      <w:r>
        <w:rPr>
          <w:noProof/>
        </w:rPr>
        <w:instrText xml:space="preserve"> PAGEREF _Toc106811110 \h </w:instrText>
      </w:r>
      <w:r>
        <w:rPr>
          <w:noProof/>
        </w:rPr>
      </w:r>
      <w:r>
        <w:rPr>
          <w:noProof/>
        </w:rPr>
        <w:fldChar w:fldCharType="separate"/>
      </w:r>
      <w:r w:rsidR="003132AF">
        <w:rPr>
          <w:noProof/>
        </w:rPr>
        <w:t>13</w:t>
      </w:r>
      <w:r>
        <w:rPr>
          <w:noProof/>
        </w:rPr>
        <w:fldChar w:fldCharType="end"/>
      </w:r>
    </w:p>
    <w:p w14:paraId="48EA798B" w14:textId="7DAE5702" w:rsidR="00F021A6" w:rsidRDefault="00F021A6">
      <w:pPr>
        <w:pStyle w:val="TOC3"/>
        <w:tabs>
          <w:tab w:val="left" w:pos="1320"/>
          <w:tab w:val="right" w:leader="dot" w:pos="7643"/>
        </w:tabs>
        <w:rPr>
          <w:rFonts w:asciiTheme="minorHAnsi" w:eastAsiaTheme="minorEastAsia" w:hAnsiTheme="minorHAnsi" w:cstheme="minorBidi"/>
          <w:noProof/>
          <w:sz w:val="22"/>
          <w:szCs w:val="22"/>
        </w:rPr>
      </w:pPr>
      <w:r w:rsidRPr="002854B6">
        <w:rPr>
          <w:noProof/>
        </w:rPr>
        <w:t>2.3.2.</w:t>
      </w:r>
      <w:r>
        <w:rPr>
          <w:rFonts w:asciiTheme="minorHAnsi" w:eastAsiaTheme="minorEastAsia" w:hAnsiTheme="minorHAnsi" w:cstheme="minorBidi"/>
          <w:noProof/>
          <w:sz w:val="22"/>
          <w:szCs w:val="22"/>
        </w:rPr>
        <w:tab/>
      </w:r>
      <w:r w:rsidRPr="002854B6">
        <w:rPr>
          <w:noProof/>
        </w:rPr>
        <w:t>Secondary questions</w:t>
      </w:r>
      <w:r>
        <w:rPr>
          <w:noProof/>
        </w:rPr>
        <w:tab/>
      </w:r>
      <w:r>
        <w:rPr>
          <w:noProof/>
        </w:rPr>
        <w:fldChar w:fldCharType="begin"/>
      </w:r>
      <w:r>
        <w:rPr>
          <w:noProof/>
        </w:rPr>
        <w:instrText xml:space="preserve"> PAGEREF _Toc106811111 \h </w:instrText>
      </w:r>
      <w:r>
        <w:rPr>
          <w:noProof/>
        </w:rPr>
      </w:r>
      <w:r>
        <w:rPr>
          <w:noProof/>
        </w:rPr>
        <w:fldChar w:fldCharType="separate"/>
      </w:r>
      <w:r w:rsidR="003132AF">
        <w:rPr>
          <w:noProof/>
        </w:rPr>
        <w:t>14</w:t>
      </w:r>
      <w:r>
        <w:rPr>
          <w:noProof/>
        </w:rPr>
        <w:fldChar w:fldCharType="end"/>
      </w:r>
    </w:p>
    <w:p w14:paraId="664598EB" w14:textId="34E90D1A" w:rsidR="00F021A6" w:rsidRDefault="00F021A6">
      <w:pPr>
        <w:pStyle w:val="TOC3"/>
        <w:tabs>
          <w:tab w:val="left" w:pos="1320"/>
          <w:tab w:val="right" w:leader="dot" w:pos="7643"/>
        </w:tabs>
        <w:rPr>
          <w:rFonts w:asciiTheme="minorHAnsi" w:eastAsiaTheme="minorEastAsia" w:hAnsiTheme="minorHAnsi" w:cstheme="minorBidi"/>
          <w:noProof/>
          <w:sz w:val="22"/>
          <w:szCs w:val="22"/>
        </w:rPr>
      </w:pPr>
      <w:r w:rsidRPr="002854B6">
        <w:rPr>
          <w:noProof/>
        </w:rPr>
        <w:t>2.3.3.</w:t>
      </w:r>
      <w:r>
        <w:rPr>
          <w:rFonts w:asciiTheme="minorHAnsi" w:eastAsiaTheme="minorEastAsia" w:hAnsiTheme="minorHAnsi" w:cstheme="minorBidi"/>
          <w:noProof/>
          <w:sz w:val="22"/>
          <w:szCs w:val="22"/>
        </w:rPr>
        <w:tab/>
      </w:r>
      <w:r w:rsidRPr="002854B6">
        <w:rPr>
          <w:noProof/>
        </w:rPr>
        <w:t>Additional commentary and guidance from the Committee</w:t>
      </w:r>
      <w:r>
        <w:rPr>
          <w:noProof/>
        </w:rPr>
        <w:tab/>
      </w:r>
      <w:r>
        <w:rPr>
          <w:noProof/>
        </w:rPr>
        <w:fldChar w:fldCharType="begin"/>
      </w:r>
      <w:r>
        <w:rPr>
          <w:noProof/>
        </w:rPr>
        <w:instrText xml:space="preserve"> PAGEREF _Toc106811112 \h </w:instrText>
      </w:r>
      <w:r>
        <w:rPr>
          <w:noProof/>
        </w:rPr>
      </w:r>
      <w:r>
        <w:rPr>
          <w:noProof/>
        </w:rPr>
        <w:fldChar w:fldCharType="separate"/>
      </w:r>
      <w:r w:rsidR="003132AF">
        <w:rPr>
          <w:noProof/>
        </w:rPr>
        <w:t>14</w:t>
      </w:r>
      <w:r>
        <w:rPr>
          <w:noProof/>
        </w:rPr>
        <w:fldChar w:fldCharType="end"/>
      </w:r>
    </w:p>
    <w:p w14:paraId="17085DE5" w14:textId="3A2C6DE8" w:rsidR="00F021A6" w:rsidRDefault="00F021A6">
      <w:pPr>
        <w:pStyle w:val="TOC2"/>
        <w:tabs>
          <w:tab w:val="left" w:pos="880"/>
          <w:tab w:val="right" w:leader="dot" w:pos="7643"/>
        </w:tabs>
        <w:rPr>
          <w:rFonts w:asciiTheme="minorHAnsi" w:eastAsiaTheme="minorEastAsia" w:hAnsiTheme="minorHAnsi" w:cstheme="minorBidi"/>
          <w:noProof/>
          <w:sz w:val="22"/>
          <w:szCs w:val="22"/>
        </w:rPr>
      </w:pPr>
      <w:r>
        <w:rPr>
          <w:noProof/>
        </w:rPr>
        <w:t>2.4.</w:t>
      </w:r>
      <w:r>
        <w:rPr>
          <w:rFonts w:asciiTheme="minorHAnsi" w:eastAsiaTheme="minorEastAsia" w:hAnsiTheme="minorHAnsi" w:cstheme="minorBidi"/>
          <w:noProof/>
          <w:sz w:val="22"/>
          <w:szCs w:val="22"/>
        </w:rPr>
        <w:tab/>
      </w:r>
      <w:r>
        <w:rPr>
          <w:noProof/>
        </w:rPr>
        <w:t>Search Strategy and Selection of Evidence</w:t>
      </w:r>
      <w:r>
        <w:rPr>
          <w:noProof/>
        </w:rPr>
        <w:tab/>
      </w:r>
      <w:r>
        <w:rPr>
          <w:noProof/>
        </w:rPr>
        <w:fldChar w:fldCharType="begin"/>
      </w:r>
      <w:r>
        <w:rPr>
          <w:noProof/>
        </w:rPr>
        <w:instrText xml:space="preserve"> PAGEREF _Toc106811113 \h </w:instrText>
      </w:r>
      <w:r>
        <w:rPr>
          <w:noProof/>
        </w:rPr>
      </w:r>
      <w:r>
        <w:rPr>
          <w:noProof/>
        </w:rPr>
        <w:fldChar w:fldCharType="separate"/>
      </w:r>
      <w:r w:rsidR="003132AF">
        <w:rPr>
          <w:noProof/>
        </w:rPr>
        <w:t>14</w:t>
      </w:r>
      <w:r>
        <w:rPr>
          <w:noProof/>
        </w:rPr>
        <w:fldChar w:fldCharType="end"/>
      </w:r>
    </w:p>
    <w:p w14:paraId="3706CA99" w14:textId="57F04029" w:rsidR="00F021A6" w:rsidRDefault="00F021A6">
      <w:pPr>
        <w:pStyle w:val="TOC3"/>
        <w:tabs>
          <w:tab w:val="left" w:pos="1320"/>
          <w:tab w:val="right" w:leader="dot" w:pos="7643"/>
        </w:tabs>
        <w:rPr>
          <w:rFonts w:asciiTheme="minorHAnsi" w:eastAsiaTheme="minorEastAsia" w:hAnsiTheme="minorHAnsi" w:cstheme="minorBidi"/>
          <w:noProof/>
          <w:sz w:val="22"/>
          <w:szCs w:val="22"/>
        </w:rPr>
      </w:pPr>
      <w:r>
        <w:rPr>
          <w:noProof/>
        </w:rPr>
        <w:t>2.4.1.</w:t>
      </w:r>
      <w:r>
        <w:rPr>
          <w:rFonts w:asciiTheme="minorHAnsi" w:eastAsiaTheme="minorEastAsia" w:hAnsiTheme="minorHAnsi" w:cstheme="minorBidi"/>
          <w:noProof/>
          <w:sz w:val="22"/>
          <w:szCs w:val="22"/>
        </w:rPr>
        <w:tab/>
      </w:r>
      <w:r>
        <w:rPr>
          <w:noProof/>
        </w:rPr>
        <w:t>Inclusion and exclusion criteria</w:t>
      </w:r>
      <w:r>
        <w:rPr>
          <w:noProof/>
        </w:rPr>
        <w:tab/>
      </w:r>
      <w:r>
        <w:rPr>
          <w:noProof/>
        </w:rPr>
        <w:fldChar w:fldCharType="begin"/>
      </w:r>
      <w:r>
        <w:rPr>
          <w:noProof/>
        </w:rPr>
        <w:instrText xml:space="preserve"> PAGEREF _Toc106811114 \h </w:instrText>
      </w:r>
      <w:r>
        <w:rPr>
          <w:noProof/>
        </w:rPr>
      </w:r>
      <w:r>
        <w:rPr>
          <w:noProof/>
        </w:rPr>
        <w:fldChar w:fldCharType="separate"/>
      </w:r>
      <w:r w:rsidR="003132AF">
        <w:rPr>
          <w:noProof/>
        </w:rPr>
        <w:t>15</w:t>
      </w:r>
      <w:r>
        <w:rPr>
          <w:noProof/>
        </w:rPr>
        <w:fldChar w:fldCharType="end"/>
      </w:r>
    </w:p>
    <w:p w14:paraId="1A971019" w14:textId="6C8610E6" w:rsidR="00F021A6" w:rsidRDefault="00F021A6">
      <w:pPr>
        <w:pStyle w:val="TOC2"/>
        <w:tabs>
          <w:tab w:val="left" w:pos="880"/>
          <w:tab w:val="right" w:leader="dot" w:pos="7643"/>
        </w:tabs>
        <w:rPr>
          <w:rFonts w:asciiTheme="minorHAnsi" w:eastAsiaTheme="minorEastAsia" w:hAnsiTheme="minorHAnsi" w:cstheme="minorBidi"/>
          <w:noProof/>
          <w:sz w:val="22"/>
          <w:szCs w:val="22"/>
        </w:rPr>
      </w:pPr>
      <w:r>
        <w:rPr>
          <w:noProof/>
        </w:rPr>
        <w:t>2.5.</w:t>
      </w:r>
      <w:r>
        <w:rPr>
          <w:rFonts w:asciiTheme="minorHAnsi" w:eastAsiaTheme="minorEastAsia" w:hAnsiTheme="minorHAnsi" w:cstheme="minorBidi"/>
          <w:noProof/>
          <w:sz w:val="22"/>
          <w:szCs w:val="22"/>
        </w:rPr>
        <w:tab/>
      </w:r>
      <w:r>
        <w:rPr>
          <w:noProof/>
        </w:rPr>
        <w:t>Evidence Collection</w:t>
      </w:r>
      <w:r>
        <w:rPr>
          <w:noProof/>
        </w:rPr>
        <w:tab/>
      </w:r>
      <w:r>
        <w:rPr>
          <w:noProof/>
        </w:rPr>
        <w:fldChar w:fldCharType="begin"/>
      </w:r>
      <w:r>
        <w:rPr>
          <w:noProof/>
        </w:rPr>
        <w:instrText xml:space="preserve"> PAGEREF _Toc106811115 \h </w:instrText>
      </w:r>
      <w:r>
        <w:rPr>
          <w:noProof/>
        </w:rPr>
      </w:r>
      <w:r>
        <w:rPr>
          <w:noProof/>
        </w:rPr>
        <w:fldChar w:fldCharType="separate"/>
      </w:r>
      <w:r w:rsidR="003132AF">
        <w:rPr>
          <w:noProof/>
        </w:rPr>
        <w:t>16</w:t>
      </w:r>
      <w:r>
        <w:rPr>
          <w:noProof/>
        </w:rPr>
        <w:fldChar w:fldCharType="end"/>
      </w:r>
    </w:p>
    <w:p w14:paraId="3051519F" w14:textId="24980113" w:rsidR="00F021A6" w:rsidRDefault="00F021A6">
      <w:pPr>
        <w:pStyle w:val="TOC3"/>
        <w:tabs>
          <w:tab w:val="left" w:pos="1320"/>
          <w:tab w:val="right" w:leader="dot" w:pos="7643"/>
        </w:tabs>
        <w:rPr>
          <w:rFonts w:asciiTheme="minorHAnsi" w:eastAsiaTheme="minorEastAsia" w:hAnsiTheme="minorHAnsi" w:cstheme="minorBidi"/>
          <w:noProof/>
          <w:sz w:val="22"/>
          <w:szCs w:val="22"/>
        </w:rPr>
      </w:pPr>
      <w:r>
        <w:rPr>
          <w:noProof/>
        </w:rPr>
        <w:t>2.5.1.</w:t>
      </w:r>
      <w:r>
        <w:rPr>
          <w:rFonts w:asciiTheme="minorHAnsi" w:eastAsiaTheme="minorEastAsia" w:hAnsiTheme="minorHAnsi" w:cstheme="minorBidi"/>
          <w:noProof/>
          <w:sz w:val="22"/>
          <w:szCs w:val="22"/>
        </w:rPr>
        <w:tab/>
      </w:r>
      <w:r>
        <w:rPr>
          <w:noProof/>
        </w:rPr>
        <w:t>Classification of the evidence</w:t>
      </w:r>
      <w:r>
        <w:rPr>
          <w:noProof/>
        </w:rPr>
        <w:tab/>
      </w:r>
      <w:r>
        <w:rPr>
          <w:noProof/>
        </w:rPr>
        <w:fldChar w:fldCharType="begin"/>
      </w:r>
      <w:r>
        <w:rPr>
          <w:noProof/>
        </w:rPr>
        <w:instrText xml:space="preserve"> PAGEREF _Toc106811116 \h </w:instrText>
      </w:r>
      <w:r>
        <w:rPr>
          <w:noProof/>
        </w:rPr>
      </w:r>
      <w:r>
        <w:rPr>
          <w:noProof/>
        </w:rPr>
        <w:fldChar w:fldCharType="separate"/>
      </w:r>
      <w:r w:rsidR="003132AF">
        <w:rPr>
          <w:noProof/>
        </w:rPr>
        <w:t>16</w:t>
      </w:r>
      <w:r>
        <w:rPr>
          <w:noProof/>
        </w:rPr>
        <w:fldChar w:fldCharType="end"/>
      </w:r>
    </w:p>
    <w:p w14:paraId="3AB4FFA1" w14:textId="7199402B" w:rsidR="00F021A6" w:rsidRDefault="00F021A6">
      <w:pPr>
        <w:pStyle w:val="TOC4"/>
        <w:tabs>
          <w:tab w:val="left" w:pos="1540"/>
          <w:tab w:val="right" w:leader="dot" w:pos="7643"/>
        </w:tabs>
        <w:rPr>
          <w:rFonts w:asciiTheme="minorHAnsi" w:eastAsiaTheme="minorEastAsia" w:hAnsiTheme="minorHAnsi" w:cstheme="minorBidi"/>
          <w:noProof/>
          <w:sz w:val="22"/>
          <w:szCs w:val="22"/>
        </w:rPr>
      </w:pPr>
      <w:r>
        <w:rPr>
          <w:noProof/>
        </w:rPr>
        <w:t>2.5.1.1.</w:t>
      </w:r>
      <w:r>
        <w:rPr>
          <w:rFonts w:asciiTheme="minorHAnsi" w:eastAsiaTheme="minorEastAsia" w:hAnsiTheme="minorHAnsi" w:cstheme="minorBidi"/>
          <w:noProof/>
          <w:sz w:val="22"/>
          <w:szCs w:val="22"/>
        </w:rPr>
        <w:tab/>
      </w:r>
      <w:r>
        <w:rPr>
          <w:noProof/>
        </w:rPr>
        <w:t>Existing guidelines</w:t>
      </w:r>
      <w:r>
        <w:rPr>
          <w:noProof/>
        </w:rPr>
        <w:tab/>
      </w:r>
      <w:r>
        <w:rPr>
          <w:noProof/>
        </w:rPr>
        <w:fldChar w:fldCharType="begin"/>
      </w:r>
      <w:r>
        <w:rPr>
          <w:noProof/>
        </w:rPr>
        <w:instrText xml:space="preserve"> PAGEREF _Toc106811117 \h </w:instrText>
      </w:r>
      <w:r>
        <w:rPr>
          <w:noProof/>
        </w:rPr>
      </w:r>
      <w:r>
        <w:rPr>
          <w:noProof/>
        </w:rPr>
        <w:fldChar w:fldCharType="separate"/>
      </w:r>
      <w:r w:rsidR="003132AF">
        <w:rPr>
          <w:noProof/>
        </w:rPr>
        <w:t>16</w:t>
      </w:r>
      <w:r>
        <w:rPr>
          <w:noProof/>
        </w:rPr>
        <w:fldChar w:fldCharType="end"/>
      </w:r>
    </w:p>
    <w:p w14:paraId="4CBF862D" w14:textId="6500F22A" w:rsidR="00F021A6" w:rsidRDefault="00F021A6">
      <w:pPr>
        <w:pStyle w:val="TOC4"/>
        <w:tabs>
          <w:tab w:val="left" w:pos="1540"/>
          <w:tab w:val="right" w:leader="dot" w:pos="7643"/>
        </w:tabs>
        <w:rPr>
          <w:rFonts w:asciiTheme="minorHAnsi" w:eastAsiaTheme="minorEastAsia" w:hAnsiTheme="minorHAnsi" w:cstheme="minorBidi"/>
          <w:noProof/>
          <w:sz w:val="22"/>
          <w:szCs w:val="22"/>
        </w:rPr>
      </w:pPr>
      <w:r>
        <w:rPr>
          <w:noProof/>
        </w:rPr>
        <w:t>2.5.1.2.</w:t>
      </w:r>
      <w:r>
        <w:rPr>
          <w:rFonts w:asciiTheme="minorHAnsi" w:eastAsiaTheme="minorEastAsia" w:hAnsiTheme="minorHAnsi" w:cstheme="minorBidi"/>
          <w:noProof/>
          <w:sz w:val="22"/>
          <w:szCs w:val="22"/>
        </w:rPr>
        <w:tab/>
      </w:r>
      <w:r>
        <w:rPr>
          <w:noProof/>
        </w:rPr>
        <w:t>Primary studies</w:t>
      </w:r>
      <w:r>
        <w:rPr>
          <w:noProof/>
        </w:rPr>
        <w:tab/>
      </w:r>
      <w:r>
        <w:rPr>
          <w:noProof/>
        </w:rPr>
        <w:fldChar w:fldCharType="begin"/>
      </w:r>
      <w:r>
        <w:rPr>
          <w:noProof/>
        </w:rPr>
        <w:instrText xml:space="preserve"> PAGEREF _Toc106811118 \h </w:instrText>
      </w:r>
      <w:r>
        <w:rPr>
          <w:noProof/>
        </w:rPr>
      </w:r>
      <w:r>
        <w:rPr>
          <w:noProof/>
        </w:rPr>
        <w:fldChar w:fldCharType="separate"/>
      </w:r>
      <w:r w:rsidR="003132AF">
        <w:rPr>
          <w:noProof/>
        </w:rPr>
        <w:t>16</w:t>
      </w:r>
      <w:r>
        <w:rPr>
          <w:noProof/>
        </w:rPr>
        <w:fldChar w:fldCharType="end"/>
      </w:r>
    </w:p>
    <w:p w14:paraId="6A8B3926" w14:textId="56E823E2" w:rsidR="00F021A6" w:rsidRDefault="00F021A6">
      <w:pPr>
        <w:pStyle w:val="TOC3"/>
        <w:tabs>
          <w:tab w:val="left" w:pos="1320"/>
          <w:tab w:val="right" w:leader="dot" w:pos="7643"/>
        </w:tabs>
        <w:rPr>
          <w:rFonts w:asciiTheme="minorHAnsi" w:eastAsiaTheme="minorEastAsia" w:hAnsiTheme="minorHAnsi" w:cstheme="minorBidi"/>
          <w:noProof/>
          <w:sz w:val="22"/>
          <w:szCs w:val="22"/>
        </w:rPr>
      </w:pPr>
      <w:r>
        <w:rPr>
          <w:noProof/>
        </w:rPr>
        <w:t>2.5.2.</w:t>
      </w:r>
      <w:r>
        <w:rPr>
          <w:rFonts w:asciiTheme="minorHAnsi" w:eastAsiaTheme="minorEastAsia" w:hAnsiTheme="minorHAnsi" w:cstheme="minorBidi"/>
          <w:noProof/>
          <w:sz w:val="22"/>
          <w:szCs w:val="22"/>
        </w:rPr>
        <w:tab/>
      </w:r>
      <w:r>
        <w:rPr>
          <w:noProof/>
        </w:rPr>
        <w:t>Quality assessment (by types)</w:t>
      </w:r>
      <w:r>
        <w:rPr>
          <w:noProof/>
        </w:rPr>
        <w:tab/>
      </w:r>
      <w:r>
        <w:rPr>
          <w:noProof/>
        </w:rPr>
        <w:fldChar w:fldCharType="begin"/>
      </w:r>
      <w:r>
        <w:rPr>
          <w:noProof/>
        </w:rPr>
        <w:instrText xml:space="preserve"> PAGEREF _Toc106811119 \h </w:instrText>
      </w:r>
      <w:r>
        <w:rPr>
          <w:noProof/>
        </w:rPr>
      </w:r>
      <w:r>
        <w:rPr>
          <w:noProof/>
        </w:rPr>
        <w:fldChar w:fldCharType="separate"/>
      </w:r>
      <w:r w:rsidR="003132AF">
        <w:rPr>
          <w:noProof/>
        </w:rPr>
        <w:t>17</w:t>
      </w:r>
      <w:r>
        <w:rPr>
          <w:noProof/>
        </w:rPr>
        <w:fldChar w:fldCharType="end"/>
      </w:r>
    </w:p>
    <w:p w14:paraId="7A1C479C" w14:textId="25FD9EC2" w:rsidR="00F021A6" w:rsidRDefault="00F021A6">
      <w:pPr>
        <w:pStyle w:val="TOC4"/>
        <w:tabs>
          <w:tab w:val="left" w:pos="1540"/>
          <w:tab w:val="right" w:leader="dot" w:pos="7643"/>
        </w:tabs>
        <w:rPr>
          <w:rFonts w:asciiTheme="minorHAnsi" w:eastAsiaTheme="minorEastAsia" w:hAnsiTheme="minorHAnsi" w:cstheme="minorBidi"/>
          <w:noProof/>
          <w:sz w:val="22"/>
          <w:szCs w:val="22"/>
        </w:rPr>
      </w:pPr>
      <w:r>
        <w:rPr>
          <w:noProof/>
        </w:rPr>
        <w:t>2.5.2.1.</w:t>
      </w:r>
      <w:r>
        <w:rPr>
          <w:rFonts w:asciiTheme="minorHAnsi" w:eastAsiaTheme="minorEastAsia" w:hAnsiTheme="minorHAnsi" w:cstheme="minorBidi"/>
          <w:noProof/>
          <w:sz w:val="22"/>
          <w:szCs w:val="22"/>
        </w:rPr>
        <w:tab/>
      </w:r>
      <w:r>
        <w:rPr>
          <w:noProof/>
        </w:rPr>
        <w:t>Existing guidelines</w:t>
      </w:r>
      <w:r>
        <w:rPr>
          <w:noProof/>
        </w:rPr>
        <w:tab/>
      </w:r>
      <w:r>
        <w:rPr>
          <w:noProof/>
        </w:rPr>
        <w:fldChar w:fldCharType="begin"/>
      </w:r>
      <w:r>
        <w:rPr>
          <w:noProof/>
        </w:rPr>
        <w:instrText xml:space="preserve"> PAGEREF _Toc106811120 \h </w:instrText>
      </w:r>
      <w:r>
        <w:rPr>
          <w:noProof/>
        </w:rPr>
      </w:r>
      <w:r>
        <w:rPr>
          <w:noProof/>
        </w:rPr>
        <w:fldChar w:fldCharType="separate"/>
      </w:r>
      <w:r w:rsidR="003132AF">
        <w:rPr>
          <w:noProof/>
        </w:rPr>
        <w:t>17</w:t>
      </w:r>
      <w:r>
        <w:rPr>
          <w:noProof/>
        </w:rPr>
        <w:fldChar w:fldCharType="end"/>
      </w:r>
    </w:p>
    <w:p w14:paraId="29F41F96" w14:textId="23EF5873" w:rsidR="00F021A6" w:rsidRDefault="00F021A6">
      <w:pPr>
        <w:pStyle w:val="TOC4"/>
        <w:tabs>
          <w:tab w:val="left" w:pos="1540"/>
          <w:tab w:val="right" w:leader="dot" w:pos="7643"/>
        </w:tabs>
        <w:rPr>
          <w:rFonts w:asciiTheme="minorHAnsi" w:eastAsiaTheme="minorEastAsia" w:hAnsiTheme="minorHAnsi" w:cstheme="minorBidi"/>
          <w:noProof/>
          <w:sz w:val="22"/>
          <w:szCs w:val="22"/>
        </w:rPr>
      </w:pPr>
      <w:r>
        <w:rPr>
          <w:noProof/>
        </w:rPr>
        <w:t>2.5.2.2.</w:t>
      </w:r>
      <w:r>
        <w:rPr>
          <w:rFonts w:asciiTheme="minorHAnsi" w:eastAsiaTheme="minorEastAsia" w:hAnsiTheme="minorHAnsi" w:cstheme="minorBidi"/>
          <w:noProof/>
          <w:sz w:val="22"/>
          <w:szCs w:val="22"/>
        </w:rPr>
        <w:tab/>
      </w:r>
      <w:r>
        <w:rPr>
          <w:noProof/>
        </w:rPr>
        <w:t>Primary studies</w:t>
      </w:r>
      <w:r>
        <w:rPr>
          <w:noProof/>
        </w:rPr>
        <w:tab/>
      </w:r>
      <w:r>
        <w:rPr>
          <w:noProof/>
        </w:rPr>
        <w:fldChar w:fldCharType="begin"/>
      </w:r>
      <w:r>
        <w:rPr>
          <w:noProof/>
        </w:rPr>
        <w:instrText xml:space="preserve"> PAGEREF _Toc106811121 \h </w:instrText>
      </w:r>
      <w:r>
        <w:rPr>
          <w:noProof/>
        </w:rPr>
      </w:r>
      <w:r>
        <w:rPr>
          <w:noProof/>
        </w:rPr>
        <w:fldChar w:fldCharType="separate"/>
      </w:r>
      <w:r w:rsidR="003132AF">
        <w:rPr>
          <w:noProof/>
        </w:rPr>
        <w:t>17</w:t>
      </w:r>
      <w:r>
        <w:rPr>
          <w:noProof/>
        </w:rPr>
        <w:fldChar w:fldCharType="end"/>
      </w:r>
    </w:p>
    <w:p w14:paraId="156C9756" w14:textId="7993B770" w:rsidR="00F021A6" w:rsidRDefault="00F021A6">
      <w:pPr>
        <w:pStyle w:val="TOC2"/>
        <w:tabs>
          <w:tab w:val="left" w:pos="880"/>
          <w:tab w:val="right" w:leader="dot" w:pos="7643"/>
        </w:tabs>
        <w:rPr>
          <w:rFonts w:asciiTheme="minorHAnsi" w:eastAsiaTheme="minorEastAsia" w:hAnsiTheme="minorHAnsi" w:cstheme="minorBidi"/>
          <w:noProof/>
          <w:sz w:val="22"/>
          <w:szCs w:val="22"/>
        </w:rPr>
      </w:pPr>
      <w:r>
        <w:rPr>
          <w:noProof/>
        </w:rPr>
        <w:t>2.6.</w:t>
      </w:r>
      <w:r>
        <w:rPr>
          <w:rFonts w:asciiTheme="minorHAnsi" w:eastAsiaTheme="minorEastAsia" w:hAnsiTheme="minorHAnsi" w:cstheme="minorBidi"/>
          <w:noProof/>
          <w:sz w:val="22"/>
          <w:szCs w:val="22"/>
        </w:rPr>
        <w:tab/>
      </w:r>
      <w:r>
        <w:rPr>
          <w:noProof/>
        </w:rPr>
        <w:t>Data Extraction</w:t>
      </w:r>
      <w:r>
        <w:rPr>
          <w:noProof/>
        </w:rPr>
        <w:tab/>
      </w:r>
      <w:r>
        <w:rPr>
          <w:noProof/>
        </w:rPr>
        <w:fldChar w:fldCharType="begin"/>
      </w:r>
      <w:r>
        <w:rPr>
          <w:noProof/>
        </w:rPr>
        <w:instrText xml:space="preserve"> PAGEREF _Toc106811122 \h </w:instrText>
      </w:r>
      <w:r>
        <w:rPr>
          <w:noProof/>
        </w:rPr>
      </w:r>
      <w:r>
        <w:rPr>
          <w:noProof/>
        </w:rPr>
        <w:fldChar w:fldCharType="separate"/>
      </w:r>
      <w:r w:rsidR="003132AF">
        <w:rPr>
          <w:noProof/>
        </w:rPr>
        <w:t>18</w:t>
      </w:r>
      <w:r>
        <w:rPr>
          <w:noProof/>
        </w:rPr>
        <w:fldChar w:fldCharType="end"/>
      </w:r>
    </w:p>
    <w:p w14:paraId="01F6698E" w14:textId="6A9E6C67" w:rsidR="00F021A6" w:rsidRDefault="00F021A6">
      <w:pPr>
        <w:pStyle w:val="TOC2"/>
        <w:tabs>
          <w:tab w:val="left" w:pos="880"/>
          <w:tab w:val="right" w:leader="dot" w:pos="7643"/>
        </w:tabs>
        <w:rPr>
          <w:rFonts w:asciiTheme="minorHAnsi" w:eastAsiaTheme="minorEastAsia" w:hAnsiTheme="minorHAnsi" w:cstheme="minorBidi"/>
          <w:noProof/>
          <w:sz w:val="22"/>
          <w:szCs w:val="22"/>
        </w:rPr>
      </w:pPr>
      <w:r>
        <w:rPr>
          <w:noProof/>
        </w:rPr>
        <w:t>2.7.</w:t>
      </w:r>
      <w:r>
        <w:rPr>
          <w:rFonts w:asciiTheme="minorHAnsi" w:eastAsiaTheme="minorEastAsia" w:hAnsiTheme="minorHAnsi" w:cstheme="minorBidi"/>
          <w:noProof/>
          <w:sz w:val="22"/>
          <w:szCs w:val="22"/>
        </w:rPr>
        <w:tab/>
      </w:r>
      <w:r>
        <w:rPr>
          <w:noProof/>
        </w:rPr>
        <w:t>Process for Assessing the Body of Evidence</w:t>
      </w:r>
      <w:r>
        <w:rPr>
          <w:noProof/>
        </w:rPr>
        <w:tab/>
      </w:r>
      <w:r>
        <w:rPr>
          <w:noProof/>
        </w:rPr>
        <w:fldChar w:fldCharType="begin"/>
      </w:r>
      <w:r>
        <w:rPr>
          <w:noProof/>
        </w:rPr>
        <w:instrText xml:space="preserve"> PAGEREF _Toc106811123 \h </w:instrText>
      </w:r>
      <w:r>
        <w:rPr>
          <w:noProof/>
        </w:rPr>
      </w:r>
      <w:r>
        <w:rPr>
          <w:noProof/>
        </w:rPr>
        <w:fldChar w:fldCharType="separate"/>
      </w:r>
      <w:r w:rsidR="003132AF">
        <w:rPr>
          <w:noProof/>
        </w:rPr>
        <w:t>19</w:t>
      </w:r>
      <w:r>
        <w:rPr>
          <w:noProof/>
        </w:rPr>
        <w:fldChar w:fldCharType="end"/>
      </w:r>
    </w:p>
    <w:p w14:paraId="653C1F9C" w14:textId="6BE3F203" w:rsidR="00F021A6" w:rsidRDefault="00F021A6">
      <w:pPr>
        <w:pStyle w:val="TOC3"/>
        <w:tabs>
          <w:tab w:val="left" w:pos="1320"/>
          <w:tab w:val="right" w:leader="dot" w:pos="7643"/>
        </w:tabs>
        <w:rPr>
          <w:rFonts w:asciiTheme="minorHAnsi" w:eastAsiaTheme="minorEastAsia" w:hAnsiTheme="minorHAnsi" w:cstheme="minorBidi"/>
          <w:noProof/>
          <w:sz w:val="22"/>
          <w:szCs w:val="22"/>
        </w:rPr>
      </w:pPr>
      <w:r>
        <w:rPr>
          <w:noProof/>
        </w:rPr>
        <w:t>2.7.1.</w:t>
      </w:r>
      <w:r>
        <w:rPr>
          <w:rFonts w:asciiTheme="minorHAnsi" w:eastAsiaTheme="minorEastAsia" w:hAnsiTheme="minorHAnsi" w:cstheme="minorBidi"/>
          <w:noProof/>
          <w:sz w:val="22"/>
          <w:szCs w:val="22"/>
        </w:rPr>
        <w:tab/>
      </w:r>
      <w:r>
        <w:rPr>
          <w:noProof/>
        </w:rPr>
        <w:t>Assessment of the body of evidence – primary studies</w:t>
      </w:r>
      <w:r>
        <w:rPr>
          <w:noProof/>
        </w:rPr>
        <w:tab/>
      </w:r>
      <w:r>
        <w:rPr>
          <w:noProof/>
        </w:rPr>
        <w:fldChar w:fldCharType="begin"/>
      </w:r>
      <w:r>
        <w:rPr>
          <w:noProof/>
        </w:rPr>
        <w:instrText xml:space="preserve"> PAGEREF _Toc106811124 \h </w:instrText>
      </w:r>
      <w:r>
        <w:rPr>
          <w:noProof/>
        </w:rPr>
      </w:r>
      <w:r>
        <w:rPr>
          <w:noProof/>
        </w:rPr>
        <w:fldChar w:fldCharType="separate"/>
      </w:r>
      <w:r w:rsidR="003132AF">
        <w:rPr>
          <w:noProof/>
        </w:rPr>
        <w:t>19</w:t>
      </w:r>
      <w:r>
        <w:rPr>
          <w:noProof/>
        </w:rPr>
        <w:fldChar w:fldCharType="end"/>
      </w:r>
    </w:p>
    <w:p w14:paraId="4E959843" w14:textId="7779E869" w:rsidR="00F021A6" w:rsidRDefault="00F021A6">
      <w:pPr>
        <w:pStyle w:val="TOC4"/>
        <w:tabs>
          <w:tab w:val="left" w:pos="1540"/>
          <w:tab w:val="right" w:leader="dot" w:pos="7643"/>
        </w:tabs>
        <w:rPr>
          <w:rFonts w:asciiTheme="minorHAnsi" w:eastAsiaTheme="minorEastAsia" w:hAnsiTheme="minorHAnsi" w:cstheme="minorBidi"/>
          <w:noProof/>
          <w:sz w:val="22"/>
          <w:szCs w:val="22"/>
        </w:rPr>
      </w:pPr>
      <w:r>
        <w:rPr>
          <w:noProof/>
        </w:rPr>
        <w:t>2.7.1.1.</w:t>
      </w:r>
      <w:r>
        <w:rPr>
          <w:rFonts w:asciiTheme="minorHAnsi" w:eastAsiaTheme="minorEastAsia" w:hAnsiTheme="minorHAnsi" w:cstheme="minorBidi"/>
          <w:noProof/>
          <w:sz w:val="22"/>
          <w:szCs w:val="22"/>
        </w:rPr>
        <w:tab/>
      </w:r>
      <w:r>
        <w:rPr>
          <w:noProof/>
        </w:rPr>
        <w:t>Outcome definition and prioritisation</w:t>
      </w:r>
      <w:r>
        <w:rPr>
          <w:noProof/>
        </w:rPr>
        <w:tab/>
      </w:r>
      <w:r>
        <w:rPr>
          <w:noProof/>
        </w:rPr>
        <w:fldChar w:fldCharType="begin"/>
      </w:r>
      <w:r>
        <w:rPr>
          <w:noProof/>
        </w:rPr>
        <w:instrText xml:space="preserve"> PAGEREF _Toc106811125 \h </w:instrText>
      </w:r>
      <w:r>
        <w:rPr>
          <w:noProof/>
        </w:rPr>
      </w:r>
      <w:r>
        <w:rPr>
          <w:noProof/>
        </w:rPr>
        <w:fldChar w:fldCharType="separate"/>
      </w:r>
      <w:r w:rsidR="003132AF">
        <w:rPr>
          <w:noProof/>
        </w:rPr>
        <w:t>20</w:t>
      </w:r>
      <w:r>
        <w:rPr>
          <w:noProof/>
        </w:rPr>
        <w:fldChar w:fldCharType="end"/>
      </w:r>
    </w:p>
    <w:p w14:paraId="5BFF2518" w14:textId="21012A2E" w:rsidR="00F021A6" w:rsidRDefault="00F021A6">
      <w:pPr>
        <w:pStyle w:val="TOC4"/>
        <w:tabs>
          <w:tab w:val="left" w:pos="1540"/>
          <w:tab w:val="right" w:leader="dot" w:pos="7643"/>
        </w:tabs>
        <w:rPr>
          <w:rFonts w:asciiTheme="minorHAnsi" w:eastAsiaTheme="minorEastAsia" w:hAnsiTheme="minorHAnsi" w:cstheme="minorBidi"/>
          <w:noProof/>
          <w:sz w:val="22"/>
          <w:szCs w:val="22"/>
        </w:rPr>
      </w:pPr>
      <w:r>
        <w:rPr>
          <w:noProof/>
        </w:rPr>
        <w:t>2.7.1.2.</w:t>
      </w:r>
      <w:r>
        <w:rPr>
          <w:rFonts w:asciiTheme="minorHAnsi" w:eastAsiaTheme="minorEastAsia" w:hAnsiTheme="minorHAnsi" w:cstheme="minorBidi"/>
          <w:noProof/>
          <w:sz w:val="22"/>
          <w:szCs w:val="22"/>
        </w:rPr>
        <w:tab/>
      </w:r>
      <w:r>
        <w:rPr>
          <w:noProof/>
        </w:rPr>
        <w:t>GRADE assessment</w:t>
      </w:r>
      <w:r>
        <w:rPr>
          <w:noProof/>
        </w:rPr>
        <w:tab/>
      </w:r>
      <w:r>
        <w:rPr>
          <w:noProof/>
        </w:rPr>
        <w:fldChar w:fldCharType="begin"/>
      </w:r>
      <w:r>
        <w:rPr>
          <w:noProof/>
        </w:rPr>
        <w:instrText xml:space="preserve"> PAGEREF _Toc106811126 \h </w:instrText>
      </w:r>
      <w:r>
        <w:rPr>
          <w:noProof/>
        </w:rPr>
      </w:r>
      <w:r>
        <w:rPr>
          <w:noProof/>
        </w:rPr>
        <w:fldChar w:fldCharType="separate"/>
      </w:r>
      <w:r w:rsidR="003132AF">
        <w:rPr>
          <w:noProof/>
        </w:rPr>
        <w:t>21</w:t>
      </w:r>
      <w:r>
        <w:rPr>
          <w:noProof/>
        </w:rPr>
        <w:fldChar w:fldCharType="end"/>
      </w:r>
    </w:p>
    <w:p w14:paraId="663EF2FE" w14:textId="7818394D" w:rsidR="00F021A6" w:rsidRDefault="00F021A6">
      <w:pPr>
        <w:pStyle w:val="TOC4"/>
        <w:tabs>
          <w:tab w:val="left" w:pos="1540"/>
          <w:tab w:val="right" w:leader="dot" w:pos="7643"/>
        </w:tabs>
        <w:rPr>
          <w:rFonts w:asciiTheme="minorHAnsi" w:eastAsiaTheme="minorEastAsia" w:hAnsiTheme="minorHAnsi" w:cstheme="minorBidi"/>
          <w:noProof/>
          <w:sz w:val="22"/>
          <w:szCs w:val="22"/>
        </w:rPr>
      </w:pPr>
      <w:r>
        <w:rPr>
          <w:noProof/>
        </w:rPr>
        <w:t>2.7.1.3.</w:t>
      </w:r>
      <w:r>
        <w:rPr>
          <w:rFonts w:asciiTheme="minorHAnsi" w:eastAsiaTheme="minorEastAsia" w:hAnsiTheme="minorHAnsi" w:cstheme="minorBidi"/>
          <w:noProof/>
          <w:sz w:val="22"/>
          <w:szCs w:val="22"/>
        </w:rPr>
        <w:tab/>
      </w:r>
      <w:r>
        <w:rPr>
          <w:noProof/>
        </w:rPr>
        <w:t>Upgrading or downgrading certainty of evidence</w:t>
      </w:r>
      <w:r>
        <w:rPr>
          <w:noProof/>
        </w:rPr>
        <w:tab/>
      </w:r>
      <w:r>
        <w:rPr>
          <w:noProof/>
        </w:rPr>
        <w:fldChar w:fldCharType="begin"/>
      </w:r>
      <w:r>
        <w:rPr>
          <w:noProof/>
        </w:rPr>
        <w:instrText xml:space="preserve"> PAGEREF _Toc106811127 \h </w:instrText>
      </w:r>
      <w:r>
        <w:rPr>
          <w:noProof/>
        </w:rPr>
      </w:r>
      <w:r>
        <w:rPr>
          <w:noProof/>
        </w:rPr>
        <w:fldChar w:fldCharType="separate"/>
      </w:r>
      <w:r w:rsidR="003132AF">
        <w:rPr>
          <w:noProof/>
        </w:rPr>
        <w:t>22</w:t>
      </w:r>
      <w:r>
        <w:rPr>
          <w:noProof/>
        </w:rPr>
        <w:fldChar w:fldCharType="end"/>
      </w:r>
    </w:p>
    <w:p w14:paraId="17FCDBFC" w14:textId="4AF55A22" w:rsidR="00F021A6" w:rsidRDefault="00F021A6">
      <w:pPr>
        <w:pStyle w:val="TOC3"/>
        <w:tabs>
          <w:tab w:val="left" w:pos="1320"/>
          <w:tab w:val="right" w:leader="dot" w:pos="7643"/>
        </w:tabs>
        <w:rPr>
          <w:rFonts w:asciiTheme="minorHAnsi" w:eastAsiaTheme="minorEastAsia" w:hAnsiTheme="minorHAnsi" w:cstheme="minorBidi"/>
          <w:noProof/>
          <w:sz w:val="22"/>
          <w:szCs w:val="22"/>
        </w:rPr>
      </w:pPr>
      <w:r>
        <w:rPr>
          <w:noProof/>
        </w:rPr>
        <w:t>2.7.2.</w:t>
      </w:r>
      <w:r>
        <w:rPr>
          <w:rFonts w:asciiTheme="minorHAnsi" w:eastAsiaTheme="minorEastAsia" w:hAnsiTheme="minorHAnsi" w:cstheme="minorBidi"/>
          <w:noProof/>
          <w:sz w:val="22"/>
          <w:szCs w:val="22"/>
        </w:rPr>
        <w:tab/>
      </w:r>
      <w:r>
        <w:rPr>
          <w:noProof/>
        </w:rPr>
        <w:t>Assessment of the body of evidence – Existing guidelines</w:t>
      </w:r>
      <w:r>
        <w:rPr>
          <w:noProof/>
        </w:rPr>
        <w:tab/>
      </w:r>
      <w:r>
        <w:rPr>
          <w:noProof/>
        </w:rPr>
        <w:fldChar w:fldCharType="begin"/>
      </w:r>
      <w:r>
        <w:rPr>
          <w:noProof/>
        </w:rPr>
        <w:instrText xml:space="preserve"> PAGEREF _Toc106811128 \h </w:instrText>
      </w:r>
      <w:r>
        <w:rPr>
          <w:noProof/>
        </w:rPr>
      </w:r>
      <w:r>
        <w:rPr>
          <w:noProof/>
        </w:rPr>
        <w:fldChar w:fldCharType="separate"/>
      </w:r>
      <w:r w:rsidR="003132AF">
        <w:rPr>
          <w:noProof/>
        </w:rPr>
        <w:t>23</w:t>
      </w:r>
      <w:r>
        <w:rPr>
          <w:noProof/>
        </w:rPr>
        <w:fldChar w:fldCharType="end"/>
      </w:r>
    </w:p>
    <w:p w14:paraId="5A9000A0" w14:textId="3E026454" w:rsidR="00F021A6" w:rsidRDefault="00F021A6">
      <w:pPr>
        <w:pStyle w:val="TOC1"/>
        <w:rPr>
          <w:rFonts w:asciiTheme="minorHAnsi" w:eastAsiaTheme="minorEastAsia" w:hAnsiTheme="minorHAnsi" w:cstheme="minorBidi"/>
          <w:noProof/>
          <w:sz w:val="22"/>
          <w:szCs w:val="22"/>
        </w:rPr>
      </w:pPr>
      <w:r>
        <w:rPr>
          <w:noProof/>
        </w:rPr>
        <w:t>3</w:t>
      </w:r>
      <w:r>
        <w:rPr>
          <w:rFonts w:asciiTheme="minorHAnsi" w:eastAsiaTheme="minorEastAsia" w:hAnsiTheme="minorHAnsi" w:cstheme="minorBidi"/>
          <w:noProof/>
          <w:sz w:val="22"/>
          <w:szCs w:val="22"/>
        </w:rPr>
        <w:tab/>
      </w:r>
      <w:r>
        <w:rPr>
          <w:noProof/>
        </w:rPr>
        <w:t>Literature search results</w:t>
      </w:r>
      <w:r>
        <w:rPr>
          <w:noProof/>
        </w:rPr>
        <w:tab/>
      </w:r>
      <w:r>
        <w:rPr>
          <w:noProof/>
        </w:rPr>
        <w:fldChar w:fldCharType="begin"/>
      </w:r>
      <w:r>
        <w:rPr>
          <w:noProof/>
        </w:rPr>
        <w:instrText xml:space="preserve"> PAGEREF _Toc106811129 \h </w:instrText>
      </w:r>
      <w:r>
        <w:rPr>
          <w:noProof/>
        </w:rPr>
      </w:r>
      <w:r>
        <w:rPr>
          <w:noProof/>
        </w:rPr>
        <w:fldChar w:fldCharType="separate"/>
      </w:r>
      <w:r w:rsidR="003132AF">
        <w:rPr>
          <w:noProof/>
        </w:rPr>
        <w:t>24</w:t>
      </w:r>
      <w:r>
        <w:rPr>
          <w:noProof/>
        </w:rPr>
        <w:fldChar w:fldCharType="end"/>
      </w:r>
    </w:p>
    <w:p w14:paraId="6174EF29" w14:textId="47D81DCF" w:rsidR="00F021A6" w:rsidRDefault="00F021A6">
      <w:pPr>
        <w:pStyle w:val="TOC2"/>
        <w:tabs>
          <w:tab w:val="left" w:pos="880"/>
          <w:tab w:val="right" w:leader="dot" w:pos="7643"/>
        </w:tabs>
        <w:rPr>
          <w:rFonts w:asciiTheme="minorHAnsi" w:eastAsiaTheme="minorEastAsia" w:hAnsiTheme="minorHAnsi" w:cstheme="minorBidi"/>
          <w:noProof/>
          <w:sz w:val="22"/>
          <w:szCs w:val="22"/>
        </w:rPr>
      </w:pPr>
      <w:r>
        <w:rPr>
          <w:noProof/>
        </w:rPr>
        <w:t>3.1.</w:t>
      </w:r>
      <w:r>
        <w:rPr>
          <w:rFonts w:asciiTheme="minorHAnsi" w:eastAsiaTheme="minorEastAsia" w:hAnsiTheme="minorHAnsi" w:cstheme="minorBidi"/>
          <w:noProof/>
          <w:sz w:val="22"/>
          <w:szCs w:val="22"/>
        </w:rPr>
        <w:tab/>
      </w:r>
      <w:r>
        <w:rPr>
          <w:noProof/>
        </w:rPr>
        <w:t>Existing guidelines</w:t>
      </w:r>
      <w:r>
        <w:rPr>
          <w:noProof/>
        </w:rPr>
        <w:tab/>
      </w:r>
      <w:r>
        <w:rPr>
          <w:noProof/>
        </w:rPr>
        <w:fldChar w:fldCharType="begin"/>
      </w:r>
      <w:r>
        <w:rPr>
          <w:noProof/>
        </w:rPr>
        <w:instrText xml:space="preserve"> PAGEREF _Toc106811130 \h </w:instrText>
      </w:r>
      <w:r>
        <w:rPr>
          <w:noProof/>
        </w:rPr>
      </w:r>
      <w:r>
        <w:rPr>
          <w:noProof/>
        </w:rPr>
        <w:fldChar w:fldCharType="separate"/>
      </w:r>
      <w:r w:rsidR="003132AF">
        <w:rPr>
          <w:noProof/>
        </w:rPr>
        <w:t>24</w:t>
      </w:r>
      <w:r>
        <w:rPr>
          <w:noProof/>
        </w:rPr>
        <w:fldChar w:fldCharType="end"/>
      </w:r>
    </w:p>
    <w:p w14:paraId="5E07ED75" w14:textId="190FF833" w:rsidR="00F021A6" w:rsidRDefault="00F021A6">
      <w:pPr>
        <w:pStyle w:val="TOC2"/>
        <w:tabs>
          <w:tab w:val="left" w:pos="880"/>
          <w:tab w:val="right" w:leader="dot" w:pos="7643"/>
        </w:tabs>
        <w:rPr>
          <w:rFonts w:asciiTheme="minorHAnsi" w:eastAsiaTheme="minorEastAsia" w:hAnsiTheme="minorHAnsi" w:cstheme="minorBidi"/>
          <w:noProof/>
          <w:sz w:val="22"/>
          <w:szCs w:val="22"/>
        </w:rPr>
      </w:pPr>
      <w:r>
        <w:rPr>
          <w:noProof/>
        </w:rPr>
        <w:t>3.2.</w:t>
      </w:r>
      <w:r>
        <w:rPr>
          <w:rFonts w:asciiTheme="minorHAnsi" w:eastAsiaTheme="minorEastAsia" w:hAnsiTheme="minorHAnsi" w:cstheme="minorBidi"/>
          <w:noProof/>
          <w:sz w:val="22"/>
          <w:szCs w:val="22"/>
        </w:rPr>
        <w:tab/>
      </w:r>
      <w:r>
        <w:rPr>
          <w:noProof/>
        </w:rPr>
        <w:t>Primary studies</w:t>
      </w:r>
      <w:r>
        <w:rPr>
          <w:noProof/>
        </w:rPr>
        <w:tab/>
      </w:r>
      <w:r>
        <w:rPr>
          <w:noProof/>
        </w:rPr>
        <w:fldChar w:fldCharType="begin"/>
      </w:r>
      <w:r>
        <w:rPr>
          <w:noProof/>
        </w:rPr>
        <w:instrText xml:space="preserve"> PAGEREF _Toc106811131 \h </w:instrText>
      </w:r>
      <w:r>
        <w:rPr>
          <w:noProof/>
        </w:rPr>
      </w:r>
      <w:r>
        <w:rPr>
          <w:noProof/>
        </w:rPr>
        <w:fldChar w:fldCharType="separate"/>
      </w:r>
      <w:r w:rsidR="003132AF">
        <w:rPr>
          <w:noProof/>
        </w:rPr>
        <w:t>24</w:t>
      </w:r>
      <w:r>
        <w:rPr>
          <w:noProof/>
        </w:rPr>
        <w:fldChar w:fldCharType="end"/>
      </w:r>
    </w:p>
    <w:p w14:paraId="712D7B1E" w14:textId="78F147B3" w:rsidR="00F021A6" w:rsidRDefault="00F021A6">
      <w:pPr>
        <w:pStyle w:val="TOC1"/>
        <w:rPr>
          <w:rFonts w:asciiTheme="minorHAnsi" w:eastAsiaTheme="minorEastAsia" w:hAnsiTheme="minorHAnsi" w:cstheme="minorBidi"/>
          <w:noProof/>
          <w:sz w:val="22"/>
          <w:szCs w:val="22"/>
        </w:rPr>
      </w:pPr>
      <w:r>
        <w:rPr>
          <w:noProof/>
        </w:rPr>
        <w:t>4</w:t>
      </w:r>
      <w:r>
        <w:rPr>
          <w:rFonts w:asciiTheme="minorHAnsi" w:eastAsiaTheme="minorEastAsia" w:hAnsiTheme="minorHAnsi" w:cstheme="minorBidi"/>
          <w:noProof/>
          <w:sz w:val="22"/>
          <w:szCs w:val="22"/>
        </w:rPr>
        <w:tab/>
      </w:r>
      <w:r>
        <w:rPr>
          <w:noProof/>
        </w:rPr>
        <w:t>Quality of evidence</w:t>
      </w:r>
      <w:r>
        <w:rPr>
          <w:noProof/>
        </w:rPr>
        <w:tab/>
      </w:r>
      <w:r>
        <w:rPr>
          <w:noProof/>
        </w:rPr>
        <w:fldChar w:fldCharType="begin"/>
      </w:r>
      <w:r>
        <w:rPr>
          <w:noProof/>
        </w:rPr>
        <w:instrText xml:space="preserve"> PAGEREF _Toc106811132 \h </w:instrText>
      </w:r>
      <w:r>
        <w:rPr>
          <w:noProof/>
        </w:rPr>
      </w:r>
      <w:r>
        <w:rPr>
          <w:noProof/>
        </w:rPr>
        <w:fldChar w:fldCharType="separate"/>
      </w:r>
      <w:r w:rsidR="003132AF">
        <w:rPr>
          <w:noProof/>
        </w:rPr>
        <w:t>27</w:t>
      </w:r>
      <w:r>
        <w:rPr>
          <w:noProof/>
        </w:rPr>
        <w:fldChar w:fldCharType="end"/>
      </w:r>
    </w:p>
    <w:p w14:paraId="78D91107" w14:textId="727E8662" w:rsidR="00F021A6" w:rsidRDefault="00F021A6">
      <w:pPr>
        <w:pStyle w:val="TOC2"/>
        <w:tabs>
          <w:tab w:val="left" w:pos="880"/>
          <w:tab w:val="right" w:leader="dot" w:pos="7643"/>
        </w:tabs>
        <w:rPr>
          <w:rFonts w:asciiTheme="minorHAnsi" w:eastAsiaTheme="minorEastAsia" w:hAnsiTheme="minorHAnsi" w:cstheme="minorBidi"/>
          <w:noProof/>
          <w:sz w:val="22"/>
          <w:szCs w:val="22"/>
        </w:rPr>
      </w:pPr>
      <w:r>
        <w:rPr>
          <w:noProof/>
        </w:rPr>
        <w:t>4.1.</w:t>
      </w:r>
      <w:r>
        <w:rPr>
          <w:rFonts w:asciiTheme="minorHAnsi" w:eastAsiaTheme="minorEastAsia" w:hAnsiTheme="minorHAnsi" w:cstheme="minorBidi"/>
          <w:noProof/>
          <w:sz w:val="22"/>
          <w:szCs w:val="22"/>
        </w:rPr>
        <w:tab/>
      </w:r>
      <w:r>
        <w:rPr>
          <w:noProof/>
        </w:rPr>
        <w:t>Existing guidelines</w:t>
      </w:r>
      <w:r>
        <w:rPr>
          <w:noProof/>
        </w:rPr>
        <w:tab/>
      </w:r>
      <w:r>
        <w:rPr>
          <w:noProof/>
        </w:rPr>
        <w:fldChar w:fldCharType="begin"/>
      </w:r>
      <w:r>
        <w:rPr>
          <w:noProof/>
        </w:rPr>
        <w:instrText xml:space="preserve"> PAGEREF _Toc106811133 \h </w:instrText>
      </w:r>
      <w:r>
        <w:rPr>
          <w:noProof/>
        </w:rPr>
      </w:r>
      <w:r>
        <w:rPr>
          <w:noProof/>
        </w:rPr>
        <w:fldChar w:fldCharType="separate"/>
      </w:r>
      <w:r w:rsidR="003132AF">
        <w:rPr>
          <w:noProof/>
        </w:rPr>
        <w:t>27</w:t>
      </w:r>
      <w:r>
        <w:rPr>
          <w:noProof/>
        </w:rPr>
        <w:fldChar w:fldCharType="end"/>
      </w:r>
    </w:p>
    <w:p w14:paraId="3A6F1F5F" w14:textId="57B32294" w:rsidR="00F021A6" w:rsidRDefault="00F021A6">
      <w:pPr>
        <w:pStyle w:val="TOC3"/>
        <w:tabs>
          <w:tab w:val="left" w:pos="1320"/>
          <w:tab w:val="right" w:leader="dot" w:pos="7643"/>
        </w:tabs>
        <w:rPr>
          <w:rFonts w:asciiTheme="minorHAnsi" w:eastAsiaTheme="minorEastAsia" w:hAnsiTheme="minorHAnsi" w:cstheme="minorBidi"/>
          <w:noProof/>
          <w:sz w:val="22"/>
          <w:szCs w:val="22"/>
        </w:rPr>
      </w:pPr>
      <w:r>
        <w:rPr>
          <w:noProof/>
        </w:rPr>
        <w:t>4.1.1.</w:t>
      </w:r>
      <w:r>
        <w:rPr>
          <w:rFonts w:asciiTheme="minorHAnsi" w:eastAsiaTheme="minorEastAsia" w:hAnsiTheme="minorHAnsi" w:cstheme="minorBidi"/>
          <w:noProof/>
          <w:sz w:val="22"/>
          <w:szCs w:val="22"/>
        </w:rPr>
        <w:tab/>
      </w:r>
      <w:r>
        <w:rPr>
          <w:noProof/>
        </w:rPr>
        <w:t>Quality of included guidelines</w:t>
      </w:r>
      <w:r>
        <w:rPr>
          <w:noProof/>
        </w:rPr>
        <w:tab/>
      </w:r>
      <w:r>
        <w:rPr>
          <w:noProof/>
        </w:rPr>
        <w:fldChar w:fldCharType="begin"/>
      </w:r>
      <w:r>
        <w:rPr>
          <w:noProof/>
        </w:rPr>
        <w:instrText xml:space="preserve"> PAGEREF _Toc106811134 \h </w:instrText>
      </w:r>
      <w:r>
        <w:rPr>
          <w:noProof/>
        </w:rPr>
      </w:r>
      <w:r>
        <w:rPr>
          <w:noProof/>
        </w:rPr>
        <w:fldChar w:fldCharType="separate"/>
      </w:r>
      <w:r w:rsidR="003132AF">
        <w:rPr>
          <w:noProof/>
        </w:rPr>
        <w:t>27</w:t>
      </w:r>
      <w:r>
        <w:rPr>
          <w:noProof/>
        </w:rPr>
        <w:fldChar w:fldCharType="end"/>
      </w:r>
    </w:p>
    <w:p w14:paraId="541353A8" w14:textId="280E1649" w:rsidR="00F021A6" w:rsidRDefault="00F021A6">
      <w:pPr>
        <w:pStyle w:val="TOC2"/>
        <w:tabs>
          <w:tab w:val="left" w:pos="880"/>
          <w:tab w:val="right" w:leader="dot" w:pos="7643"/>
        </w:tabs>
        <w:rPr>
          <w:rFonts w:asciiTheme="minorHAnsi" w:eastAsiaTheme="minorEastAsia" w:hAnsiTheme="minorHAnsi" w:cstheme="minorBidi"/>
          <w:noProof/>
          <w:sz w:val="22"/>
          <w:szCs w:val="22"/>
        </w:rPr>
      </w:pPr>
      <w:r>
        <w:rPr>
          <w:noProof/>
        </w:rPr>
        <w:t>4.2.</w:t>
      </w:r>
      <w:r>
        <w:rPr>
          <w:rFonts w:asciiTheme="minorHAnsi" w:eastAsiaTheme="minorEastAsia" w:hAnsiTheme="minorHAnsi" w:cstheme="minorBidi"/>
          <w:noProof/>
          <w:sz w:val="22"/>
          <w:szCs w:val="22"/>
        </w:rPr>
        <w:tab/>
      </w:r>
      <w:r>
        <w:rPr>
          <w:noProof/>
        </w:rPr>
        <w:t>Primary studies</w:t>
      </w:r>
      <w:r>
        <w:rPr>
          <w:noProof/>
        </w:rPr>
        <w:tab/>
      </w:r>
      <w:r>
        <w:rPr>
          <w:noProof/>
        </w:rPr>
        <w:fldChar w:fldCharType="begin"/>
      </w:r>
      <w:r>
        <w:rPr>
          <w:noProof/>
        </w:rPr>
        <w:instrText xml:space="preserve"> PAGEREF _Toc106811135 \h </w:instrText>
      </w:r>
      <w:r>
        <w:rPr>
          <w:noProof/>
        </w:rPr>
      </w:r>
      <w:r>
        <w:rPr>
          <w:noProof/>
        </w:rPr>
        <w:fldChar w:fldCharType="separate"/>
      </w:r>
      <w:r w:rsidR="003132AF">
        <w:rPr>
          <w:noProof/>
        </w:rPr>
        <w:t>30</w:t>
      </w:r>
      <w:r>
        <w:rPr>
          <w:noProof/>
        </w:rPr>
        <w:fldChar w:fldCharType="end"/>
      </w:r>
    </w:p>
    <w:p w14:paraId="047D2D33" w14:textId="3D560B1D" w:rsidR="00F021A6" w:rsidRDefault="00F021A6">
      <w:pPr>
        <w:pStyle w:val="TOC3"/>
        <w:tabs>
          <w:tab w:val="left" w:pos="1320"/>
          <w:tab w:val="right" w:leader="dot" w:pos="7643"/>
        </w:tabs>
        <w:rPr>
          <w:rFonts w:asciiTheme="minorHAnsi" w:eastAsiaTheme="minorEastAsia" w:hAnsiTheme="minorHAnsi" w:cstheme="minorBidi"/>
          <w:noProof/>
          <w:sz w:val="22"/>
          <w:szCs w:val="22"/>
        </w:rPr>
      </w:pPr>
      <w:r>
        <w:rPr>
          <w:noProof/>
        </w:rPr>
        <w:t>4.2.1.</w:t>
      </w:r>
      <w:r>
        <w:rPr>
          <w:rFonts w:asciiTheme="minorHAnsi" w:eastAsiaTheme="minorEastAsia" w:hAnsiTheme="minorHAnsi" w:cstheme="minorBidi"/>
          <w:noProof/>
          <w:sz w:val="22"/>
          <w:szCs w:val="22"/>
        </w:rPr>
        <w:tab/>
      </w:r>
      <w:r>
        <w:rPr>
          <w:noProof/>
        </w:rPr>
        <w:t>Quality of included studies</w:t>
      </w:r>
      <w:r>
        <w:rPr>
          <w:noProof/>
        </w:rPr>
        <w:tab/>
      </w:r>
      <w:r>
        <w:rPr>
          <w:noProof/>
        </w:rPr>
        <w:fldChar w:fldCharType="begin"/>
      </w:r>
      <w:r>
        <w:rPr>
          <w:noProof/>
        </w:rPr>
        <w:instrText xml:space="preserve"> PAGEREF _Toc106811136 \h </w:instrText>
      </w:r>
      <w:r>
        <w:rPr>
          <w:noProof/>
        </w:rPr>
      </w:r>
      <w:r>
        <w:rPr>
          <w:noProof/>
        </w:rPr>
        <w:fldChar w:fldCharType="separate"/>
      </w:r>
      <w:r w:rsidR="003132AF">
        <w:rPr>
          <w:noProof/>
        </w:rPr>
        <w:t>30</w:t>
      </w:r>
      <w:r>
        <w:rPr>
          <w:noProof/>
        </w:rPr>
        <w:fldChar w:fldCharType="end"/>
      </w:r>
    </w:p>
    <w:p w14:paraId="513BB6D9" w14:textId="5F6E98D3" w:rsidR="00F021A6" w:rsidRDefault="00F021A6">
      <w:pPr>
        <w:pStyle w:val="TOC1"/>
        <w:rPr>
          <w:rFonts w:asciiTheme="minorHAnsi" w:eastAsiaTheme="minorEastAsia" w:hAnsiTheme="minorHAnsi" w:cstheme="minorBidi"/>
          <w:noProof/>
          <w:sz w:val="22"/>
          <w:szCs w:val="22"/>
        </w:rPr>
      </w:pPr>
      <w:r>
        <w:rPr>
          <w:noProof/>
        </w:rPr>
        <w:t>5</w:t>
      </w:r>
      <w:r>
        <w:rPr>
          <w:rFonts w:asciiTheme="minorHAnsi" w:eastAsiaTheme="minorEastAsia" w:hAnsiTheme="minorHAnsi" w:cstheme="minorBidi"/>
          <w:noProof/>
          <w:sz w:val="22"/>
          <w:szCs w:val="22"/>
        </w:rPr>
        <w:tab/>
      </w:r>
      <w:r>
        <w:rPr>
          <w:noProof/>
        </w:rPr>
        <w:t>Full list of included studies</w:t>
      </w:r>
      <w:r>
        <w:rPr>
          <w:noProof/>
        </w:rPr>
        <w:tab/>
      </w:r>
      <w:r>
        <w:rPr>
          <w:noProof/>
        </w:rPr>
        <w:fldChar w:fldCharType="begin"/>
      </w:r>
      <w:r>
        <w:rPr>
          <w:noProof/>
        </w:rPr>
        <w:instrText xml:space="preserve"> PAGEREF _Toc106811137 \h </w:instrText>
      </w:r>
      <w:r>
        <w:rPr>
          <w:noProof/>
        </w:rPr>
      </w:r>
      <w:r>
        <w:rPr>
          <w:noProof/>
        </w:rPr>
        <w:fldChar w:fldCharType="separate"/>
      </w:r>
      <w:r w:rsidR="003132AF">
        <w:rPr>
          <w:noProof/>
        </w:rPr>
        <w:t>32</w:t>
      </w:r>
      <w:r>
        <w:rPr>
          <w:noProof/>
        </w:rPr>
        <w:fldChar w:fldCharType="end"/>
      </w:r>
    </w:p>
    <w:p w14:paraId="7AE27AF2" w14:textId="1201CDFB" w:rsidR="00F021A6" w:rsidRDefault="00F021A6">
      <w:pPr>
        <w:pStyle w:val="TOC2"/>
        <w:tabs>
          <w:tab w:val="left" w:pos="880"/>
          <w:tab w:val="right" w:leader="dot" w:pos="7643"/>
        </w:tabs>
        <w:rPr>
          <w:rFonts w:asciiTheme="minorHAnsi" w:eastAsiaTheme="minorEastAsia" w:hAnsiTheme="minorHAnsi" w:cstheme="minorBidi"/>
          <w:noProof/>
          <w:sz w:val="22"/>
          <w:szCs w:val="22"/>
        </w:rPr>
      </w:pPr>
      <w:r>
        <w:rPr>
          <w:noProof/>
        </w:rPr>
        <w:t>5.1.</w:t>
      </w:r>
      <w:r>
        <w:rPr>
          <w:rFonts w:asciiTheme="minorHAnsi" w:eastAsiaTheme="minorEastAsia" w:hAnsiTheme="minorHAnsi" w:cstheme="minorBidi"/>
          <w:noProof/>
          <w:sz w:val="22"/>
          <w:szCs w:val="22"/>
        </w:rPr>
        <w:tab/>
      </w:r>
      <w:r>
        <w:rPr>
          <w:noProof/>
        </w:rPr>
        <w:t>Existing guidelines</w:t>
      </w:r>
      <w:r>
        <w:rPr>
          <w:noProof/>
        </w:rPr>
        <w:tab/>
      </w:r>
      <w:r>
        <w:rPr>
          <w:noProof/>
        </w:rPr>
        <w:fldChar w:fldCharType="begin"/>
      </w:r>
      <w:r>
        <w:rPr>
          <w:noProof/>
        </w:rPr>
        <w:instrText xml:space="preserve"> PAGEREF _Toc106811138 \h </w:instrText>
      </w:r>
      <w:r>
        <w:rPr>
          <w:noProof/>
        </w:rPr>
      </w:r>
      <w:r>
        <w:rPr>
          <w:noProof/>
        </w:rPr>
        <w:fldChar w:fldCharType="separate"/>
      </w:r>
      <w:r w:rsidR="003132AF">
        <w:rPr>
          <w:noProof/>
        </w:rPr>
        <w:t>32</w:t>
      </w:r>
      <w:r>
        <w:rPr>
          <w:noProof/>
        </w:rPr>
        <w:fldChar w:fldCharType="end"/>
      </w:r>
    </w:p>
    <w:p w14:paraId="5D938721" w14:textId="5FF61FB8" w:rsidR="00F021A6" w:rsidRDefault="00F021A6">
      <w:pPr>
        <w:pStyle w:val="TOC2"/>
        <w:tabs>
          <w:tab w:val="left" w:pos="880"/>
          <w:tab w:val="right" w:leader="dot" w:pos="7643"/>
        </w:tabs>
        <w:rPr>
          <w:rFonts w:asciiTheme="minorHAnsi" w:eastAsiaTheme="minorEastAsia" w:hAnsiTheme="minorHAnsi" w:cstheme="minorBidi"/>
          <w:noProof/>
          <w:sz w:val="22"/>
          <w:szCs w:val="22"/>
        </w:rPr>
      </w:pPr>
      <w:r>
        <w:rPr>
          <w:noProof/>
        </w:rPr>
        <w:t>5.2.</w:t>
      </w:r>
      <w:r>
        <w:rPr>
          <w:rFonts w:asciiTheme="minorHAnsi" w:eastAsiaTheme="minorEastAsia" w:hAnsiTheme="minorHAnsi" w:cstheme="minorBidi"/>
          <w:noProof/>
          <w:sz w:val="22"/>
          <w:szCs w:val="22"/>
        </w:rPr>
        <w:tab/>
      </w:r>
      <w:r>
        <w:rPr>
          <w:noProof/>
        </w:rPr>
        <w:t>Primary studies</w:t>
      </w:r>
      <w:r>
        <w:rPr>
          <w:noProof/>
        </w:rPr>
        <w:tab/>
      </w:r>
      <w:r>
        <w:rPr>
          <w:noProof/>
        </w:rPr>
        <w:fldChar w:fldCharType="begin"/>
      </w:r>
      <w:r>
        <w:rPr>
          <w:noProof/>
        </w:rPr>
        <w:instrText xml:space="preserve"> PAGEREF _Toc106811139 \h </w:instrText>
      </w:r>
      <w:r>
        <w:rPr>
          <w:noProof/>
        </w:rPr>
      </w:r>
      <w:r>
        <w:rPr>
          <w:noProof/>
        </w:rPr>
        <w:fldChar w:fldCharType="separate"/>
      </w:r>
      <w:r w:rsidR="003132AF">
        <w:rPr>
          <w:noProof/>
        </w:rPr>
        <w:t>33</w:t>
      </w:r>
      <w:r>
        <w:rPr>
          <w:noProof/>
        </w:rPr>
        <w:fldChar w:fldCharType="end"/>
      </w:r>
    </w:p>
    <w:p w14:paraId="7FB3E882" w14:textId="29444420" w:rsidR="00F021A6" w:rsidRDefault="00F021A6">
      <w:pPr>
        <w:pStyle w:val="TOC1"/>
        <w:rPr>
          <w:rFonts w:asciiTheme="minorHAnsi" w:eastAsiaTheme="minorEastAsia" w:hAnsiTheme="minorHAnsi" w:cstheme="minorBidi"/>
          <w:noProof/>
          <w:sz w:val="22"/>
          <w:szCs w:val="22"/>
        </w:rPr>
      </w:pPr>
      <w:r>
        <w:rPr>
          <w:noProof/>
        </w:rPr>
        <w:t>6</w:t>
      </w:r>
      <w:r>
        <w:rPr>
          <w:rFonts w:asciiTheme="minorHAnsi" w:eastAsiaTheme="minorEastAsia" w:hAnsiTheme="minorHAnsi" w:cstheme="minorBidi"/>
          <w:noProof/>
          <w:sz w:val="22"/>
          <w:szCs w:val="22"/>
        </w:rPr>
        <w:tab/>
      </w:r>
      <w:r>
        <w:rPr>
          <w:noProof/>
        </w:rPr>
        <w:t>Significance of risks to human health from chemical hazards in recreational waters</w:t>
      </w:r>
      <w:r>
        <w:rPr>
          <w:noProof/>
        </w:rPr>
        <w:tab/>
      </w:r>
      <w:r>
        <w:rPr>
          <w:noProof/>
        </w:rPr>
        <w:fldChar w:fldCharType="begin"/>
      </w:r>
      <w:r>
        <w:rPr>
          <w:noProof/>
        </w:rPr>
        <w:instrText xml:space="preserve"> PAGEREF _Toc106811140 \h </w:instrText>
      </w:r>
      <w:r>
        <w:rPr>
          <w:noProof/>
        </w:rPr>
      </w:r>
      <w:r>
        <w:rPr>
          <w:noProof/>
        </w:rPr>
        <w:fldChar w:fldCharType="separate"/>
      </w:r>
      <w:r w:rsidR="003132AF">
        <w:rPr>
          <w:noProof/>
        </w:rPr>
        <w:t>34</w:t>
      </w:r>
      <w:r>
        <w:rPr>
          <w:noProof/>
        </w:rPr>
        <w:fldChar w:fldCharType="end"/>
      </w:r>
    </w:p>
    <w:p w14:paraId="33EBB62B" w14:textId="13BCB95E" w:rsidR="00F021A6" w:rsidRDefault="00F021A6">
      <w:pPr>
        <w:pStyle w:val="TOC2"/>
        <w:tabs>
          <w:tab w:val="left" w:pos="880"/>
          <w:tab w:val="right" w:leader="dot" w:pos="7643"/>
        </w:tabs>
        <w:rPr>
          <w:rFonts w:asciiTheme="minorHAnsi" w:eastAsiaTheme="minorEastAsia" w:hAnsiTheme="minorHAnsi" w:cstheme="minorBidi"/>
          <w:noProof/>
          <w:sz w:val="22"/>
          <w:szCs w:val="22"/>
        </w:rPr>
      </w:pPr>
      <w:r>
        <w:rPr>
          <w:noProof/>
        </w:rPr>
        <w:t>6.1.</w:t>
      </w:r>
      <w:r>
        <w:rPr>
          <w:rFonts w:asciiTheme="minorHAnsi" w:eastAsiaTheme="minorEastAsia" w:hAnsiTheme="minorHAnsi" w:cstheme="minorBidi"/>
          <w:noProof/>
          <w:sz w:val="22"/>
          <w:szCs w:val="22"/>
        </w:rPr>
        <w:tab/>
      </w:r>
      <w:r>
        <w:rPr>
          <w:noProof/>
        </w:rPr>
        <w:t>Review of existing guidelines</w:t>
      </w:r>
      <w:r>
        <w:rPr>
          <w:noProof/>
        </w:rPr>
        <w:tab/>
      </w:r>
      <w:r>
        <w:rPr>
          <w:noProof/>
        </w:rPr>
        <w:fldChar w:fldCharType="begin"/>
      </w:r>
      <w:r>
        <w:rPr>
          <w:noProof/>
        </w:rPr>
        <w:instrText xml:space="preserve"> PAGEREF _Toc106811141 \h </w:instrText>
      </w:r>
      <w:r>
        <w:rPr>
          <w:noProof/>
        </w:rPr>
      </w:r>
      <w:r>
        <w:rPr>
          <w:noProof/>
        </w:rPr>
        <w:fldChar w:fldCharType="separate"/>
      </w:r>
      <w:r w:rsidR="003132AF">
        <w:rPr>
          <w:noProof/>
        </w:rPr>
        <w:t>34</w:t>
      </w:r>
      <w:r>
        <w:rPr>
          <w:noProof/>
        </w:rPr>
        <w:fldChar w:fldCharType="end"/>
      </w:r>
    </w:p>
    <w:p w14:paraId="74B85BAC" w14:textId="48445420" w:rsidR="00F021A6" w:rsidRDefault="00F021A6">
      <w:pPr>
        <w:pStyle w:val="TOC3"/>
        <w:tabs>
          <w:tab w:val="left" w:pos="1320"/>
          <w:tab w:val="right" w:leader="dot" w:pos="7643"/>
        </w:tabs>
        <w:rPr>
          <w:rFonts w:asciiTheme="minorHAnsi" w:eastAsiaTheme="minorEastAsia" w:hAnsiTheme="minorHAnsi" w:cstheme="minorBidi"/>
          <w:noProof/>
          <w:sz w:val="22"/>
          <w:szCs w:val="22"/>
        </w:rPr>
      </w:pPr>
      <w:r>
        <w:rPr>
          <w:noProof/>
        </w:rPr>
        <w:t>6.1.1.</w:t>
      </w:r>
      <w:r>
        <w:rPr>
          <w:rFonts w:asciiTheme="minorHAnsi" w:eastAsiaTheme="minorEastAsia" w:hAnsiTheme="minorHAnsi" w:cstheme="minorBidi"/>
          <w:noProof/>
          <w:sz w:val="22"/>
          <w:szCs w:val="22"/>
        </w:rPr>
        <w:tab/>
      </w:r>
      <w:r>
        <w:rPr>
          <w:noProof/>
        </w:rPr>
        <w:t>Primary research question</w:t>
      </w:r>
      <w:r>
        <w:rPr>
          <w:noProof/>
        </w:rPr>
        <w:tab/>
      </w:r>
      <w:r>
        <w:rPr>
          <w:noProof/>
        </w:rPr>
        <w:fldChar w:fldCharType="begin"/>
      </w:r>
      <w:r>
        <w:rPr>
          <w:noProof/>
        </w:rPr>
        <w:instrText xml:space="preserve"> PAGEREF _Toc106811142 \h </w:instrText>
      </w:r>
      <w:r>
        <w:rPr>
          <w:noProof/>
        </w:rPr>
      </w:r>
      <w:r>
        <w:rPr>
          <w:noProof/>
        </w:rPr>
        <w:fldChar w:fldCharType="separate"/>
      </w:r>
      <w:r w:rsidR="003132AF">
        <w:rPr>
          <w:noProof/>
        </w:rPr>
        <w:t>34</w:t>
      </w:r>
      <w:r>
        <w:rPr>
          <w:noProof/>
        </w:rPr>
        <w:fldChar w:fldCharType="end"/>
      </w:r>
    </w:p>
    <w:p w14:paraId="5FA1BD55" w14:textId="6A3C9113" w:rsidR="00F021A6" w:rsidRDefault="00F021A6">
      <w:pPr>
        <w:pStyle w:val="TOC3"/>
        <w:tabs>
          <w:tab w:val="left" w:pos="1320"/>
          <w:tab w:val="right" w:leader="dot" w:pos="7643"/>
        </w:tabs>
        <w:rPr>
          <w:rFonts w:asciiTheme="minorHAnsi" w:eastAsiaTheme="minorEastAsia" w:hAnsiTheme="minorHAnsi" w:cstheme="minorBidi"/>
          <w:noProof/>
          <w:sz w:val="22"/>
          <w:szCs w:val="22"/>
        </w:rPr>
      </w:pPr>
      <w:r w:rsidRPr="002854B6">
        <w:rPr>
          <w:noProof/>
        </w:rPr>
        <w:t>6.1.2.</w:t>
      </w:r>
      <w:r>
        <w:rPr>
          <w:rFonts w:asciiTheme="minorHAnsi" w:eastAsiaTheme="minorEastAsia" w:hAnsiTheme="minorHAnsi" w:cstheme="minorBidi"/>
          <w:noProof/>
          <w:sz w:val="22"/>
          <w:szCs w:val="22"/>
        </w:rPr>
        <w:tab/>
      </w:r>
      <w:r w:rsidRPr="002854B6">
        <w:rPr>
          <w:noProof/>
        </w:rPr>
        <w:t>Secondary research questions</w:t>
      </w:r>
      <w:r>
        <w:rPr>
          <w:noProof/>
        </w:rPr>
        <w:tab/>
      </w:r>
      <w:r>
        <w:rPr>
          <w:noProof/>
        </w:rPr>
        <w:fldChar w:fldCharType="begin"/>
      </w:r>
      <w:r>
        <w:rPr>
          <w:noProof/>
        </w:rPr>
        <w:instrText xml:space="preserve"> PAGEREF _Toc106811143 \h </w:instrText>
      </w:r>
      <w:r>
        <w:rPr>
          <w:noProof/>
        </w:rPr>
      </w:r>
      <w:r>
        <w:rPr>
          <w:noProof/>
        </w:rPr>
        <w:fldChar w:fldCharType="separate"/>
      </w:r>
      <w:r w:rsidR="003132AF">
        <w:rPr>
          <w:noProof/>
        </w:rPr>
        <w:t>37</w:t>
      </w:r>
      <w:r>
        <w:rPr>
          <w:noProof/>
        </w:rPr>
        <w:fldChar w:fldCharType="end"/>
      </w:r>
    </w:p>
    <w:p w14:paraId="5AE95CCA" w14:textId="15878934" w:rsidR="00F021A6" w:rsidRDefault="00F021A6">
      <w:pPr>
        <w:pStyle w:val="TOC2"/>
        <w:tabs>
          <w:tab w:val="left" w:pos="880"/>
          <w:tab w:val="right" w:leader="dot" w:pos="7643"/>
        </w:tabs>
        <w:rPr>
          <w:rFonts w:asciiTheme="minorHAnsi" w:eastAsiaTheme="minorEastAsia" w:hAnsiTheme="minorHAnsi" w:cstheme="minorBidi"/>
          <w:noProof/>
          <w:sz w:val="22"/>
          <w:szCs w:val="22"/>
        </w:rPr>
      </w:pPr>
      <w:r>
        <w:rPr>
          <w:noProof/>
        </w:rPr>
        <w:t>6.2.</w:t>
      </w:r>
      <w:r>
        <w:rPr>
          <w:rFonts w:asciiTheme="minorHAnsi" w:eastAsiaTheme="minorEastAsia" w:hAnsiTheme="minorHAnsi" w:cstheme="minorBidi"/>
          <w:noProof/>
          <w:sz w:val="22"/>
          <w:szCs w:val="22"/>
        </w:rPr>
        <w:tab/>
      </w:r>
      <w:r>
        <w:rPr>
          <w:noProof/>
        </w:rPr>
        <w:t>Review of primary studies</w:t>
      </w:r>
      <w:r>
        <w:rPr>
          <w:noProof/>
        </w:rPr>
        <w:tab/>
      </w:r>
      <w:r>
        <w:rPr>
          <w:noProof/>
        </w:rPr>
        <w:fldChar w:fldCharType="begin"/>
      </w:r>
      <w:r>
        <w:rPr>
          <w:noProof/>
        </w:rPr>
        <w:instrText xml:space="preserve"> PAGEREF _Toc106811144 \h </w:instrText>
      </w:r>
      <w:r>
        <w:rPr>
          <w:noProof/>
        </w:rPr>
      </w:r>
      <w:r>
        <w:rPr>
          <w:noProof/>
        </w:rPr>
        <w:fldChar w:fldCharType="separate"/>
      </w:r>
      <w:r w:rsidR="003132AF">
        <w:rPr>
          <w:noProof/>
        </w:rPr>
        <w:t>43</w:t>
      </w:r>
      <w:r>
        <w:rPr>
          <w:noProof/>
        </w:rPr>
        <w:fldChar w:fldCharType="end"/>
      </w:r>
    </w:p>
    <w:p w14:paraId="45999556" w14:textId="2BD8B2ED" w:rsidR="00F021A6" w:rsidRDefault="00F021A6">
      <w:pPr>
        <w:pStyle w:val="TOC2"/>
        <w:tabs>
          <w:tab w:val="left" w:pos="880"/>
          <w:tab w:val="right" w:leader="dot" w:pos="7643"/>
        </w:tabs>
        <w:rPr>
          <w:rFonts w:asciiTheme="minorHAnsi" w:eastAsiaTheme="minorEastAsia" w:hAnsiTheme="minorHAnsi" w:cstheme="minorBidi"/>
          <w:noProof/>
          <w:sz w:val="22"/>
          <w:szCs w:val="22"/>
        </w:rPr>
      </w:pPr>
      <w:r>
        <w:rPr>
          <w:noProof/>
        </w:rPr>
        <w:t>6.3.</w:t>
      </w:r>
      <w:r>
        <w:rPr>
          <w:rFonts w:asciiTheme="minorHAnsi" w:eastAsiaTheme="minorEastAsia" w:hAnsiTheme="minorHAnsi" w:cstheme="minorBidi"/>
          <w:noProof/>
          <w:sz w:val="22"/>
          <w:szCs w:val="22"/>
        </w:rPr>
        <w:tab/>
      </w:r>
      <w:r>
        <w:rPr>
          <w:noProof/>
        </w:rPr>
        <w:t>Assessment of the certainty in the body of evidence</w:t>
      </w:r>
      <w:r>
        <w:rPr>
          <w:noProof/>
        </w:rPr>
        <w:tab/>
      </w:r>
      <w:r>
        <w:rPr>
          <w:noProof/>
        </w:rPr>
        <w:fldChar w:fldCharType="begin"/>
      </w:r>
      <w:r>
        <w:rPr>
          <w:noProof/>
        </w:rPr>
        <w:instrText xml:space="preserve"> PAGEREF _Toc106811145 \h </w:instrText>
      </w:r>
      <w:r>
        <w:rPr>
          <w:noProof/>
        </w:rPr>
      </w:r>
      <w:r>
        <w:rPr>
          <w:noProof/>
        </w:rPr>
        <w:fldChar w:fldCharType="separate"/>
      </w:r>
      <w:r w:rsidR="003132AF">
        <w:rPr>
          <w:noProof/>
        </w:rPr>
        <w:t>48</w:t>
      </w:r>
      <w:r>
        <w:rPr>
          <w:noProof/>
        </w:rPr>
        <w:fldChar w:fldCharType="end"/>
      </w:r>
    </w:p>
    <w:p w14:paraId="3002E9EC" w14:textId="5AF9CF17" w:rsidR="00F021A6" w:rsidRDefault="00F021A6">
      <w:pPr>
        <w:pStyle w:val="TOC3"/>
        <w:tabs>
          <w:tab w:val="left" w:pos="1320"/>
          <w:tab w:val="right" w:leader="dot" w:pos="7643"/>
        </w:tabs>
        <w:rPr>
          <w:rFonts w:asciiTheme="minorHAnsi" w:eastAsiaTheme="minorEastAsia" w:hAnsiTheme="minorHAnsi" w:cstheme="minorBidi"/>
          <w:noProof/>
          <w:sz w:val="22"/>
          <w:szCs w:val="22"/>
        </w:rPr>
      </w:pPr>
      <w:r>
        <w:rPr>
          <w:noProof/>
        </w:rPr>
        <w:t>6.3.1.</w:t>
      </w:r>
      <w:r>
        <w:rPr>
          <w:rFonts w:asciiTheme="minorHAnsi" w:eastAsiaTheme="minorEastAsia" w:hAnsiTheme="minorHAnsi" w:cstheme="minorBidi"/>
          <w:noProof/>
          <w:sz w:val="22"/>
          <w:szCs w:val="22"/>
        </w:rPr>
        <w:tab/>
      </w:r>
      <w:r>
        <w:rPr>
          <w:noProof/>
        </w:rPr>
        <w:t>Frading the certainty of evidence of primary studies</w:t>
      </w:r>
      <w:r>
        <w:rPr>
          <w:noProof/>
        </w:rPr>
        <w:tab/>
      </w:r>
      <w:r>
        <w:rPr>
          <w:noProof/>
        </w:rPr>
        <w:fldChar w:fldCharType="begin"/>
      </w:r>
      <w:r>
        <w:rPr>
          <w:noProof/>
        </w:rPr>
        <w:instrText xml:space="preserve"> PAGEREF _Toc106811146 \h </w:instrText>
      </w:r>
      <w:r>
        <w:rPr>
          <w:noProof/>
        </w:rPr>
      </w:r>
      <w:r>
        <w:rPr>
          <w:noProof/>
        </w:rPr>
        <w:fldChar w:fldCharType="separate"/>
      </w:r>
      <w:r w:rsidR="003132AF">
        <w:rPr>
          <w:noProof/>
        </w:rPr>
        <w:t>48</w:t>
      </w:r>
      <w:r>
        <w:rPr>
          <w:noProof/>
        </w:rPr>
        <w:fldChar w:fldCharType="end"/>
      </w:r>
    </w:p>
    <w:p w14:paraId="7AD4C8DD" w14:textId="2952666C" w:rsidR="00F021A6" w:rsidRDefault="00F021A6">
      <w:pPr>
        <w:pStyle w:val="TOC1"/>
        <w:rPr>
          <w:rFonts w:asciiTheme="minorHAnsi" w:eastAsiaTheme="minorEastAsia" w:hAnsiTheme="minorHAnsi" w:cstheme="minorBidi"/>
          <w:noProof/>
          <w:sz w:val="22"/>
          <w:szCs w:val="22"/>
        </w:rPr>
      </w:pPr>
      <w:r>
        <w:rPr>
          <w:noProof/>
        </w:rPr>
        <w:t>7</w:t>
      </w:r>
      <w:r>
        <w:rPr>
          <w:rFonts w:asciiTheme="minorHAnsi" w:eastAsiaTheme="minorEastAsia" w:hAnsiTheme="minorHAnsi" w:cstheme="minorBidi"/>
          <w:noProof/>
          <w:sz w:val="22"/>
          <w:szCs w:val="22"/>
        </w:rPr>
        <w:tab/>
      </w:r>
      <w:r>
        <w:rPr>
          <w:noProof/>
        </w:rPr>
        <w:t>Discussion</w:t>
      </w:r>
      <w:r>
        <w:rPr>
          <w:noProof/>
        </w:rPr>
        <w:tab/>
      </w:r>
      <w:r>
        <w:rPr>
          <w:noProof/>
        </w:rPr>
        <w:fldChar w:fldCharType="begin"/>
      </w:r>
      <w:r>
        <w:rPr>
          <w:noProof/>
        </w:rPr>
        <w:instrText xml:space="preserve"> PAGEREF _Toc106811147 \h </w:instrText>
      </w:r>
      <w:r>
        <w:rPr>
          <w:noProof/>
        </w:rPr>
      </w:r>
      <w:r>
        <w:rPr>
          <w:noProof/>
        </w:rPr>
        <w:fldChar w:fldCharType="separate"/>
      </w:r>
      <w:r w:rsidR="003132AF">
        <w:rPr>
          <w:noProof/>
        </w:rPr>
        <w:t>51</w:t>
      </w:r>
      <w:r>
        <w:rPr>
          <w:noProof/>
        </w:rPr>
        <w:fldChar w:fldCharType="end"/>
      </w:r>
    </w:p>
    <w:p w14:paraId="502AC716" w14:textId="2314DB0B" w:rsidR="00F021A6" w:rsidRDefault="00F021A6">
      <w:pPr>
        <w:pStyle w:val="TOC2"/>
        <w:tabs>
          <w:tab w:val="left" w:pos="880"/>
          <w:tab w:val="right" w:leader="dot" w:pos="7643"/>
        </w:tabs>
        <w:rPr>
          <w:rFonts w:asciiTheme="minorHAnsi" w:eastAsiaTheme="minorEastAsia" w:hAnsiTheme="minorHAnsi" w:cstheme="minorBidi"/>
          <w:noProof/>
          <w:sz w:val="22"/>
          <w:szCs w:val="22"/>
        </w:rPr>
      </w:pPr>
      <w:r>
        <w:rPr>
          <w:noProof/>
        </w:rPr>
        <w:t>7.1.</w:t>
      </w:r>
      <w:r>
        <w:rPr>
          <w:rFonts w:asciiTheme="minorHAnsi" w:eastAsiaTheme="minorEastAsia" w:hAnsiTheme="minorHAnsi" w:cstheme="minorBidi"/>
          <w:noProof/>
          <w:sz w:val="22"/>
          <w:szCs w:val="22"/>
        </w:rPr>
        <w:tab/>
      </w:r>
      <w:r>
        <w:rPr>
          <w:noProof/>
        </w:rPr>
        <w:t>Primary research question</w:t>
      </w:r>
      <w:r>
        <w:rPr>
          <w:noProof/>
        </w:rPr>
        <w:tab/>
      </w:r>
      <w:r>
        <w:rPr>
          <w:noProof/>
        </w:rPr>
        <w:fldChar w:fldCharType="begin"/>
      </w:r>
      <w:r>
        <w:rPr>
          <w:noProof/>
        </w:rPr>
        <w:instrText xml:space="preserve"> PAGEREF _Toc106811148 \h </w:instrText>
      </w:r>
      <w:r>
        <w:rPr>
          <w:noProof/>
        </w:rPr>
      </w:r>
      <w:r>
        <w:rPr>
          <w:noProof/>
        </w:rPr>
        <w:fldChar w:fldCharType="separate"/>
      </w:r>
      <w:r w:rsidR="003132AF">
        <w:rPr>
          <w:noProof/>
        </w:rPr>
        <w:t>51</w:t>
      </w:r>
      <w:r>
        <w:rPr>
          <w:noProof/>
        </w:rPr>
        <w:fldChar w:fldCharType="end"/>
      </w:r>
    </w:p>
    <w:p w14:paraId="14247A20" w14:textId="6B51854F" w:rsidR="00F021A6" w:rsidRDefault="00F021A6">
      <w:pPr>
        <w:pStyle w:val="TOC2"/>
        <w:tabs>
          <w:tab w:val="left" w:pos="880"/>
          <w:tab w:val="right" w:leader="dot" w:pos="7643"/>
        </w:tabs>
        <w:rPr>
          <w:rFonts w:asciiTheme="minorHAnsi" w:eastAsiaTheme="minorEastAsia" w:hAnsiTheme="minorHAnsi" w:cstheme="minorBidi"/>
          <w:noProof/>
          <w:sz w:val="22"/>
          <w:szCs w:val="22"/>
        </w:rPr>
      </w:pPr>
      <w:r>
        <w:rPr>
          <w:noProof/>
        </w:rPr>
        <w:t>7.2.</w:t>
      </w:r>
      <w:r>
        <w:rPr>
          <w:rFonts w:asciiTheme="minorHAnsi" w:eastAsiaTheme="minorEastAsia" w:hAnsiTheme="minorHAnsi" w:cstheme="minorBidi"/>
          <w:noProof/>
          <w:sz w:val="22"/>
          <w:szCs w:val="22"/>
        </w:rPr>
        <w:tab/>
      </w:r>
      <w:r>
        <w:rPr>
          <w:noProof/>
        </w:rPr>
        <w:t>GRADE assessment of primary studies</w:t>
      </w:r>
      <w:r>
        <w:rPr>
          <w:noProof/>
        </w:rPr>
        <w:tab/>
      </w:r>
      <w:r>
        <w:rPr>
          <w:noProof/>
        </w:rPr>
        <w:fldChar w:fldCharType="begin"/>
      </w:r>
      <w:r>
        <w:rPr>
          <w:noProof/>
        </w:rPr>
        <w:instrText xml:space="preserve"> PAGEREF _Toc106811149 \h </w:instrText>
      </w:r>
      <w:r>
        <w:rPr>
          <w:noProof/>
        </w:rPr>
      </w:r>
      <w:r>
        <w:rPr>
          <w:noProof/>
        </w:rPr>
        <w:fldChar w:fldCharType="separate"/>
      </w:r>
      <w:r w:rsidR="003132AF">
        <w:rPr>
          <w:noProof/>
        </w:rPr>
        <w:t>52</w:t>
      </w:r>
      <w:r>
        <w:rPr>
          <w:noProof/>
        </w:rPr>
        <w:fldChar w:fldCharType="end"/>
      </w:r>
    </w:p>
    <w:p w14:paraId="566DDD03" w14:textId="4F73A2F1" w:rsidR="00F021A6" w:rsidRDefault="00F021A6">
      <w:pPr>
        <w:pStyle w:val="TOC2"/>
        <w:tabs>
          <w:tab w:val="left" w:pos="880"/>
          <w:tab w:val="right" w:leader="dot" w:pos="7643"/>
        </w:tabs>
        <w:rPr>
          <w:rFonts w:asciiTheme="minorHAnsi" w:eastAsiaTheme="minorEastAsia" w:hAnsiTheme="minorHAnsi" w:cstheme="minorBidi"/>
          <w:noProof/>
          <w:sz w:val="22"/>
          <w:szCs w:val="22"/>
        </w:rPr>
      </w:pPr>
      <w:r>
        <w:rPr>
          <w:noProof/>
        </w:rPr>
        <w:t>7.3.</w:t>
      </w:r>
      <w:r>
        <w:rPr>
          <w:rFonts w:asciiTheme="minorHAnsi" w:eastAsiaTheme="minorEastAsia" w:hAnsiTheme="minorHAnsi" w:cstheme="minorBidi"/>
          <w:noProof/>
          <w:sz w:val="22"/>
          <w:szCs w:val="22"/>
        </w:rPr>
        <w:tab/>
      </w:r>
      <w:r>
        <w:rPr>
          <w:noProof/>
        </w:rPr>
        <w:t>Secondary research questions</w:t>
      </w:r>
      <w:r>
        <w:rPr>
          <w:noProof/>
        </w:rPr>
        <w:tab/>
      </w:r>
      <w:r>
        <w:rPr>
          <w:noProof/>
        </w:rPr>
        <w:fldChar w:fldCharType="begin"/>
      </w:r>
      <w:r>
        <w:rPr>
          <w:noProof/>
        </w:rPr>
        <w:instrText xml:space="preserve"> PAGEREF _Toc106811150 \h </w:instrText>
      </w:r>
      <w:r>
        <w:rPr>
          <w:noProof/>
        </w:rPr>
      </w:r>
      <w:r>
        <w:rPr>
          <w:noProof/>
        </w:rPr>
        <w:fldChar w:fldCharType="separate"/>
      </w:r>
      <w:r w:rsidR="003132AF">
        <w:rPr>
          <w:noProof/>
        </w:rPr>
        <w:t>53</w:t>
      </w:r>
      <w:r>
        <w:rPr>
          <w:noProof/>
        </w:rPr>
        <w:fldChar w:fldCharType="end"/>
      </w:r>
    </w:p>
    <w:p w14:paraId="4FC4AF8E" w14:textId="5F35D806" w:rsidR="00F021A6" w:rsidRDefault="00F021A6">
      <w:pPr>
        <w:pStyle w:val="TOC3"/>
        <w:tabs>
          <w:tab w:val="left" w:pos="1320"/>
          <w:tab w:val="right" w:leader="dot" w:pos="7643"/>
        </w:tabs>
        <w:rPr>
          <w:rFonts w:asciiTheme="minorHAnsi" w:eastAsiaTheme="minorEastAsia" w:hAnsiTheme="minorHAnsi" w:cstheme="minorBidi"/>
          <w:noProof/>
          <w:sz w:val="22"/>
          <w:szCs w:val="22"/>
        </w:rPr>
      </w:pPr>
      <w:r>
        <w:rPr>
          <w:noProof/>
        </w:rPr>
        <w:t>7.3.1.</w:t>
      </w:r>
      <w:r>
        <w:rPr>
          <w:rFonts w:asciiTheme="minorHAnsi" w:eastAsiaTheme="minorEastAsia" w:hAnsiTheme="minorHAnsi" w:cstheme="minorBidi"/>
          <w:noProof/>
          <w:sz w:val="22"/>
          <w:szCs w:val="22"/>
        </w:rPr>
        <w:tab/>
      </w:r>
      <w:r>
        <w:rPr>
          <w:noProof/>
        </w:rPr>
        <w:t>(i) What chemicals (that potentially pose a risk to humans) are present at elevated concentrations in recreational waters and what are their sources?</w:t>
      </w:r>
      <w:r>
        <w:rPr>
          <w:noProof/>
        </w:rPr>
        <w:tab/>
      </w:r>
      <w:r>
        <w:rPr>
          <w:noProof/>
        </w:rPr>
        <w:fldChar w:fldCharType="begin"/>
      </w:r>
      <w:r>
        <w:rPr>
          <w:noProof/>
        </w:rPr>
        <w:instrText xml:space="preserve"> PAGEREF _Toc106811151 \h </w:instrText>
      </w:r>
      <w:r>
        <w:rPr>
          <w:noProof/>
        </w:rPr>
      </w:r>
      <w:r>
        <w:rPr>
          <w:noProof/>
        </w:rPr>
        <w:fldChar w:fldCharType="separate"/>
      </w:r>
      <w:r w:rsidR="003132AF">
        <w:rPr>
          <w:noProof/>
        </w:rPr>
        <w:t>53</w:t>
      </w:r>
      <w:r>
        <w:rPr>
          <w:noProof/>
        </w:rPr>
        <w:fldChar w:fldCharType="end"/>
      </w:r>
    </w:p>
    <w:p w14:paraId="478FB0E7" w14:textId="2644A738" w:rsidR="00F021A6" w:rsidRDefault="00F021A6">
      <w:pPr>
        <w:pStyle w:val="TOC3"/>
        <w:tabs>
          <w:tab w:val="left" w:pos="1320"/>
          <w:tab w:val="right" w:leader="dot" w:pos="7643"/>
        </w:tabs>
        <w:rPr>
          <w:rFonts w:asciiTheme="minorHAnsi" w:eastAsiaTheme="minorEastAsia" w:hAnsiTheme="minorHAnsi" w:cstheme="minorBidi"/>
          <w:noProof/>
          <w:sz w:val="22"/>
          <w:szCs w:val="22"/>
        </w:rPr>
      </w:pPr>
      <w:r>
        <w:rPr>
          <w:noProof/>
        </w:rPr>
        <w:t>7.3.2.</w:t>
      </w:r>
      <w:r>
        <w:rPr>
          <w:rFonts w:asciiTheme="minorHAnsi" w:eastAsiaTheme="minorEastAsia" w:hAnsiTheme="minorHAnsi" w:cstheme="minorBidi"/>
          <w:noProof/>
          <w:sz w:val="22"/>
          <w:szCs w:val="22"/>
        </w:rPr>
        <w:tab/>
      </w:r>
      <w:r>
        <w:rPr>
          <w:noProof/>
        </w:rPr>
        <w:t>(ii) What chemicals are of most concern due to their physicochemical properties which may enhance their uptake via dermal, inhalation or ingestion exposure pathways? How can we adjust exposure assumptions for these chemicals?</w:t>
      </w:r>
      <w:r>
        <w:rPr>
          <w:noProof/>
        </w:rPr>
        <w:tab/>
      </w:r>
      <w:r>
        <w:rPr>
          <w:noProof/>
        </w:rPr>
        <w:fldChar w:fldCharType="begin"/>
      </w:r>
      <w:r>
        <w:rPr>
          <w:noProof/>
        </w:rPr>
        <w:instrText xml:space="preserve"> PAGEREF _Toc106811152 \h </w:instrText>
      </w:r>
      <w:r>
        <w:rPr>
          <w:noProof/>
        </w:rPr>
      </w:r>
      <w:r>
        <w:rPr>
          <w:noProof/>
        </w:rPr>
        <w:fldChar w:fldCharType="separate"/>
      </w:r>
      <w:r w:rsidR="003132AF">
        <w:rPr>
          <w:noProof/>
        </w:rPr>
        <w:t>53</w:t>
      </w:r>
      <w:r>
        <w:rPr>
          <w:noProof/>
        </w:rPr>
        <w:fldChar w:fldCharType="end"/>
      </w:r>
    </w:p>
    <w:p w14:paraId="6E827158" w14:textId="6A71416E" w:rsidR="00F021A6" w:rsidRDefault="00F021A6">
      <w:pPr>
        <w:pStyle w:val="TOC3"/>
        <w:tabs>
          <w:tab w:val="left" w:pos="1320"/>
          <w:tab w:val="right" w:leader="dot" w:pos="7643"/>
        </w:tabs>
        <w:rPr>
          <w:rFonts w:asciiTheme="minorHAnsi" w:eastAsiaTheme="minorEastAsia" w:hAnsiTheme="minorHAnsi" w:cstheme="minorBidi"/>
          <w:noProof/>
          <w:sz w:val="22"/>
          <w:szCs w:val="22"/>
        </w:rPr>
      </w:pPr>
      <w:r>
        <w:rPr>
          <w:noProof/>
        </w:rPr>
        <w:t>7.3.3.</w:t>
      </w:r>
      <w:r>
        <w:rPr>
          <w:rFonts w:asciiTheme="minorHAnsi" w:eastAsiaTheme="minorEastAsia" w:hAnsiTheme="minorHAnsi" w:cstheme="minorBidi"/>
          <w:noProof/>
          <w:sz w:val="22"/>
          <w:szCs w:val="22"/>
        </w:rPr>
        <w:tab/>
      </w:r>
      <w:r>
        <w:rPr>
          <w:noProof/>
        </w:rPr>
        <w:t>(iii) Should the focus be on “hot spots” i.e. site-specific rather than chemical specific, and/or include periodic toxicity screening of sites to complement chemical testing?</w:t>
      </w:r>
      <w:r>
        <w:rPr>
          <w:noProof/>
        </w:rPr>
        <w:tab/>
      </w:r>
      <w:r>
        <w:rPr>
          <w:noProof/>
        </w:rPr>
        <w:fldChar w:fldCharType="begin"/>
      </w:r>
      <w:r>
        <w:rPr>
          <w:noProof/>
        </w:rPr>
        <w:instrText xml:space="preserve"> PAGEREF _Toc106811153 \h </w:instrText>
      </w:r>
      <w:r>
        <w:rPr>
          <w:noProof/>
        </w:rPr>
      </w:r>
      <w:r>
        <w:rPr>
          <w:noProof/>
        </w:rPr>
        <w:fldChar w:fldCharType="separate"/>
      </w:r>
      <w:r w:rsidR="003132AF">
        <w:rPr>
          <w:noProof/>
        </w:rPr>
        <w:t>54</w:t>
      </w:r>
      <w:r>
        <w:rPr>
          <w:noProof/>
        </w:rPr>
        <w:fldChar w:fldCharType="end"/>
      </w:r>
    </w:p>
    <w:p w14:paraId="1D433E99" w14:textId="001DBFD8" w:rsidR="00F021A6" w:rsidRDefault="00F021A6">
      <w:pPr>
        <w:pStyle w:val="TOC2"/>
        <w:tabs>
          <w:tab w:val="left" w:pos="880"/>
          <w:tab w:val="right" w:leader="dot" w:pos="7643"/>
        </w:tabs>
        <w:rPr>
          <w:rFonts w:asciiTheme="minorHAnsi" w:eastAsiaTheme="minorEastAsia" w:hAnsiTheme="minorHAnsi" w:cstheme="minorBidi"/>
          <w:noProof/>
          <w:sz w:val="22"/>
          <w:szCs w:val="22"/>
        </w:rPr>
      </w:pPr>
      <w:r>
        <w:rPr>
          <w:noProof/>
        </w:rPr>
        <w:t>7.4.</w:t>
      </w:r>
      <w:r>
        <w:rPr>
          <w:rFonts w:asciiTheme="minorHAnsi" w:eastAsiaTheme="minorEastAsia" w:hAnsiTheme="minorHAnsi" w:cstheme="minorBidi"/>
          <w:noProof/>
          <w:sz w:val="22"/>
          <w:szCs w:val="22"/>
        </w:rPr>
        <w:tab/>
      </w:r>
      <w:r>
        <w:rPr>
          <w:noProof/>
        </w:rPr>
        <w:t>Conclusions</w:t>
      </w:r>
      <w:r>
        <w:rPr>
          <w:noProof/>
        </w:rPr>
        <w:tab/>
      </w:r>
      <w:r>
        <w:rPr>
          <w:noProof/>
        </w:rPr>
        <w:fldChar w:fldCharType="begin"/>
      </w:r>
      <w:r>
        <w:rPr>
          <w:noProof/>
        </w:rPr>
        <w:instrText xml:space="preserve"> PAGEREF _Toc106811154 \h </w:instrText>
      </w:r>
      <w:r>
        <w:rPr>
          <w:noProof/>
        </w:rPr>
      </w:r>
      <w:r>
        <w:rPr>
          <w:noProof/>
        </w:rPr>
        <w:fldChar w:fldCharType="separate"/>
      </w:r>
      <w:r w:rsidR="003132AF">
        <w:rPr>
          <w:noProof/>
        </w:rPr>
        <w:t>54</w:t>
      </w:r>
      <w:r>
        <w:rPr>
          <w:noProof/>
        </w:rPr>
        <w:fldChar w:fldCharType="end"/>
      </w:r>
    </w:p>
    <w:p w14:paraId="37C5305A" w14:textId="3A295171" w:rsidR="00F021A6" w:rsidRDefault="00F021A6">
      <w:pPr>
        <w:pStyle w:val="TOC1"/>
        <w:rPr>
          <w:rFonts w:asciiTheme="minorHAnsi" w:eastAsiaTheme="minorEastAsia" w:hAnsiTheme="minorHAnsi" w:cstheme="minorBidi"/>
          <w:noProof/>
          <w:sz w:val="22"/>
          <w:szCs w:val="22"/>
        </w:rPr>
      </w:pPr>
      <w:r>
        <w:rPr>
          <w:noProof/>
        </w:rPr>
        <w:t>8</w:t>
      </w:r>
      <w:r>
        <w:rPr>
          <w:rFonts w:asciiTheme="minorHAnsi" w:eastAsiaTheme="minorEastAsia" w:hAnsiTheme="minorHAnsi" w:cstheme="minorBidi"/>
          <w:noProof/>
          <w:sz w:val="22"/>
          <w:szCs w:val="22"/>
        </w:rPr>
        <w:tab/>
      </w:r>
      <w:r>
        <w:rPr>
          <w:noProof/>
        </w:rPr>
        <w:t>References</w:t>
      </w:r>
      <w:r>
        <w:rPr>
          <w:noProof/>
        </w:rPr>
        <w:tab/>
      </w:r>
      <w:r>
        <w:rPr>
          <w:noProof/>
        </w:rPr>
        <w:fldChar w:fldCharType="begin"/>
      </w:r>
      <w:r>
        <w:rPr>
          <w:noProof/>
        </w:rPr>
        <w:instrText xml:space="preserve"> PAGEREF _Toc106811155 \h </w:instrText>
      </w:r>
      <w:r>
        <w:rPr>
          <w:noProof/>
        </w:rPr>
      </w:r>
      <w:r>
        <w:rPr>
          <w:noProof/>
        </w:rPr>
        <w:fldChar w:fldCharType="separate"/>
      </w:r>
      <w:r w:rsidR="003132AF">
        <w:rPr>
          <w:noProof/>
        </w:rPr>
        <w:t>55</w:t>
      </w:r>
      <w:r>
        <w:rPr>
          <w:noProof/>
        </w:rPr>
        <w:fldChar w:fldCharType="end"/>
      </w:r>
    </w:p>
    <w:p w14:paraId="1C84571E" w14:textId="22DCAC16" w:rsidR="00D267EA" w:rsidRPr="00595884" w:rsidRDefault="00274BC6" w:rsidP="00864B8A">
      <w:pPr>
        <w:rPr>
          <w:rFonts w:cs="Arial"/>
          <w:szCs w:val="20"/>
          <w:highlight w:val="yellow"/>
        </w:rPr>
      </w:pPr>
      <w:r w:rsidRPr="00595884">
        <w:rPr>
          <w:rFonts w:cs="Arial"/>
          <w:szCs w:val="20"/>
          <w:highlight w:val="yellow"/>
        </w:rPr>
        <w:fldChar w:fldCharType="end"/>
      </w:r>
    </w:p>
    <w:p w14:paraId="322A1E9A" w14:textId="77777777" w:rsidR="001C27E8" w:rsidRPr="00595884" w:rsidRDefault="00274BC6" w:rsidP="00D267EA">
      <w:pPr>
        <w:pStyle w:val="Non-numberedHeading1"/>
        <w:pageBreakBefore w:val="0"/>
        <w:outlineLvl w:val="0"/>
      </w:pPr>
      <w:r w:rsidRPr="00595884">
        <w:t>Table of Tables</w:t>
      </w:r>
    </w:p>
    <w:p w14:paraId="5588EA02" w14:textId="789A8051" w:rsidR="00F021A6" w:rsidRDefault="00274BC6">
      <w:pPr>
        <w:pStyle w:val="TableofFigures"/>
        <w:tabs>
          <w:tab w:val="right" w:leader="dot" w:pos="7643"/>
        </w:tabs>
        <w:rPr>
          <w:rFonts w:asciiTheme="minorHAnsi" w:eastAsiaTheme="minorEastAsia" w:hAnsiTheme="minorHAnsi" w:cstheme="minorBidi"/>
          <w:noProof/>
          <w:sz w:val="22"/>
          <w:szCs w:val="22"/>
        </w:rPr>
      </w:pPr>
      <w:r w:rsidRPr="00595884">
        <w:rPr>
          <w:highlight w:val="yellow"/>
        </w:rPr>
        <w:fldChar w:fldCharType="begin"/>
      </w:r>
      <w:r w:rsidRPr="00595884">
        <w:rPr>
          <w:highlight w:val="yellow"/>
        </w:rPr>
        <w:instrText xml:space="preserve"> TOC \h \z \c "Table" </w:instrText>
      </w:r>
      <w:r w:rsidRPr="00595884">
        <w:rPr>
          <w:highlight w:val="yellow"/>
        </w:rPr>
        <w:fldChar w:fldCharType="separate"/>
      </w:r>
      <w:hyperlink w:anchor="_Toc106811163" w:history="1">
        <w:r w:rsidR="00F021A6" w:rsidRPr="00FA68EC">
          <w:rPr>
            <w:rStyle w:val="Hyperlink"/>
            <w:noProof/>
          </w:rPr>
          <w:t>Table 2</w:t>
        </w:r>
        <w:r w:rsidR="00F021A6" w:rsidRPr="00FA68EC">
          <w:rPr>
            <w:rStyle w:val="Hyperlink"/>
            <w:noProof/>
          </w:rPr>
          <w:noBreakHyphen/>
          <w:t>1. Chemical hazards to recreational water quality identified by the Committee and their potential sources.</w:t>
        </w:r>
        <w:r w:rsidR="00F021A6">
          <w:rPr>
            <w:noProof/>
            <w:webHidden/>
          </w:rPr>
          <w:tab/>
        </w:r>
        <w:r w:rsidR="00F021A6">
          <w:rPr>
            <w:noProof/>
            <w:webHidden/>
          </w:rPr>
          <w:fldChar w:fldCharType="begin"/>
        </w:r>
        <w:r w:rsidR="00F021A6">
          <w:rPr>
            <w:noProof/>
            <w:webHidden/>
          </w:rPr>
          <w:instrText xml:space="preserve"> PAGEREF _Toc106811163 \h </w:instrText>
        </w:r>
        <w:r w:rsidR="00F021A6">
          <w:rPr>
            <w:noProof/>
            <w:webHidden/>
          </w:rPr>
        </w:r>
        <w:r w:rsidR="00F021A6">
          <w:rPr>
            <w:noProof/>
            <w:webHidden/>
          </w:rPr>
          <w:fldChar w:fldCharType="separate"/>
        </w:r>
        <w:r w:rsidR="003132AF">
          <w:rPr>
            <w:noProof/>
            <w:webHidden/>
          </w:rPr>
          <w:t>13</w:t>
        </w:r>
        <w:r w:rsidR="00F021A6">
          <w:rPr>
            <w:noProof/>
            <w:webHidden/>
          </w:rPr>
          <w:fldChar w:fldCharType="end"/>
        </w:r>
      </w:hyperlink>
    </w:p>
    <w:p w14:paraId="00863203" w14:textId="71FC1593" w:rsidR="00F021A6" w:rsidRDefault="00F021A6">
      <w:pPr>
        <w:pStyle w:val="TableofFigures"/>
        <w:tabs>
          <w:tab w:val="right" w:leader="dot" w:pos="7643"/>
        </w:tabs>
        <w:rPr>
          <w:rFonts w:asciiTheme="minorHAnsi" w:eastAsiaTheme="minorEastAsia" w:hAnsiTheme="minorHAnsi" w:cstheme="minorBidi"/>
          <w:noProof/>
          <w:sz w:val="22"/>
          <w:szCs w:val="22"/>
        </w:rPr>
      </w:pPr>
      <w:hyperlink w:anchor="_Toc106811164" w:history="1">
        <w:r w:rsidRPr="00FA68EC">
          <w:rPr>
            <w:rStyle w:val="Hyperlink"/>
            <w:noProof/>
          </w:rPr>
          <w:t>Table 2</w:t>
        </w:r>
        <w:r w:rsidRPr="00FA68EC">
          <w:rPr>
            <w:rStyle w:val="Hyperlink"/>
            <w:noProof/>
          </w:rPr>
          <w:noBreakHyphen/>
          <w:t>2. OHAT risk of bias scheme categories (OHAT, 2015)</w:t>
        </w:r>
        <w:r>
          <w:rPr>
            <w:noProof/>
            <w:webHidden/>
          </w:rPr>
          <w:tab/>
        </w:r>
        <w:r>
          <w:rPr>
            <w:noProof/>
            <w:webHidden/>
          </w:rPr>
          <w:fldChar w:fldCharType="begin"/>
        </w:r>
        <w:r>
          <w:rPr>
            <w:noProof/>
            <w:webHidden/>
          </w:rPr>
          <w:instrText xml:space="preserve"> PAGEREF _Toc106811164 \h </w:instrText>
        </w:r>
        <w:r>
          <w:rPr>
            <w:noProof/>
            <w:webHidden/>
          </w:rPr>
        </w:r>
        <w:r>
          <w:rPr>
            <w:noProof/>
            <w:webHidden/>
          </w:rPr>
          <w:fldChar w:fldCharType="separate"/>
        </w:r>
        <w:r w:rsidR="003132AF">
          <w:rPr>
            <w:noProof/>
            <w:webHidden/>
          </w:rPr>
          <w:t>18</w:t>
        </w:r>
        <w:r>
          <w:rPr>
            <w:noProof/>
            <w:webHidden/>
          </w:rPr>
          <w:fldChar w:fldCharType="end"/>
        </w:r>
      </w:hyperlink>
    </w:p>
    <w:p w14:paraId="3739440E" w14:textId="6E6C3E9A" w:rsidR="00F021A6" w:rsidRDefault="00F021A6">
      <w:pPr>
        <w:pStyle w:val="TableofFigures"/>
        <w:tabs>
          <w:tab w:val="right" w:leader="dot" w:pos="7643"/>
        </w:tabs>
        <w:rPr>
          <w:rFonts w:asciiTheme="minorHAnsi" w:eastAsiaTheme="minorEastAsia" w:hAnsiTheme="minorHAnsi" w:cstheme="minorBidi"/>
          <w:noProof/>
          <w:sz w:val="22"/>
          <w:szCs w:val="22"/>
        </w:rPr>
      </w:pPr>
      <w:hyperlink w:anchor="_Toc106811165" w:history="1">
        <w:r w:rsidRPr="00FA68EC">
          <w:rPr>
            <w:rStyle w:val="Hyperlink"/>
            <w:noProof/>
          </w:rPr>
          <w:t>Table 2</w:t>
        </w:r>
        <w:r w:rsidRPr="00FA68EC">
          <w:rPr>
            <w:rStyle w:val="Hyperlink"/>
            <w:noProof/>
          </w:rPr>
          <w:noBreakHyphen/>
          <w:t xml:space="preserve">3. Summary of findings – body of evidence form (adapted from OHAT Handbook </w:t>
        </w:r>
        <w:r w:rsidRPr="00FA68EC">
          <w:rPr>
            <w:rStyle w:val="Hyperlink"/>
            <w:rFonts w:cs="Arial"/>
            <w:noProof/>
          </w:rPr>
          <w:t>(OHAT 2019)</w:t>
        </w:r>
        <w:r w:rsidRPr="00FA68EC">
          <w:rPr>
            <w:rStyle w:val="Hyperlink"/>
            <w:noProof/>
          </w:rPr>
          <w:t xml:space="preserve"> and transposed to fit page).</w:t>
        </w:r>
        <w:r>
          <w:rPr>
            <w:noProof/>
            <w:webHidden/>
          </w:rPr>
          <w:tab/>
        </w:r>
        <w:r>
          <w:rPr>
            <w:noProof/>
            <w:webHidden/>
          </w:rPr>
          <w:fldChar w:fldCharType="begin"/>
        </w:r>
        <w:r>
          <w:rPr>
            <w:noProof/>
            <w:webHidden/>
          </w:rPr>
          <w:instrText xml:space="preserve"> PAGEREF _Toc106811165 \h </w:instrText>
        </w:r>
        <w:r>
          <w:rPr>
            <w:noProof/>
            <w:webHidden/>
          </w:rPr>
        </w:r>
        <w:r>
          <w:rPr>
            <w:noProof/>
            <w:webHidden/>
          </w:rPr>
          <w:fldChar w:fldCharType="separate"/>
        </w:r>
        <w:r w:rsidR="003132AF">
          <w:rPr>
            <w:noProof/>
            <w:webHidden/>
          </w:rPr>
          <w:t>20</w:t>
        </w:r>
        <w:r>
          <w:rPr>
            <w:noProof/>
            <w:webHidden/>
          </w:rPr>
          <w:fldChar w:fldCharType="end"/>
        </w:r>
      </w:hyperlink>
    </w:p>
    <w:p w14:paraId="2AF491F3" w14:textId="3138F1EE" w:rsidR="00F021A6" w:rsidRDefault="00F021A6">
      <w:pPr>
        <w:pStyle w:val="TableofFigures"/>
        <w:tabs>
          <w:tab w:val="right" w:leader="dot" w:pos="7643"/>
        </w:tabs>
        <w:rPr>
          <w:rFonts w:asciiTheme="minorHAnsi" w:eastAsiaTheme="minorEastAsia" w:hAnsiTheme="minorHAnsi" w:cstheme="minorBidi"/>
          <w:noProof/>
          <w:sz w:val="22"/>
          <w:szCs w:val="22"/>
        </w:rPr>
      </w:pPr>
      <w:hyperlink w:anchor="_Toc106811166" w:history="1">
        <w:r w:rsidRPr="00FA68EC">
          <w:rPr>
            <w:rStyle w:val="Hyperlink"/>
            <w:noProof/>
          </w:rPr>
          <w:t>Table 2</w:t>
        </w:r>
        <w:r w:rsidRPr="00FA68EC">
          <w:rPr>
            <w:rStyle w:val="Hyperlink"/>
            <w:noProof/>
          </w:rPr>
          <w:noBreakHyphen/>
          <w:t>4. Outcomes from the review to be included in the evidence evaluation</w:t>
        </w:r>
        <w:r>
          <w:rPr>
            <w:noProof/>
            <w:webHidden/>
          </w:rPr>
          <w:tab/>
        </w:r>
        <w:r>
          <w:rPr>
            <w:noProof/>
            <w:webHidden/>
          </w:rPr>
          <w:fldChar w:fldCharType="begin"/>
        </w:r>
        <w:r>
          <w:rPr>
            <w:noProof/>
            <w:webHidden/>
          </w:rPr>
          <w:instrText xml:space="preserve"> PAGEREF _Toc106811166 \h </w:instrText>
        </w:r>
        <w:r>
          <w:rPr>
            <w:noProof/>
            <w:webHidden/>
          </w:rPr>
        </w:r>
        <w:r>
          <w:rPr>
            <w:noProof/>
            <w:webHidden/>
          </w:rPr>
          <w:fldChar w:fldCharType="separate"/>
        </w:r>
        <w:r w:rsidR="003132AF">
          <w:rPr>
            <w:noProof/>
            <w:webHidden/>
          </w:rPr>
          <w:t>21</w:t>
        </w:r>
        <w:r>
          <w:rPr>
            <w:noProof/>
            <w:webHidden/>
          </w:rPr>
          <w:fldChar w:fldCharType="end"/>
        </w:r>
      </w:hyperlink>
    </w:p>
    <w:p w14:paraId="038FD373" w14:textId="2EE11DE9" w:rsidR="00F021A6" w:rsidRDefault="00F021A6">
      <w:pPr>
        <w:pStyle w:val="TableofFigures"/>
        <w:tabs>
          <w:tab w:val="right" w:leader="dot" w:pos="7643"/>
        </w:tabs>
        <w:rPr>
          <w:rFonts w:asciiTheme="minorHAnsi" w:eastAsiaTheme="minorEastAsia" w:hAnsiTheme="minorHAnsi" w:cstheme="minorBidi"/>
          <w:noProof/>
          <w:sz w:val="22"/>
          <w:szCs w:val="22"/>
        </w:rPr>
      </w:pPr>
      <w:hyperlink w:anchor="_Toc106811167" w:history="1">
        <w:r w:rsidRPr="00FA68EC">
          <w:rPr>
            <w:rStyle w:val="Hyperlink"/>
            <w:noProof/>
          </w:rPr>
          <w:t>Table 2</w:t>
        </w:r>
        <w:r w:rsidRPr="00FA68EC">
          <w:rPr>
            <w:rStyle w:val="Hyperlink"/>
            <w:noProof/>
          </w:rPr>
          <w:noBreakHyphen/>
          <w:t xml:space="preserve">5. GRADE ratings and their interpretation from </w:t>
        </w:r>
        <w:r w:rsidRPr="00FA68EC">
          <w:rPr>
            <w:rStyle w:val="Hyperlink"/>
            <w:rFonts w:cs="Arial"/>
            <w:noProof/>
          </w:rPr>
          <w:t>Ryan and Hill (2016)</w:t>
        </w:r>
        <w:r>
          <w:rPr>
            <w:noProof/>
            <w:webHidden/>
          </w:rPr>
          <w:tab/>
        </w:r>
        <w:r>
          <w:rPr>
            <w:noProof/>
            <w:webHidden/>
          </w:rPr>
          <w:fldChar w:fldCharType="begin"/>
        </w:r>
        <w:r>
          <w:rPr>
            <w:noProof/>
            <w:webHidden/>
          </w:rPr>
          <w:instrText xml:space="preserve"> PAGEREF _Toc106811167 \h </w:instrText>
        </w:r>
        <w:r>
          <w:rPr>
            <w:noProof/>
            <w:webHidden/>
          </w:rPr>
        </w:r>
        <w:r>
          <w:rPr>
            <w:noProof/>
            <w:webHidden/>
          </w:rPr>
          <w:fldChar w:fldCharType="separate"/>
        </w:r>
        <w:r w:rsidR="003132AF">
          <w:rPr>
            <w:noProof/>
            <w:webHidden/>
          </w:rPr>
          <w:t>21</w:t>
        </w:r>
        <w:r>
          <w:rPr>
            <w:noProof/>
            <w:webHidden/>
          </w:rPr>
          <w:fldChar w:fldCharType="end"/>
        </w:r>
      </w:hyperlink>
    </w:p>
    <w:p w14:paraId="3FAF90C9" w14:textId="37279ACE" w:rsidR="00F021A6" w:rsidRDefault="00F021A6">
      <w:pPr>
        <w:pStyle w:val="TableofFigures"/>
        <w:tabs>
          <w:tab w:val="right" w:leader="dot" w:pos="7643"/>
        </w:tabs>
        <w:rPr>
          <w:rFonts w:asciiTheme="minorHAnsi" w:eastAsiaTheme="minorEastAsia" w:hAnsiTheme="minorHAnsi" w:cstheme="minorBidi"/>
          <w:noProof/>
          <w:sz w:val="22"/>
          <w:szCs w:val="22"/>
        </w:rPr>
      </w:pPr>
      <w:hyperlink w:anchor="_Toc106811168" w:history="1">
        <w:r w:rsidRPr="00FA68EC">
          <w:rPr>
            <w:rStyle w:val="Hyperlink"/>
            <w:noProof/>
          </w:rPr>
          <w:t>Table 2</w:t>
        </w:r>
        <w:r w:rsidRPr="00FA68EC">
          <w:rPr>
            <w:rStyle w:val="Hyperlink"/>
            <w:noProof/>
          </w:rPr>
          <w:noBreakHyphen/>
          <w:t>6. Evaluation summary matrix of individual primary studies</w:t>
        </w:r>
        <w:r>
          <w:rPr>
            <w:noProof/>
            <w:webHidden/>
          </w:rPr>
          <w:tab/>
        </w:r>
        <w:r>
          <w:rPr>
            <w:noProof/>
            <w:webHidden/>
          </w:rPr>
          <w:fldChar w:fldCharType="begin"/>
        </w:r>
        <w:r>
          <w:rPr>
            <w:noProof/>
            <w:webHidden/>
          </w:rPr>
          <w:instrText xml:space="preserve"> PAGEREF _Toc106811168 \h </w:instrText>
        </w:r>
        <w:r>
          <w:rPr>
            <w:noProof/>
            <w:webHidden/>
          </w:rPr>
        </w:r>
        <w:r>
          <w:rPr>
            <w:noProof/>
            <w:webHidden/>
          </w:rPr>
          <w:fldChar w:fldCharType="separate"/>
        </w:r>
        <w:r w:rsidR="003132AF">
          <w:rPr>
            <w:noProof/>
            <w:webHidden/>
          </w:rPr>
          <w:t>21</w:t>
        </w:r>
        <w:r>
          <w:rPr>
            <w:noProof/>
            <w:webHidden/>
          </w:rPr>
          <w:fldChar w:fldCharType="end"/>
        </w:r>
      </w:hyperlink>
    </w:p>
    <w:p w14:paraId="4D5236BA" w14:textId="679886BA" w:rsidR="00F021A6" w:rsidRDefault="00F021A6">
      <w:pPr>
        <w:pStyle w:val="TableofFigures"/>
        <w:tabs>
          <w:tab w:val="right" w:leader="dot" w:pos="7643"/>
        </w:tabs>
        <w:rPr>
          <w:rFonts w:asciiTheme="minorHAnsi" w:eastAsiaTheme="minorEastAsia" w:hAnsiTheme="minorHAnsi" w:cstheme="minorBidi"/>
          <w:noProof/>
          <w:sz w:val="22"/>
          <w:szCs w:val="22"/>
        </w:rPr>
      </w:pPr>
      <w:hyperlink w:anchor="_Toc106811169" w:history="1">
        <w:r w:rsidRPr="00FA68EC">
          <w:rPr>
            <w:rStyle w:val="Hyperlink"/>
            <w:noProof/>
          </w:rPr>
          <w:t>Table 2</w:t>
        </w:r>
        <w:r w:rsidRPr="00FA68EC">
          <w:rPr>
            <w:rStyle w:val="Hyperlink"/>
            <w:noProof/>
          </w:rPr>
          <w:noBreakHyphen/>
          <w:t>7. OHAT reasons for down grading or upgrading certainty of evidence (OHAT, 2019)</w:t>
        </w:r>
        <w:r>
          <w:rPr>
            <w:noProof/>
            <w:webHidden/>
          </w:rPr>
          <w:tab/>
        </w:r>
        <w:r>
          <w:rPr>
            <w:noProof/>
            <w:webHidden/>
          </w:rPr>
          <w:fldChar w:fldCharType="begin"/>
        </w:r>
        <w:r>
          <w:rPr>
            <w:noProof/>
            <w:webHidden/>
          </w:rPr>
          <w:instrText xml:space="preserve"> PAGEREF _Toc106811169 \h </w:instrText>
        </w:r>
        <w:r>
          <w:rPr>
            <w:noProof/>
            <w:webHidden/>
          </w:rPr>
        </w:r>
        <w:r>
          <w:rPr>
            <w:noProof/>
            <w:webHidden/>
          </w:rPr>
          <w:fldChar w:fldCharType="separate"/>
        </w:r>
        <w:r w:rsidR="003132AF">
          <w:rPr>
            <w:noProof/>
            <w:webHidden/>
          </w:rPr>
          <w:t>22</w:t>
        </w:r>
        <w:r>
          <w:rPr>
            <w:noProof/>
            <w:webHidden/>
          </w:rPr>
          <w:fldChar w:fldCharType="end"/>
        </w:r>
      </w:hyperlink>
    </w:p>
    <w:p w14:paraId="660A50E3" w14:textId="70E1AF3E" w:rsidR="00F021A6" w:rsidRDefault="00F021A6">
      <w:pPr>
        <w:pStyle w:val="TableofFigures"/>
        <w:tabs>
          <w:tab w:val="right" w:leader="dot" w:pos="7643"/>
        </w:tabs>
        <w:rPr>
          <w:rFonts w:asciiTheme="minorHAnsi" w:eastAsiaTheme="minorEastAsia" w:hAnsiTheme="minorHAnsi" w:cstheme="minorBidi"/>
          <w:noProof/>
          <w:sz w:val="22"/>
          <w:szCs w:val="22"/>
        </w:rPr>
      </w:pPr>
      <w:hyperlink w:anchor="_Toc106811170" w:history="1">
        <w:r w:rsidRPr="00FA68EC">
          <w:rPr>
            <w:rStyle w:val="Hyperlink"/>
            <w:noProof/>
          </w:rPr>
          <w:t>Table 2</w:t>
        </w:r>
        <w:r w:rsidRPr="00FA68EC">
          <w:rPr>
            <w:rStyle w:val="Hyperlink"/>
            <w:noProof/>
          </w:rPr>
          <w:noBreakHyphen/>
          <w:t>8. Criteria for assessing the body of evidence for existing guidelines</w:t>
        </w:r>
        <w:r>
          <w:rPr>
            <w:noProof/>
            <w:webHidden/>
          </w:rPr>
          <w:tab/>
        </w:r>
        <w:r>
          <w:rPr>
            <w:noProof/>
            <w:webHidden/>
          </w:rPr>
          <w:fldChar w:fldCharType="begin"/>
        </w:r>
        <w:r>
          <w:rPr>
            <w:noProof/>
            <w:webHidden/>
          </w:rPr>
          <w:instrText xml:space="preserve"> PAGEREF _Toc106811170 \h </w:instrText>
        </w:r>
        <w:r>
          <w:rPr>
            <w:noProof/>
            <w:webHidden/>
          </w:rPr>
        </w:r>
        <w:r>
          <w:rPr>
            <w:noProof/>
            <w:webHidden/>
          </w:rPr>
          <w:fldChar w:fldCharType="separate"/>
        </w:r>
        <w:r w:rsidR="003132AF">
          <w:rPr>
            <w:noProof/>
            <w:webHidden/>
          </w:rPr>
          <w:t>23</w:t>
        </w:r>
        <w:r>
          <w:rPr>
            <w:noProof/>
            <w:webHidden/>
          </w:rPr>
          <w:fldChar w:fldCharType="end"/>
        </w:r>
      </w:hyperlink>
    </w:p>
    <w:p w14:paraId="34CE1412" w14:textId="11DC77BC" w:rsidR="00F021A6" w:rsidRDefault="00F021A6">
      <w:pPr>
        <w:pStyle w:val="TableofFigures"/>
        <w:tabs>
          <w:tab w:val="right" w:leader="dot" w:pos="7643"/>
        </w:tabs>
        <w:rPr>
          <w:rFonts w:asciiTheme="minorHAnsi" w:eastAsiaTheme="minorEastAsia" w:hAnsiTheme="minorHAnsi" w:cstheme="minorBidi"/>
          <w:noProof/>
          <w:sz w:val="22"/>
          <w:szCs w:val="22"/>
        </w:rPr>
      </w:pPr>
      <w:hyperlink w:anchor="_Toc106811171" w:history="1">
        <w:r w:rsidRPr="00FA68EC">
          <w:rPr>
            <w:rStyle w:val="Hyperlink"/>
            <w:noProof/>
          </w:rPr>
          <w:t>Table 4</w:t>
        </w:r>
        <w:r w:rsidRPr="00FA68EC">
          <w:rPr>
            <w:rStyle w:val="Hyperlink"/>
            <w:noProof/>
          </w:rPr>
          <w:noBreakHyphen/>
          <w:t xml:space="preserve">1. Form for administrative and technical criteria for assessing existing guidance or reviews. Criteria have been colour-coded to assess minimum requirements as follows: </w:t>
        </w:r>
        <w:r w:rsidRPr="00FA68EC">
          <w:rPr>
            <w:rStyle w:val="Hyperlink"/>
            <w:noProof/>
            <w:shd w:val="clear" w:color="auto" w:fill="92D050"/>
          </w:rPr>
          <w:t>‘Must have’</w:t>
        </w:r>
        <w:r w:rsidRPr="00FA68EC">
          <w:rPr>
            <w:rStyle w:val="Hyperlink"/>
            <w:noProof/>
          </w:rPr>
          <w:t xml:space="preserve">, </w:t>
        </w:r>
        <w:r w:rsidRPr="00FA68EC">
          <w:rPr>
            <w:rStyle w:val="Hyperlink"/>
            <w:noProof/>
            <w:shd w:val="clear" w:color="auto" w:fill="FFFF00"/>
          </w:rPr>
          <w:t>‘Should have’</w:t>
        </w:r>
        <w:r w:rsidRPr="00FA68EC">
          <w:rPr>
            <w:rStyle w:val="Hyperlink"/>
            <w:noProof/>
          </w:rPr>
          <w:t xml:space="preserve"> or </w:t>
        </w:r>
        <w:r w:rsidRPr="00FA68EC">
          <w:rPr>
            <w:rStyle w:val="Hyperlink"/>
            <w:noProof/>
            <w:shd w:val="clear" w:color="auto" w:fill="BFBFBF" w:themeFill="background1" w:themeFillShade="BF"/>
          </w:rPr>
          <w:t>‘</w:t>
        </w:r>
        <w:r w:rsidRPr="00FA68EC">
          <w:rPr>
            <w:rStyle w:val="Hyperlink"/>
            <w:noProof/>
            <w:shd w:val="clear" w:color="auto" w:fill="92CDDC" w:themeFill="accent5" w:themeFillTint="99"/>
          </w:rPr>
          <w:t xml:space="preserve">May have’. </w:t>
        </w:r>
        <w:r w:rsidRPr="00FA68EC">
          <w:rPr>
            <w:rStyle w:val="Hyperlink"/>
            <w:noProof/>
          </w:rPr>
          <w:t>Y, N, n/a  =Yes, No or Not Applicable. Individual assessments are available in the Technical Report (O’Connor 2022).</w:t>
        </w:r>
        <w:r>
          <w:rPr>
            <w:noProof/>
            <w:webHidden/>
          </w:rPr>
          <w:tab/>
        </w:r>
        <w:r>
          <w:rPr>
            <w:noProof/>
            <w:webHidden/>
          </w:rPr>
          <w:fldChar w:fldCharType="begin"/>
        </w:r>
        <w:r>
          <w:rPr>
            <w:noProof/>
            <w:webHidden/>
          </w:rPr>
          <w:instrText xml:space="preserve"> PAGEREF _Toc106811171 \h </w:instrText>
        </w:r>
        <w:r>
          <w:rPr>
            <w:noProof/>
            <w:webHidden/>
          </w:rPr>
        </w:r>
        <w:r>
          <w:rPr>
            <w:noProof/>
            <w:webHidden/>
          </w:rPr>
          <w:fldChar w:fldCharType="separate"/>
        </w:r>
        <w:r w:rsidR="003132AF">
          <w:rPr>
            <w:noProof/>
            <w:webHidden/>
          </w:rPr>
          <w:t>28</w:t>
        </w:r>
        <w:r>
          <w:rPr>
            <w:noProof/>
            <w:webHidden/>
          </w:rPr>
          <w:fldChar w:fldCharType="end"/>
        </w:r>
      </w:hyperlink>
    </w:p>
    <w:p w14:paraId="60E4B6D3" w14:textId="1D318E2E" w:rsidR="00F021A6" w:rsidRDefault="00F021A6">
      <w:pPr>
        <w:pStyle w:val="TableofFigures"/>
        <w:tabs>
          <w:tab w:val="right" w:leader="dot" w:pos="7643"/>
        </w:tabs>
        <w:rPr>
          <w:rFonts w:asciiTheme="minorHAnsi" w:eastAsiaTheme="minorEastAsia" w:hAnsiTheme="minorHAnsi" w:cstheme="minorBidi"/>
          <w:noProof/>
          <w:sz w:val="22"/>
          <w:szCs w:val="22"/>
        </w:rPr>
      </w:pPr>
      <w:hyperlink w:anchor="_Toc106811172" w:history="1">
        <w:r w:rsidRPr="00FA68EC">
          <w:rPr>
            <w:rStyle w:val="Hyperlink"/>
            <w:noProof/>
          </w:rPr>
          <w:t>Table 4</w:t>
        </w:r>
        <w:r w:rsidRPr="00FA68EC">
          <w:rPr>
            <w:rStyle w:val="Hyperlink"/>
            <w:noProof/>
          </w:rPr>
          <w:noBreakHyphen/>
          <w:t>2.  Primary research studies overall risk of bias (body of evidence) (protocol adapted from the CASP appraisal tool [Oxford VTH, 2020] and the OHAT Risk-of-Bias ratings system [].  Note all studies were in the qualitative research category.</w:t>
        </w:r>
        <w:r>
          <w:rPr>
            <w:noProof/>
            <w:webHidden/>
          </w:rPr>
          <w:tab/>
        </w:r>
        <w:r>
          <w:rPr>
            <w:noProof/>
            <w:webHidden/>
          </w:rPr>
          <w:fldChar w:fldCharType="begin"/>
        </w:r>
        <w:r>
          <w:rPr>
            <w:noProof/>
            <w:webHidden/>
          </w:rPr>
          <w:instrText xml:space="preserve"> PAGEREF _Toc106811172 \h </w:instrText>
        </w:r>
        <w:r>
          <w:rPr>
            <w:noProof/>
            <w:webHidden/>
          </w:rPr>
        </w:r>
        <w:r>
          <w:rPr>
            <w:noProof/>
            <w:webHidden/>
          </w:rPr>
          <w:fldChar w:fldCharType="separate"/>
        </w:r>
        <w:r w:rsidR="003132AF">
          <w:rPr>
            <w:noProof/>
            <w:webHidden/>
          </w:rPr>
          <w:t>31</w:t>
        </w:r>
        <w:r>
          <w:rPr>
            <w:noProof/>
            <w:webHidden/>
          </w:rPr>
          <w:fldChar w:fldCharType="end"/>
        </w:r>
      </w:hyperlink>
    </w:p>
    <w:p w14:paraId="4146B703" w14:textId="5223E3B2" w:rsidR="00F021A6" w:rsidRDefault="00F021A6">
      <w:pPr>
        <w:pStyle w:val="TableofFigures"/>
        <w:tabs>
          <w:tab w:val="right" w:leader="dot" w:pos="7643"/>
        </w:tabs>
        <w:rPr>
          <w:rFonts w:asciiTheme="minorHAnsi" w:eastAsiaTheme="minorEastAsia" w:hAnsiTheme="minorHAnsi" w:cstheme="minorBidi"/>
          <w:noProof/>
          <w:sz w:val="22"/>
          <w:szCs w:val="22"/>
        </w:rPr>
      </w:pPr>
      <w:hyperlink w:anchor="_Toc106811173" w:history="1">
        <w:r w:rsidRPr="00FA68EC">
          <w:rPr>
            <w:rStyle w:val="Hyperlink"/>
            <w:noProof/>
          </w:rPr>
          <w:t>Table 5</w:t>
        </w:r>
        <w:r w:rsidRPr="00FA68EC">
          <w:rPr>
            <w:rStyle w:val="Hyperlink"/>
            <w:noProof/>
          </w:rPr>
          <w:noBreakHyphen/>
          <w:t>1. List of guidelines included after screening and quality assessment</w:t>
        </w:r>
        <w:r>
          <w:rPr>
            <w:noProof/>
            <w:webHidden/>
          </w:rPr>
          <w:tab/>
        </w:r>
        <w:r>
          <w:rPr>
            <w:noProof/>
            <w:webHidden/>
          </w:rPr>
          <w:fldChar w:fldCharType="begin"/>
        </w:r>
        <w:r>
          <w:rPr>
            <w:noProof/>
            <w:webHidden/>
          </w:rPr>
          <w:instrText xml:space="preserve"> PAGEREF _Toc106811173 \h </w:instrText>
        </w:r>
        <w:r>
          <w:rPr>
            <w:noProof/>
            <w:webHidden/>
          </w:rPr>
        </w:r>
        <w:r>
          <w:rPr>
            <w:noProof/>
            <w:webHidden/>
          </w:rPr>
          <w:fldChar w:fldCharType="separate"/>
        </w:r>
        <w:r w:rsidR="003132AF">
          <w:rPr>
            <w:noProof/>
            <w:webHidden/>
          </w:rPr>
          <w:t>32</w:t>
        </w:r>
        <w:r>
          <w:rPr>
            <w:noProof/>
            <w:webHidden/>
          </w:rPr>
          <w:fldChar w:fldCharType="end"/>
        </w:r>
      </w:hyperlink>
    </w:p>
    <w:p w14:paraId="50E7B951" w14:textId="33B90648" w:rsidR="00F021A6" w:rsidRDefault="00F021A6">
      <w:pPr>
        <w:pStyle w:val="TableofFigures"/>
        <w:tabs>
          <w:tab w:val="right" w:leader="dot" w:pos="7643"/>
        </w:tabs>
        <w:rPr>
          <w:rFonts w:asciiTheme="minorHAnsi" w:eastAsiaTheme="minorEastAsia" w:hAnsiTheme="minorHAnsi" w:cstheme="minorBidi"/>
          <w:noProof/>
          <w:sz w:val="22"/>
          <w:szCs w:val="22"/>
        </w:rPr>
      </w:pPr>
      <w:hyperlink w:anchor="_Toc106811174" w:history="1">
        <w:r w:rsidRPr="00FA68EC">
          <w:rPr>
            <w:rStyle w:val="Hyperlink"/>
            <w:noProof/>
          </w:rPr>
          <w:t>Table 5</w:t>
        </w:r>
        <w:r w:rsidRPr="00FA68EC">
          <w:rPr>
            <w:rStyle w:val="Hyperlink"/>
            <w:noProof/>
          </w:rPr>
          <w:noBreakHyphen/>
          <w:t>2. List of primary studies included after consideration of risk of bias</w:t>
        </w:r>
        <w:r>
          <w:rPr>
            <w:noProof/>
            <w:webHidden/>
          </w:rPr>
          <w:tab/>
        </w:r>
        <w:r>
          <w:rPr>
            <w:noProof/>
            <w:webHidden/>
          </w:rPr>
          <w:fldChar w:fldCharType="begin"/>
        </w:r>
        <w:r>
          <w:rPr>
            <w:noProof/>
            <w:webHidden/>
          </w:rPr>
          <w:instrText xml:space="preserve"> PAGEREF _Toc106811174 \h </w:instrText>
        </w:r>
        <w:r>
          <w:rPr>
            <w:noProof/>
            <w:webHidden/>
          </w:rPr>
        </w:r>
        <w:r>
          <w:rPr>
            <w:noProof/>
            <w:webHidden/>
          </w:rPr>
          <w:fldChar w:fldCharType="separate"/>
        </w:r>
        <w:r w:rsidR="003132AF">
          <w:rPr>
            <w:noProof/>
            <w:webHidden/>
          </w:rPr>
          <w:t>33</w:t>
        </w:r>
        <w:r>
          <w:rPr>
            <w:noProof/>
            <w:webHidden/>
          </w:rPr>
          <w:fldChar w:fldCharType="end"/>
        </w:r>
      </w:hyperlink>
    </w:p>
    <w:p w14:paraId="64BD4059" w14:textId="2313E7CE" w:rsidR="00F021A6" w:rsidRDefault="00F021A6">
      <w:pPr>
        <w:pStyle w:val="TableofFigures"/>
        <w:tabs>
          <w:tab w:val="right" w:leader="dot" w:pos="7643"/>
        </w:tabs>
        <w:rPr>
          <w:rFonts w:asciiTheme="minorHAnsi" w:eastAsiaTheme="minorEastAsia" w:hAnsiTheme="minorHAnsi" w:cstheme="minorBidi"/>
          <w:noProof/>
          <w:sz w:val="22"/>
          <w:szCs w:val="22"/>
        </w:rPr>
      </w:pPr>
      <w:hyperlink w:anchor="_Toc106811175" w:history="1">
        <w:r w:rsidRPr="00FA68EC">
          <w:rPr>
            <w:rStyle w:val="Hyperlink"/>
            <w:noProof/>
          </w:rPr>
          <w:t>Table 6</w:t>
        </w:r>
        <w:r w:rsidRPr="00FA68EC">
          <w:rPr>
            <w:rStyle w:val="Hyperlink"/>
            <w:noProof/>
          </w:rPr>
          <w:noBreakHyphen/>
          <w:t>1. Summary of guideline review results for the Primary Research Question: Are exposures to the hazards outlined in the PECO Table (Table 2</w:t>
        </w:r>
        <w:r w:rsidRPr="00FA68EC">
          <w:rPr>
            <w:rStyle w:val="Hyperlink"/>
            <w:noProof/>
          </w:rPr>
          <w:noBreakHyphen/>
          <w:t>1) likely to give rise to any significant human health risks given that chemical concentrations in recreational waters are generally low?</w:t>
        </w:r>
        <w:r>
          <w:rPr>
            <w:noProof/>
            <w:webHidden/>
          </w:rPr>
          <w:tab/>
        </w:r>
        <w:r>
          <w:rPr>
            <w:noProof/>
            <w:webHidden/>
          </w:rPr>
          <w:fldChar w:fldCharType="begin"/>
        </w:r>
        <w:r>
          <w:rPr>
            <w:noProof/>
            <w:webHidden/>
          </w:rPr>
          <w:instrText xml:space="preserve"> PAGEREF _Toc106811175 \h </w:instrText>
        </w:r>
        <w:r>
          <w:rPr>
            <w:noProof/>
            <w:webHidden/>
          </w:rPr>
        </w:r>
        <w:r>
          <w:rPr>
            <w:noProof/>
            <w:webHidden/>
          </w:rPr>
          <w:fldChar w:fldCharType="separate"/>
        </w:r>
        <w:r w:rsidR="003132AF">
          <w:rPr>
            <w:noProof/>
            <w:webHidden/>
          </w:rPr>
          <w:t>36</w:t>
        </w:r>
        <w:r>
          <w:rPr>
            <w:noProof/>
            <w:webHidden/>
          </w:rPr>
          <w:fldChar w:fldCharType="end"/>
        </w:r>
      </w:hyperlink>
    </w:p>
    <w:p w14:paraId="4B5A9410" w14:textId="08C6C097" w:rsidR="00F021A6" w:rsidRDefault="00F021A6">
      <w:pPr>
        <w:pStyle w:val="TableofFigures"/>
        <w:tabs>
          <w:tab w:val="right" w:leader="dot" w:pos="7643"/>
        </w:tabs>
        <w:rPr>
          <w:rFonts w:asciiTheme="minorHAnsi" w:eastAsiaTheme="minorEastAsia" w:hAnsiTheme="minorHAnsi" w:cstheme="minorBidi"/>
          <w:noProof/>
          <w:sz w:val="22"/>
          <w:szCs w:val="22"/>
        </w:rPr>
      </w:pPr>
      <w:hyperlink w:anchor="_Toc106811176" w:history="1">
        <w:r w:rsidRPr="00FA68EC">
          <w:rPr>
            <w:rStyle w:val="Hyperlink"/>
            <w:noProof/>
          </w:rPr>
          <w:t>Table 6</w:t>
        </w:r>
        <w:r w:rsidRPr="00FA68EC">
          <w:rPr>
            <w:rStyle w:val="Hyperlink"/>
            <w:noProof/>
          </w:rPr>
          <w:noBreakHyphen/>
          <w:t>2. Summary of guideline review results for Secondary Research Question 1: What chemicals (that potentially pose a risk to humans) are present at elevated concentrations in recreational waters and what are their sources?</w:t>
        </w:r>
        <w:r>
          <w:rPr>
            <w:noProof/>
            <w:webHidden/>
          </w:rPr>
          <w:tab/>
        </w:r>
        <w:r>
          <w:rPr>
            <w:noProof/>
            <w:webHidden/>
          </w:rPr>
          <w:fldChar w:fldCharType="begin"/>
        </w:r>
        <w:r>
          <w:rPr>
            <w:noProof/>
            <w:webHidden/>
          </w:rPr>
          <w:instrText xml:space="preserve"> PAGEREF _Toc106811176 \h </w:instrText>
        </w:r>
        <w:r>
          <w:rPr>
            <w:noProof/>
            <w:webHidden/>
          </w:rPr>
        </w:r>
        <w:r>
          <w:rPr>
            <w:noProof/>
            <w:webHidden/>
          </w:rPr>
          <w:fldChar w:fldCharType="separate"/>
        </w:r>
        <w:r w:rsidR="003132AF">
          <w:rPr>
            <w:noProof/>
            <w:webHidden/>
          </w:rPr>
          <w:t>38</w:t>
        </w:r>
        <w:r>
          <w:rPr>
            <w:noProof/>
            <w:webHidden/>
          </w:rPr>
          <w:fldChar w:fldCharType="end"/>
        </w:r>
      </w:hyperlink>
    </w:p>
    <w:p w14:paraId="6CEEFBB5" w14:textId="13D24276" w:rsidR="00F021A6" w:rsidRDefault="00F021A6">
      <w:pPr>
        <w:pStyle w:val="TableofFigures"/>
        <w:tabs>
          <w:tab w:val="right" w:leader="dot" w:pos="7643"/>
        </w:tabs>
        <w:rPr>
          <w:rFonts w:asciiTheme="minorHAnsi" w:eastAsiaTheme="minorEastAsia" w:hAnsiTheme="minorHAnsi" w:cstheme="minorBidi"/>
          <w:noProof/>
          <w:sz w:val="22"/>
          <w:szCs w:val="22"/>
        </w:rPr>
      </w:pPr>
      <w:hyperlink w:anchor="_Toc106811177" w:history="1">
        <w:r w:rsidRPr="00FA68EC">
          <w:rPr>
            <w:rStyle w:val="Hyperlink"/>
            <w:noProof/>
          </w:rPr>
          <w:t>Table 6</w:t>
        </w:r>
        <w:r w:rsidRPr="00FA68EC">
          <w:rPr>
            <w:rStyle w:val="Hyperlink"/>
            <w:noProof/>
          </w:rPr>
          <w:noBreakHyphen/>
          <w:t>3. Summary of guideline review results for Secondary Research Question 2: What chemicals are of most concern due to their physicochemical properties which may enhance their uptake via dermal, inhalation or ingestion exposure pathways? How can we adjust exposure assumptions for these chemicals?</w:t>
        </w:r>
        <w:r>
          <w:rPr>
            <w:noProof/>
            <w:webHidden/>
          </w:rPr>
          <w:tab/>
        </w:r>
        <w:r>
          <w:rPr>
            <w:noProof/>
            <w:webHidden/>
          </w:rPr>
          <w:fldChar w:fldCharType="begin"/>
        </w:r>
        <w:r>
          <w:rPr>
            <w:noProof/>
            <w:webHidden/>
          </w:rPr>
          <w:instrText xml:space="preserve"> PAGEREF _Toc106811177 \h </w:instrText>
        </w:r>
        <w:r>
          <w:rPr>
            <w:noProof/>
            <w:webHidden/>
          </w:rPr>
        </w:r>
        <w:r>
          <w:rPr>
            <w:noProof/>
            <w:webHidden/>
          </w:rPr>
          <w:fldChar w:fldCharType="separate"/>
        </w:r>
        <w:r w:rsidR="003132AF">
          <w:rPr>
            <w:noProof/>
            <w:webHidden/>
          </w:rPr>
          <w:t>40</w:t>
        </w:r>
        <w:r>
          <w:rPr>
            <w:noProof/>
            <w:webHidden/>
          </w:rPr>
          <w:fldChar w:fldCharType="end"/>
        </w:r>
      </w:hyperlink>
    </w:p>
    <w:p w14:paraId="273B3D0D" w14:textId="01A78053" w:rsidR="00F021A6" w:rsidRDefault="00F021A6">
      <w:pPr>
        <w:pStyle w:val="TableofFigures"/>
        <w:tabs>
          <w:tab w:val="right" w:leader="dot" w:pos="7643"/>
        </w:tabs>
        <w:rPr>
          <w:rFonts w:asciiTheme="minorHAnsi" w:eastAsiaTheme="minorEastAsia" w:hAnsiTheme="minorHAnsi" w:cstheme="minorBidi"/>
          <w:noProof/>
          <w:sz w:val="22"/>
          <w:szCs w:val="22"/>
        </w:rPr>
      </w:pPr>
      <w:hyperlink w:anchor="_Toc106811178" w:history="1">
        <w:r w:rsidRPr="00FA68EC">
          <w:rPr>
            <w:rStyle w:val="Hyperlink"/>
            <w:noProof/>
          </w:rPr>
          <w:t>Table 6</w:t>
        </w:r>
        <w:r w:rsidRPr="00FA68EC">
          <w:rPr>
            <w:rStyle w:val="Hyperlink"/>
            <w:noProof/>
          </w:rPr>
          <w:noBreakHyphen/>
          <w:t>4.  Summary of guideline review results for Secondary Research Question 3: Should the focus be on “hot spots” i.e. site-specific rather than chemical specific, and/or include periodic toxicity screening of sites to complement chemical testing?</w:t>
        </w:r>
        <w:r>
          <w:rPr>
            <w:noProof/>
            <w:webHidden/>
          </w:rPr>
          <w:tab/>
        </w:r>
        <w:r>
          <w:rPr>
            <w:noProof/>
            <w:webHidden/>
          </w:rPr>
          <w:fldChar w:fldCharType="begin"/>
        </w:r>
        <w:r>
          <w:rPr>
            <w:noProof/>
            <w:webHidden/>
          </w:rPr>
          <w:instrText xml:space="preserve"> PAGEREF _Toc106811178 \h </w:instrText>
        </w:r>
        <w:r>
          <w:rPr>
            <w:noProof/>
            <w:webHidden/>
          </w:rPr>
        </w:r>
        <w:r>
          <w:rPr>
            <w:noProof/>
            <w:webHidden/>
          </w:rPr>
          <w:fldChar w:fldCharType="separate"/>
        </w:r>
        <w:r w:rsidR="003132AF">
          <w:rPr>
            <w:noProof/>
            <w:webHidden/>
          </w:rPr>
          <w:t>41</w:t>
        </w:r>
        <w:r>
          <w:rPr>
            <w:noProof/>
            <w:webHidden/>
          </w:rPr>
          <w:fldChar w:fldCharType="end"/>
        </w:r>
      </w:hyperlink>
    </w:p>
    <w:p w14:paraId="26A1DD96" w14:textId="240C0E35" w:rsidR="00F021A6" w:rsidRDefault="00F021A6">
      <w:pPr>
        <w:pStyle w:val="TableofFigures"/>
        <w:tabs>
          <w:tab w:val="right" w:leader="dot" w:pos="7643"/>
        </w:tabs>
        <w:rPr>
          <w:rFonts w:asciiTheme="minorHAnsi" w:eastAsiaTheme="minorEastAsia" w:hAnsiTheme="minorHAnsi" w:cstheme="minorBidi"/>
          <w:noProof/>
          <w:sz w:val="22"/>
          <w:szCs w:val="22"/>
        </w:rPr>
      </w:pPr>
      <w:hyperlink w:anchor="_Toc106811179" w:history="1">
        <w:r w:rsidRPr="00FA68EC">
          <w:rPr>
            <w:rStyle w:val="Hyperlink"/>
            <w:noProof/>
          </w:rPr>
          <w:t>Table 6</w:t>
        </w:r>
        <w:r w:rsidRPr="00FA68EC">
          <w:rPr>
            <w:rStyle w:val="Hyperlink"/>
            <w:noProof/>
          </w:rPr>
          <w:noBreakHyphen/>
          <w:t>5. Body of evidence summary for included guidelines</w:t>
        </w:r>
        <w:r>
          <w:rPr>
            <w:noProof/>
            <w:webHidden/>
          </w:rPr>
          <w:tab/>
        </w:r>
        <w:r>
          <w:rPr>
            <w:noProof/>
            <w:webHidden/>
          </w:rPr>
          <w:fldChar w:fldCharType="begin"/>
        </w:r>
        <w:r>
          <w:rPr>
            <w:noProof/>
            <w:webHidden/>
          </w:rPr>
          <w:instrText xml:space="preserve"> PAGEREF _Toc106811179 \h </w:instrText>
        </w:r>
        <w:r>
          <w:rPr>
            <w:noProof/>
            <w:webHidden/>
          </w:rPr>
        </w:r>
        <w:r>
          <w:rPr>
            <w:noProof/>
            <w:webHidden/>
          </w:rPr>
          <w:fldChar w:fldCharType="separate"/>
        </w:r>
        <w:r w:rsidR="003132AF">
          <w:rPr>
            <w:noProof/>
            <w:webHidden/>
          </w:rPr>
          <w:t>42</w:t>
        </w:r>
        <w:r>
          <w:rPr>
            <w:noProof/>
            <w:webHidden/>
          </w:rPr>
          <w:fldChar w:fldCharType="end"/>
        </w:r>
      </w:hyperlink>
    </w:p>
    <w:p w14:paraId="2ABE905F" w14:textId="2A8C39FD" w:rsidR="00F021A6" w:rsidRDefault="00F021A6">
      <w:pPr>
        <w:pStyle w:val="TableofFigures"/>
        <w:tabs>
          <w:tab w:val="right" w:leader="dot" w:pos="7643"/>
        </w:tabs>
        <w:rPr>
          <w:rFonts w:asciiTheme="minorHAnsi" w:eastAsiaTheme="minorEastAsia" w:hAnsiTheme="minorHAnsi" w:cstheme="minorBidi"/>
          <w:noProof/>
          <w:sz w:val="22"/>
          <w:szCs w:val="22"/>
        </w:rPr>
      </w:pPr>
      <w:hyperlink w:anchor="_Toc106811180" w:history="1">
        <w:r w:rsidRPr="00FA68EC">
          <w:rPr>
            <w:rStyle w:val="Hyperlink"/>
            <w:noProof/>
          </w:rPr>
          <w:t>Table 6</w:t>
        </w:r>
        <w:r w:rsidRPr="00FA68EC">
          <w:rPr>
            <w:rStyle w:val="Hyperlink"/>
            <w:noProof/>
          </w:rPr>
          <w:noBreakHyphen/>
          <w:t>6. Results summary for Canpolat et al., (2020)</w:t>
        </w:r>
        <w:r>
          <w:rPr>
            <w:noProof/>
            <w:webHidden/>
          </w:rPr>
          <w:tab/>
        </w:r>
        <w:r>
          <w:rPr>
            <w:noProof/>
            <w:webHidden/>
          </w:rPr>
          <w:fldChar w:fldCharType="begin"/>
        </w:r>
        <w:r>
          <w:rPr>
            <w:noProof/>
            <w:webHidden/>
          </w:rPr>
          <w:instrText xml:space="preserve"> PAGEREF _Toc106811180 \h </w:instrText>
        </w:r>
        <w:r>
          <w:rPr>
            <w:noProof/>
            <w:webHidden/>
          </w:rPr>
        </w:r>
        <w:r>
          <w:rPr>
            <w:noProof/>
            <w:webHidden/>
          </w:rPr>
          <w:fldChar w:fldCharType="separate"/>
        </w:r>
        <w:r w:rsidR="003132AF">
          <w:rPr>
            <w:noProof/>
            <w:webHidden/>
          </w:rPr>
          <w:t>45</w:t>
        </w:r>
        <w:r>
          <w:rPr>
            <w:noProof/>
            <w:webHidden/>
          </w:rPr>
          <w:fldChar w:fldCharType="end"/>
        </w:r>
      </w:hyperlink>
    </w:p>
    <w:p w14:paraId="6BB54DEC" w14:textId="7647E2A2" w:rsidR="00F021A6" w:rsidRDefault="00F021A6">
      <w:pPr>
        <w:pStyle w:val="TableofFigures"/>
        <w:tabs>
          <w:tab w:val="right" w:leader="dot" w:pos="7643"/>
        </w:tabs>
        <w:rPr>
          <w:rFonts w:asciiTheme="minorHAnsi" w:eastAsiaTheme="minorEastAsia" w:hAnsiTheme="minorHAnsi" w:cstheme="minorBidi"/>
          <w:noProof/>
          <w:sz w:val="22"/>
          <w:szCs w:val="22"/>
        </w:rPr>
      </w:pPr>
      <w:hyperlink w:anchor="_Toc106811181" w:history="1">
        <w:r w:rsidRPr="00FA68EC">
          <w:rPr>
            <w:rStyle w:val="Hyperlink"/>
            <w:noProof/>
          </w:rPr>
          <w:t>Table 6</w:t>
        </w:r>
        <w:r w:rsidRPr="00FA68EC">
          <w:rPr>
            <w:rStyle w:val="Hyperlink"/>
            <w:noProof/>
          </w:rPr>
          <w:noBreakHyphen/>
          <w:t>7 Results summary for Dor et al. (2003).</w:t>
        </w:r>
        <w:r>
          <w:rPr>
            <w:noProof/>
            <w:webHidden/>
          </w:rPr>
          <w:tab/>
        </w:r>
        <w:r>
          <w:rPr>
            <w:noProof/>
            <w:webHidden/>
          </w:rPr>
          <w:fldChar w:fldCharType="begin"/>
        </w:r>
        <w:r>
          <w:rPr>
            <w:noProof/>
            <w:webHidden/>
          </w:rPr>
          <w:instrText xml:space="preserve"> PAGEREF _Toc106811181 \h </w:instrText>
        </w:r>
        <w:r>
          <w:rPr>
            <w:noProof/>
            <w:webHidden/>
          </w:rPr>
        </w:r>
        <w:r>
          <w:rPr>
            <w:noProof/>
            <w:webHidden/>
          </w:rPr>
          <w:fldChar w:fldCharType="separate"/>
        </w:r>
        <w:r w:rsidR="003132AF">
          <w:rPr>
            <w:noProof/>
            <w:webHidden/>
          </w:rPr>
          <w:t>46</w:t>
        </w:r>
        <w:r>
          <w:rPr>
            <w:noProof/>
            <w:webHidden/>
          </w:rPr>
          <w:fldChar w:fldCharType="end"/>
        </w:r>
      </w:hyperlink>
    </w:p>
    <w:p w14:paraId="257B4688" w14:textId="0BB68722" w:rsidR="00F021A6" w:rsidRDefault="00F021A6">
      <w:pPr>
        <w:pStyle w:val="TableofFigures"/>
        <w:tabs>
          <w:tab w:val="right" w:leader="dot" w:pos="7643"/>
        </w:tabs>
        <w:rPr>
          <w:rFonts w:asciiTheme="minorHAnsi" w:eastAsiaTheme="minorEastAsia" w:hAnsiTheme="minorHAnsi" w:cstheme="minorBidi"/>
          <w:noProof/>
          <w:sz w:val="22"/>
          <w:szCs w:val="22"/>
        </w:rPr>
      </w:pPr>
      <w:hyperlink w:anchor="_Toc106811182" w:history="1">
        <w:r w:rsidRPr="00FA68EC">
          <w:rPr>
            <w:rStyle w:val="Hyperlink"/>
            <w:noProof/>
          </w:rPr>
          <w:t>Table 6</w:t>
        </w:r>
        <w:r w:rsidRPr="00FA68EC">
          <w:rPr>
            <w:rStyle w:val="Hyperlink"/>
            <w:noProof/>
          </w:rPr>
          <w:noBreakHyphen/>
          <w:t>8. Results summary for Swartjes and Janssen (2016)</w:t>
        </w:r>
        <w:r>
          <w:rPr>
            <w:noProof/>
            <w:webHidden/>
          </w:rPr>
          <w:tab/>
        </w:r>
        <w:r>
          <w:rPr>
            <w:noProof/>
            <w:webHidden/>
          </w:rPr>
          <w:fldChar w:fldCharType="begin"/>
        </w:r>
        <w:r>
          <w:rPr>
            <w:noProof/>
            <w:webHidden/>
          </w:rPr>
          <w:instrText xml:space="preserve"> PAGEREF _Toc106811182 \h </w:instrText>
        </w:r>
        <w:r>
          <w:rPr>
            <w:noProof/>
            <w:webHidden/>
          </w:rPr>
        </w:r>
        <w:r>
          <w:rPr>
            <w:noProof/>
            <w:webHidden/>
          </w:rPr>
          <w:fldChar w:fldCharType="separate"/>
        </w:r>
        <w:r w:rsidR="003132AF">
          <w:rPr>
            <w:noProof/>
            <w:webHidden/>
          </w:rPr>
          <w:t>47</w:t>
        </w:r>
        <w:r>
          <w:rPr>
            <w:noProof/>
            <w:webHidden/>
          </w:rPr>
          <w:fldChar w:fldCharType="end"/>
        </w:r>
      </w:hyperlink>
    </w:p>
    <w:p w14:paraId="054D8330" w14:textId="42B4A9B2" w:rsidR="00F021A6" w:rsidRDefault="00F021A6">
      <w:pPr>
        <w:pStyle w:val="TableofFigures"/>
        <w:tabs>
          <w:tab w:val="right" w:leader="dot" w:pos="7643"/>
        </w:tabs>
        <w:rPr>
          <w:rFonts w:asciiTheme="minorHAnsi" w:eastAsiaTheme="minorEastAsia" w:hAnsiTheme="minorHAnsi" w:cstheme="minorBidi"/>
          <w:noProof/>
          <w:sz w:val="22"/>
          <w:szCs w:val="22"/>
        </w:rPr>
      </w:pPr>
      <w:hyperlink w:anchor="_Toc106811183" w:history="1">
        <w:r w:rsidRPr="00FA68EC">
          <w:rPr>
            <w:rStyle w:val="Hyperlink"/>
            <w:noProof/>
          </w:rPr>
          <w:t>Table 6</w:t>
        </w:r>
        <w:r w:rsidRPr="00FA68EC">
          <w:rPr>
            <w:rStyle w:val="Hyperlink"/>
            <w:noProof/>
          </w:rPr>
          <w:noBreakHyphen/>
          <w:t>9. GRADE report for presence of significant human health risks due to chemical hazards</w:t>
        </w:r>
        <w:r w:rsidRPr="00FA68EC">
          <w:rPr>
            <w:rStyle w:val="Hyperlink"/>
            <w:noProof/>
            <w:vertAlign w:val="superscript"/>
          </w:rPr>
          <w:t>#</w:t>
        </w:r>
        <w:r w:rsidRPr="00FA68EC">
          <w:rPr>
            <w:rStyle w:val="Hyperlink"/>
            <w:noProof/>
          </w:rPr>
          <w:t xml:space="preserve"> in recreational water</w:t>
        </w:r>
        <w:r>
          <w:rPr>
            <w:noProof/>
            <w:webHidden/>
          </w:rPr>
          <w:tab/>
        </w:r>
        <w:r>
          <w:rPr>
            <w:noProof/>
            <w:webHidden/>
          </w:rPr>
          <w:fldChar w:fldCharType="begin"/>
        </w:r>
        <w:r>
          <w:rPr>
            <w:noProof/>
            <w:webHidden/>
          </w:rPr>
          <w:instrText xml:space="preserve"> PAGEREF _Toc106811183 \h </w:instrText>
        </w:r>
        <w:r>
          <w:rPr>
            <w:noProof/>
            <w:webHidden/>
          </w:rPr>
        </w:r>
        <w:r>
          <w:rPr>
            <w:noProof/>
            <w:webHidden/>
          </w:rPr>
          <w:fldChar w:fldCharType="separate"/>
        </w:r>
        <w:r w:rsidR="003132AF">
          <w:rPr>
            <w:noProof/>
            <w:webHidden/>
          </w:rPr>
          <w:t>50</w:t>
        </w:r>
        <w:r>
          <w:rPr>
            <w:noProof/>
            <w:webHidden/>
          </w:rPr>
          <w:fldChar w:fldCharType="end"/>
        </w:r>
      </w:hyperlink>
    </w:p>
    <w:p w14:paraId="00FF7D89" w14:textId="09AE6942" w:rsidR="006E6200" w:rsidRPr="00595884" w:rsidRDefault="00274BC6" w:rsidP="001C27E8">
      <w:pPr>
        <w:rPr>
          <w:highlight w:val="yellow"/>
        </w:rPr>
      </w:pPr>
      <w:r w:rsidRPr="00595884">
        <w:rPr>
          <w:highlight w:val="yellow"/>
        </w:rPr>
        <w:fldChar w:fldCharType="end"/>
      </w:r>
    </w:p>
    <w:p w14:paraId="6579DA16" w14:textId="63717FAC" w:rsidR="00D267EA" w:rsidRPr="00595884" w:rsidRDefault="00274BC6" w:rsidP="00F021A6">
      <w:pPr>
        <w:pStyle w:val="Non-numberedHeading1"/>
        <w:outlineLvl w:val="0"/>
      </w:pPr>
      <w:r w:rsidRPr="00595884">
        <w:t>Table of Figures</w:t>
      </w:r>
    </w:p>
    <w:p w14:paraId="1E280A75" w14:textId="2D2E8ED9" w:rsidR="00F021A6" w:rsidRDefault="00274BC6">
      <w:pPr>
        <w:pStyle w:val="TableofFigures"/>
        <w:tabs>
          <w:tab w:val="right" w:leader="dot" w:pos="7643"/>
        </w:tabs>
        <w:rPr>
          <w:rFonts w:asciiTheme="minorHAnsi" w:eastAsiaTheme="minorEastAsia" w:hAnsiTheme="minorHAnsi" w:cstheme="minorBidi"/>
          <w:noProof/>
          <w:sz w:val="22"/>
          <w:szCs w:val="22"/>
        </w:rPr>
      </w:pPr>
      <w:r w:rsidRPr="00595884">
        <w:rPr>
          <w:highlight w:val="yellow"/>
        </w:rPr>
        <w:fldChar w:fldCharType="begin"/>
      </w:r>
      <w:r w:rsidRPr="00595884">
        <w:rPr>
          <w:highlight w:val="yellow"/>
        </w:rPr>
        <w:instrText xml:space="preserve"> TOC \h \z \c "Figure" </w:instrText>
      </w:r>
      <w:r w:rsidRPr="00595884">
        <w:rPr>
          <w:highlight w:val="yellow"/>
        </w:rPr>
        <w:fldChar w:fldCharType="separate"/>
      </w:r>
      <w:hyperlink w:anchor="_Toc106811184" w:history="1">
        <w:r w:rsidR="00F021A6" w:rsidRPr="00AE4319">
          <w:rPr>
            <w:rStyle w:val="Hyperlink"/>
            <w:noProof/>
          </w:rPr>
          <w:t>Figure 2</w:t>
        </w:r>
        <w:r w:rsidR="00F021A6" w:rsidRPr="00AE4319">
          <w:rPr>
            <w:rStyle w:val="Hyperlink"/>
            <w:noProof/>
          </w:rPr>
          <w:noBreakHyphen/>
          <w:t xml:space="preserve">1. OHAT method for assessing confidence in the body of evidence </w:t>
        </w:r>
        <w:r w:rsidR="00F021A6" w:rsidRPr="00AE4319">
          <w:rPr>
            <w:rStyle w:val="Hyperlink"/>
            <w:rFonts w:cs="Arial"/>
            <w:noProof/>
          </w:rPr>
          <w:t>(OHAT, 2019)</w:t>
        </w:r>
        <w:r w:rsidR="00F021A6">
          <w:rPr>
            <w:noProof/>
            <w:webHidden/>
          </w:rPr>
          <w:tab/>
        </w:r>
        <w:r w:rsidR="00F021A6">
          <w:rPr>
            <w:noProof/>
            <w:webHidden/>
          </w:rPr>
          <w:fldChar w:fldCharType="begin"/>
        </w:r>
        <w:r w:rsidR="00F021A6">
          <w:rPr>
            <w:noProof/>
            <w:webHidden/>
          </w:rPr>
          <w:instrText xml:space="preserve"> PAGEREF _Toc106811184 \h </w:instrText>
        </w:r>
        <w:r w:rsidR="00F021A6">
          <w:rPr>
            <w:noProof/>
            <w:webHidden/>
          </w:rPr>
        </w:r>
        <w:r w:rsidR="00F021A6">
          <w:rPr>
            <w:noProof/>
            <w:webHidden/>
          </w:rPr>
          <w:fldChar w:fldCharType="separate"/>
        </w:r>
        <w:r w:rsidR="003132AF">
          <w:rPr>
            <w:noProof/>
            <w:webHidden/>
          </w:rPr>
          <w:t>22</w:t>
        </w:r>
        <w:r w:rsidR="00F021A6">
          <w:rPr>
            <w:noProof/>
            <w:webHidden/>
          </w:rPr>
          <w:fldChar w:fldCharType="end"/>
        </w:r>
      </w:hyperlink>
    </w:p>
    <w:p w14:paraId="0125E447" w14:textId="7F610E84" w:rsidR="00F021A6" w:rsidRDefault="00F021A6">
      <w:pPr>
        <w:pStyle w:val="TableofFigures"/>
        <w:tabs>
          <w:tab w:val="right" w:leader="dot" w:pos="7643"/>
        </w:tabs>
        <w:rPr>
          <w:rFonts w:asciiTheme="minorHAnsi" w:eastAsiaTheme="minorEastAsia" w:hAnsiTheme="minorHAnsi" w:cstheme="minorBidi"/>
          <w:noProof/>
          <w:sz w:val="22"/>
          <w:szCs w:val="22"/>
        </w:rPr>
      </w:pPr>
      <w:hyperlink w:anchor="_Toc106811185" w:history="1">
        <w:r w:rsidRPr="00AE4319">
          <w:rPr>
            <w:rStyle w:val="Hyperlink"/>
            <w:noProof/>
          </w:rPr>
          <w:t>Figure 3</w:t>
        </w:r>
        <w:r w:rsidRPr="00AE4319">
          <w:rPr>
            <w:rStyle w:val="Hyperlink"/>
            <w:noProof/>
          </w:rPr>
          <w:noBreakHyphen/>
          <w:t>1.  PRISMA summary of the citation review process for guidelines</w:t>
        </w:r>
        <w:r>
          <w:rPr>
            <w:noProof/>
            <w:webHidden/>
          </w:rPr>
          <w:tab/>
        </w:r>
        <w:r>
          <w:rPr>
            <w:noProof/>
            <w:webHidden/>
          </w:rPr>
          <w:fldChar w:fldCharType="begin"/>
        </w:r>
        <w:r>
          <w:rPr>
            <w:noProof/>
            <w:webHidden/>
          </w:rPr>
          <w:instrText xml:space="preserve"> PAGEREF _Toc106811185 \h </w:instrText>
        </w:r>
        <w:r>
          <w:rPr>
            <w:noProof/>
            <w:webHidden/>
          </w:rPr>
        </w:r>
        <w:r>
          <w:rPr>
            <w:noProof/>
            <w:webHidden/>
          </w:rPr>
          <w:fldChar w:fldCharType="separate"/>
        </w:r>
        <w:r w:rsidR="003132AF">
          <w:rPr>
            <w:noProof/>
            <w:webHidden/>
          </w:rPr>
          <w:t>25</w:t>
        </w:r>
        <w:r>
          <w:rPr>
            <w:noProof/>
            <w:webHidden/>
          </w:rPr>
          <w:fldChar w:fldCharType="end"/>
        </w:r>
      </w:hyperlink>
    </w:p>
    <w:p w14:paraId="25B32CFE" w14:textId="7199E63D" w:rsidR="00F021A6" w:rsidRDefault="00F021A6">
      <w:pPr>
        <w:pStyle w:val="TableofFigures"/>
        <w:tabs>
          <w:tab w:val="right" w:leader="dot" w:pos="7643"/>
        </w:tabs>
        <w:rPr>
          <w:rFonts w:asciiTheme="minorHAnsi" w:eastAsiaTheme="minorEastAsia" w:hAnsiTheme="minorHAnsi" w:cstheme="minorBidi"/>
          <w:noProof/>
          <w:sz w:val="22"/>
          <w:szCs w:val="22"/>
        </w:rPr>
      </w:pPr>
      <w:hyperlink w:anchor="_Toc106811186" w:history="1">
        <w:r w:rsidRPr="00AE4319">
          <w:rPr>
            <w:rStyle w:val="Hyperlink"/>
            <w:noProof/>
          </w:rPr>
          <w:t>Figure 3</w:t>
        </w:r>
        <w:r w:rsidRPr="00AE4319">
          <w:rPr>
            <w:rStyle w:val="Hyperlink"/>
            <w:noProof/>
          </w:rPr>
          <w:noBreakHyphen/>
          <w:t>2.  PRISMA summary of the citation review process for primary studies</w:t>
        </w:r>
        <w:r>
          <w:rPr>
            <w:noProof/>
            <w:webHidden/>
          </w:rPr>
          <w:tab/>
        </w:r>
        <w:r>
          <w:rPr>
            <w:noProof/>
            <w:webHidden/>
          </w:rPr>
          <w:fldChar w:fldCharType="begin"/>
        </w:r>
        <w:r>
          <w:rPr>
            <w:noProof/>
            <w:webHidden/>
          </w:rPr>
          <w:instrText xml:space="preserve"> PAGEREF _Toc106811186 \h </w:instrText>
        </w:r>
        <w:r>
          <w:rPr>
            <w:noProof/>
            <w:webHidden/>
          </w:rPr>
        </w:r>
        <w:r>
          <w:rPr>
            <w:noProof/>
            <w:webHidden/>
          </w:rPr>
          <w:fldChar w:fldCharType="separate"/>
        </w:r>
        <w:r w:rsidR="003132AF">
          <w:rPr>
            <w:noProof/>
            <w:webHidden/>
          </w:rPr>
          <w:t>26</w:t>
        </w:r>
        <w:r>
          <w:rPr>
            <w:noProof/>
            <w:webHidden/>
          </w:rPr>
          <w:fldChar w:fldCharType="end"/>
        </w:r>
      </w:hyperlink>
    </w:p>
    <w:p w14:paraId="5F9AEF6A" w14:textId="65D1E4C3" w:rsidR="003B7A02" w:rsidRDefault="00274BC6" w:rsidP="003B7A02">
      <w:pPr>
        <w:pStyle w:val="Non-numberedHeading1"/>
        <w:pageBreakBefore w:val="0"/>
        <w:outlineLvl w:val="0"/>
      </w:pPr>
      <w:r w:rsidRPr="00595884">
        <w:rPr>
          <w:highlight w:val="yellow"/>
        </w:rPr>
        <w:fldChar w:fldCharType="end"/>
      </w:r>
    </w:p>
    <w:p w14:paraId="2D43B90D" w14:textId="70469A50" w:rsidR="003B7A02" w:rsidRPr="003B7A02" w:rsidRDefault="00274BC6" w:rsidP="003B7A02">
      <w:pPr>
        <w:pStyle w:val="Non-numberedHeading1"/>
        <w:pageBreakBefore w:val="0"/>
        <w:outlineLvl w:val="0"/>
      </w:pPr>
      <w:r w:rsidRPr="003B7A02">
        <w:t xml:space="preserve"> Glossary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6230"/>
      </w:tblGrid>
      <w:tr w:rsidR="004254E5" w14:paraId="2CDFF140" w14:textId="77777777" w:rsidTr="005B6ACD">
        <w:tc>
          <w:tcPr>
            <w:tcW w:w="1413" w:type="dxa"/>
          </w:tcPr>
          <w:p w14:paraId="291C174A" w14:textId="77777777" w:rsidR="003B7A02" w:rsidRDefault="00274BC6" w:rsidP="005B6ACD">
            <w:pPr>
              <w:spacing w:before="40" w:after="40" w:line="240" w:lineRule="auto"/>
            </w:pPr>
            <w:r>
              <w:t>ADWG</w:t>
            </w:r>
          </w:p>
        </w:tc>
        <w:tc>
          <w:tcPr>
            <w:tcW w:w="6230" w:type="dxa"/>
          </w:tcPr>
          <w:p w14:paraId="35B64774" w14:textId="77777777" w:rsidR="003B7A02" w:rsidRDefault="00274BC6" w:rsidP="005B6ACD">
            <w:pPr>
              <w:spacing w:before="40" w:after="40" w:line="240" w:lineRule="auto"/>
            </w:pPr>
            <w:r>
              <w:t>Australian Drinking Water Guidelines</w:t>
            </w:r>
          </w:p>
        </w:tc>
      </w:tr>
      <w:tr w:rsidR="004254E5" w14:paraId="046F9BB4" w14:textId="77777777" w:rsidTr="005B6ACD">
        <w:tc>
          <w:tcPr>
            <w:tcW w:w="1413" w:type="dxa"/>
          </w:tcPr>
          <w:p w14:paraId="2637025D" w14:textId="77777777" w:rsidR="003B7A02" w:rsidRPr="00756C13" w:rsidRDefault="00274BC6" w:rsidP="005B6ACD">
            <w:pPr>
              <w:spacing w:before="40" w:after="40" w:line="240" w:lineRule="auto"/>
            </w:pPr>
            <w:r>
              <w:t>AGREE</w:t>
            </w:r>
          </w:p>
        </w:tc>
        <w:tc>
          <w:tcPr>
            <w:tcW w:w="6230" w:type="dxa"/>
          </w:tcPr>
          <w:p w14:paraId="276262A8" w14:textId="77777777" w:rsidR="003B7A02" w:rsidRPr="00756C13" w:rsidRDefault="00274BC6" w:rsidP="005B6ACD">
            <w:pPr>
              <w:spacing w:before="40" w:after="40" w:line="240" w:lineRule="auto"/>
            </w:pPr>
            <w:r>
              <w:t>Appraisal of Guidelines for Research and Evaluation</w:t>
            </w:r>
          </w:p>
        </w:tc>
      </w:tr>
      <w:tr w:rsidR="004254E5" w14:paraId="4A44F9F7" w14:textId="77777777" w:rsidTr="005B6ACD">
        <w:tc>
          <w:tcPr>
            <w:tcW w:w="1413" w:type="dxa"/>
          </w:tcPr>
          <w:p w14:paraId="48B5059B" w14:textId="77777777" w:rsidR="003B7A02" w:rsidRDefault="00274BC6" w:rsidP="005B6ACD">
            <w:pPr>
              <w:spacing w:before="40" w:after="40" w:line="240" w:lineRule="auto"/>
            </w:pPr>
            <w:r>
              <w:t>AGWR</w:t>
            </w:r>
          </w:p>
        </w:tc>
        <w:tc>
          <w:tcPr>
            <w:tcW w:w="6230" w:type="dxa"/>
          </w:tcPr>
          <w:p w14:paraId="63A4F482" w14:textId="77777777" w:rsidR="003B7A02" w:rsidRDefault="00274BC6" w:rsidP="005B6ACD">
            <w:pPr>
              <w:spacing w:before="40" w:after="40" w:line="240" w:lineRule="auto"/>
            </w:pPr>
            <w:r>
              <w:t>Australian Guidelines for Water Recycling</w:t>
            </w:r>
          </w:p>
        </w:tc>
      </w:tr>
      <w:tr w:rsidR="004254E5" w14:paraId="68B2235D" w14:textId="77777777" w:rsidTr="005B6ACD">
        <w:tc>
          <w:tcPr>
            <w:tcW w:w="1413" w:type="dxa"/>
          </w:tcPr>
          <w:p w14:paraId="5336514B" w14:textId="77777777" w:rsidR="003B7A02" w:rsidRDefault="00274BC6" w:rsidP="005B6ACD">
            <w:pPr>
              <w:spacing w:before="40" w:after="40" w:line="240" w:lineRule="auto"/>
            </w:pPr>
            <w:r>
              <w:t>AHMC</w:t>
            </w:r>
          </w:p>
        </w:tc>
        <w:tc>
          <w:tcPr>
            <w:tcW w:w="6230" w:type="dxa"/>
          </w:tcPr>
          <w:p w14:paraId="65D99EE8" w14:textId="77777777" w:rsidR="003B7A02" w:rsidRDefault="00274BC6" w:rsidP="005B6ACD">
            <w:pPr>
              <w:spacing w:before="40" w:after="40" w:line="240" w:lineRule="auto"/>
            </w:pPr>
            <w:r>
              <w:t>Australian Health Ministers Conference</w:t>
            </w:r>
          </w:p>
        </w:tc>
      </w:tr>
      <w:tr w:rsidR="004254E5" w14:paraId="2DBB2CC3" w14:textId="77777777" w:rsidTr="005B6ACD">
        <w:tc>
          <w:tcPr>
            <w:tcW w:w="1413" w:type="dxa"/>
          </w:tcPr>
          <w:p w14:paraId="15039502" w14:textId="77777777" w:rsidR="003B7A02" w:rsidRDefault="00274BC6" w:rsidP="005B6ACD">
            <w:pPr>
              <w:spacing w:before="40" w:after="40" w:line="240" w:lineRule="auto"/>
            </w:pPr>
            <w:r>
              <w:t>BMDL</w:t>
            </w:r>
          </w:p>
        </w:tc>
        <w:tc>
          <w:tcPr>
            <w:tcW w:w="6230" w:type="dxa"/>
          </w:tcPr>
          <w:p w14:paraId="4578289F" w14:textId="77777777" w:rsidR="003B7A02" w:rsidRDefault="00274BC6" w:rsidP="005B6ACD">
            <w:pPr>
              <w:spacing w:before="40" w:after="40" w:line="240" w:lineRule="auto"/>
            </w:pPr>
            <w:r>
              <w:t>Benchmark dose level</w:t>
            </w:r>
          </w:p>
        </w:tc>
      </w:tr>
      <w:tr w:rsidR="004254E5" w14:paraId="5D769FAE" w14:textId="77777777" w:rsidTr="005B6ACD">
        <w:tc>
          <w:tcPr>
            <w:tcW w:w="1413" w:type="dxa"/>
          </w:tcPr>
          <w:p w14:paraId="00B0F5E2" w14:textId="77777777" w:rsidR="003B7A02" w:rsidRDefault="00274BC6" w:rsidP="005B6ACD">
            <w:pPr>
              <w:spacing w:before="40" w:after="40" w:line="240" w:lineRule="auto"/>
            </w:pPr>
            <w:r>
              <w:t>BTEX</w:t>
            </w:r>
          </w:p>
        </w:tc>
        <w:tc>
          <w:tcPr>
            <w:tcW w:w="6230" w:type="dxa"/>
          </w:tcPr>
          <w:p w14:paraId="1FD585B1" w14:textId="77777777" w:rsidR="003B7A02" w:rsidRDefault="00274BC6" w:rsidP="005B6ACD">
            <w:pPr>
              <w:spacing w:before="40" w:after="40" w:line="240" w:lineRule="auto"/>
            </w:pPr>
            <w:r>
              <w:t>Benzene, toluene, ethylbenzene and xylene</w:t>
            </w:r>
          </w:p>
        </w:tc>
      </w:tr>
      <w:tr w:rsidR="004254E5" w14:paraId="3353C036" w14:textId="77777777" w:rsidTr="005B6ACD">
        <w:tc>
          <w:tcPr>
            <w:tcW w:w="1413" w:type="dxa"/>
          </w:tcPr>
          <w:p w14:paraId="2AD8CD63" w14:textId="77777777" w:rsidR="003B7A02" w:rsidRPr="00756C13" w:rsidRDefault="00274BC6" w:rsidP="005B6ACD">
            <w:pPr>
              <w:spacing w:before="40" w:after="40" w:line="240" w:lineRule="auto"/>
            </w:pPr>
            <w:r>
              <w:t>CASP</w:t>
            </w:r>
          </w:p>
        </w:tc>
        <w:tc>
          <w:tcPr>
            <w:tcW w:w="6230" w:type="dxa"/>
          </w:tcPr>
          <w:p w14:paraId="5A4C11CD" w14:textId="77777777" w:rsidR="003B7A02" w:rsidRPr="00756C13" w:rsidRDefault="00274BC6" w:rsidP="005B6ACD">
            <w:pPr>
              <w:spacing w:before="40" w:after="40" w:line="240" w:lineRule="auto"/>
            </w:pPr>
            <w:r>
              <w:t>Critical Appraisal Skills Programme</w:t>
            </w:r>
          </w:p>
        </w:tc>
      </w:tr>
      <w:tr w:rsidR="004254E5" w14:paraId="23FAB8EA" w14:textId="77777777" w:rsidTr="005B6ACD">
        <w:tc>
          <w:tcPr>
            <w:tcW w:w="1413" w:type="dxa"/>
          </w:tcPr>
          <w:p w14:paraId="1B36C771" w14:textId="77777777" w:rsidR="003B7A02" w:rsidRDefault="00274BC6" w:rsidP="005B6ACD">
            <w:pPr>
              <w:spacing w:before="40" w:after="40" w:line="240" w:lineRule="auto"/>
            </w:pPr>
            <w:r>
              <w:t>CR</w:t>
            </w:r>
          </w:p>
        </w:tc>
        <w:tc>
          <w:tcPr>
            <w:tcW w:w="6230" w:type="dxa"/>
          </w:tcPr>
          <w:p w14:paraId="1F8DF4F2" w14:textId="77777777" w:rsidR="003B7A02" w:rsidRPr="00975623" w:rsidRDefault="00274BC6" w:rsidP="005B6ACD">
            <w:pPr>
              <w:spacing w:before="40" w:after="40" w:line="240" w:lineRule="auto"/>
            </w:pPr>
            <w:r>
              <w:t>Carcinogenic risk</w:t>
            </w:r>
          </w:p>
        </w:tc>
      </w:tr>
      <w:tr w:rsidR="004254E5" w14:paraId="008BBC1C" w14:textId="77777777" w:rsidTr="005B6ACD">
        <w:tc>
          <w:tcPr>
            <w:tcW w:w="1413" w:type="dxa"/>
          </w:tcPr>
          <w:p w14:paraId="32E4DF7F" w14:textId="4DB76215" w:rsidR="00D17D4A" w:rsidRDefault="00274BC6" w:rsidP="005B6ACD">
            <w:pPr>
              <w:spacing w:before="40" w:after="40" w:line="240" w:lineRule="auto"/>
            </w:pPr>
            <w:bookmarkStart w:id="1" w:name="_Hlk103858421"/>
            <w:r>
              <w:t>DBP</w:t>
            </w:r>
          </w:p>
        </w:tc>
        <w:tc>
          <w:tcPr>
            <w:tcW w:w="6230" w:type="dxa"/>
          </w:tcPr>
          <w:p w14:paraId="115EE534" w14:textId="22F2ECE2" w:rsidR="00D17D4A" w:rsidRDefault="00274BC6" w:rsidP="005B6ACD">
            <w:pPr>
              <w:spacing w:before="40" w:after="40" w:line="240" w:lineRule="auto"/>
            </w:pPr>
            <w:r>
              <w:t>Disinfection by-product</w:t>
            </w:r>
          </w:p>
        </w:tc>
      </w:tr>
      <w:bookmarkEnd w:id="1"/>
      <w:tr w:rsidR="004254E5" w14:paraId="7BDB9FB3" w14:textId="77777777" w:rsidTr="005B6ACD">
        <w:tc>
          <w:tcPr>
            <w:tcW w:w="1413" w:type="dxa"/>
          </w:tcPr>
          <w:p w14:paraId="1E56D93B" w14:textId="77777777" w:rsidR="003B7A02" w:rsidRPr="00756C13" w:rsidRDefault="00274BC6" w:rsidP="005B6ACD">
            <w:pPr>
              <w:spacing w:before="40" w:after="40" w:line="240" w:lineRule="auto"/>
            </w:pPr>
            <w:r>
              <w:t>EDC</w:t>
            </w:r>
          </w:p>
        </w:tc>
        <w:tc>
          <w:tcPr>
            <w:tcW w:w="6230" w:type="dxa"/>
          </w:tcPr>
          <w:p w14:paraId="04D85FB0" w14:textId="77777777" w:rsidR="003B7A02" w:rsidRPr="00756C13" w:rsidRDefault="00274BC6" w:rsidP="005B6ACD">
            <w:pPr>
              <w:spacing w:before="40" w:after="40" w:line="240" w:lineRule="auto"/>
            </w:pPr>
            <w:r>
              <w:t>Endocrine-disrupting chemical</w:t>
            </w:r>
          </w:p>
        </w:tc>
      </w:tr>
      <w:tr w:rsidR="004254E5" w14:paraId="5E4FDAF8" w14:textId="77777777" w:rsidTr="005B6ACD">
        <w:tc>
          <w:tcPr>
            <w:tcW w:w="1413" w:type="dxa"/>
          </w:tcPr>
          <w:p w14:paraId="61C28261" w14:textId="77777777" w:rsidR="003B7A02" w:rsidRDefault="00274BC6" w:rsidP="005B6ACD">
            <w:pPr>
              <w:spacing w:before="40" w:after="40" w:line="240" w:lineRule="auto"/>
            </w:pPr>
            <w:r>
              <w:t>EPA</w:t>
            </w:r>
          </w:p>
        </w:tc>
        <w:tc>
          <w:tcPr>
            <w:tcW w:w="6230" w:type="dxa"/>
          </w:tcPr>
          <w:p w14:paraId="7E109C79" w14:textId="77777777" w:rsidR="003B7A02" w:rsidRDefault="00274BC6" w:rsidP="005B6ACD">
            <w:pPr>
              <w:spacing w:before="40" w:after="40" w:line="240" w:lineRule="auto"/>
            </w:pPr>
            <w:r>
              <w:t>Environmental Protection Agency</w:t>
            </w:r>
          </w:p>
        </w:tc>
      </w:tr>
      <w:tr w:rsidR="004254E5" w14:paraId="48155A79" w14:textId="77777777" w:rsidTr="005B6ACD">
        <w:tc>
          <w:tcPr>
            <w:tcW w:w="1413" w:type="dxa"/>
          </w:tcPr>
          <w:p w14:paraId="611699AC" w14:textId="77777777" w:rsidR="003B7A02" w:rsidRDefault="00274BC6" w:rsidP="005B6ACD">
            <w:pPr>
              <w:spacing w:before="40" w:after="40" w:line="240" w:lineRule="auto"/>
            </w:pPr>
            <w:r>
              <w:t>EPHC</w:t>
            </w:r>
          </w:p>
        </w:tc>
        <w:tc>
          <w:tcPr>
            <w:tcW w:w="6230" w:type="dxa"/>
          </w:tcPr>
          <w:p w14:paraId="3B124CB4" w14:textId="77777777" w:rsidR="003B7A02" w:rsidRDefault="00274BC6" w:rsidP="005B6ACD">
            <w:pPr>
              <w:spacing w:before="40" w:after="40" w:line="240" w:lineRule="auto"/>
            </w:pPr>
            <w:r>
              <w:t>Environment Protection and Heritage Council</w:t>
            </w:r>
          </w:p>
        </w:tc>
      </w:tr>
      <w:tr w:rsidR="004254E5" w14:paraId="30A974C5" w14:textId="77777777" w:rsidTr="005B6ACD">
        <w:tc>
          <w:tcPr>
            <w:tcW w:w="1413" w:type="dxa"/>
          </w:tcPr>
          <w:p w14:paraId="1A1C73B5" w14:textId="77777777" w:rsidR="003B7A02" w:rsidRDefault="00274BC6" w:rsidP="005B6ACD">
            <w:pPr>
              <w:spacing w:before="40" w:after="40" w:line="240" w:lineRule="auto"/>
            </w:pPr>
            <w:r>
              <w:t>GRADE</w:t>
            </w:r>
          </w:p>
        </w:tc>
        <w:tc>
          <w:tcPr>
            <w:tcW w:w="6230" w:type="dxa"/>
          </w:tcPr>
          <w:p w14:paraId="508F9DE7" w14:textId="77777777" w:rsidR="003B7A02" w:rsidRDefault="00274BC6" w:rsidP="005B6ACD">
            <w:pPr>
              <w:spacing w:before="40" w:after="40" w:line="240" w:lineRule="auto"/>
            </w:pPr>
            <w:r>
              <w:t>Grading of Recommendations Assessment, Development and Evaluation</w:t>
            </w:r>
          </w:p>
        </w:tc>
      </w:tr>
      <w:tr w:rsidR="004254E5" w14:paraId="5E482F05" w14:textId="77777777" w:rsidTr="005B6ACD">
        <w:tc>
          <w:tcPr>
            <w:tcW w:w="1413" w:type="dxa"/>
          </w:tcPr>
          <w:p w14:paraId="6FF178D7" w14:textId="77777777" w:rsidR="003B7A02" w:rsidRDefault="00274BC6" w:rsidP="005B6ACD">
            <w:pPr>
              <w:spacing w:before="40" w:after="40" w:line="240" w:lineRule="auto"/>
            </w:pPr>
            <w:r>
              <w:t>HBT</w:t>
            </w:r>
          </w:p>
        </w:tc>
        <w:tc>
          <w:tcPr>
            <w:tcW w:w="6230" w:type="dxa"/>
          </w:tcPr>
          <w:p w14:paraId="1DB5B0B1" w14:textId="77777777" w:rsidR="003B7A02" w:rsidRDefault="00274BC6" w:rsidP="005B6ACD">
            <w:pPr>
              <w:spacing w:before="40" w:after="40" w:line="240" w:lineRule="auto"/>
            </w:pPr>
            <w:r>
              <w:t>Health-based target</w:t>
            </w:r>
          </w:p>
        </w:tc>
      </w:tr>
      <w:tr w:rsidR="004254E5" w14:paraId="381C72AE" w14:textId="77777777" w:rsidTr="005B6ACD">
        <w:tc>
          <w:tcPr>
            <w:tcW w:w="1413" w:type="dxa"/>
          </w:tcPr>
          <w:p w14:paraId="1240BFEA" w14:textId="77777777" w:rsidR="003B7A02" w:rsidRDefault="00274BC6" w:rsidP="005B6ACD">
            <w:pPr>
              <w:spacing w:before="40" w:after="40" w:line="240" w:lineRule="auto"/>
            </w:pPr>
            <w:r>
              <w:t>HEPA</w:t>
            </w:r>
          </w:p>
        </w:tc>
        <w:tc>
          <w:tcPr>
            <w:tcW w:w="6230" w:type="dxa"/>
          </w:tcPr>
          <w:p w14:paraId="590F3977" w14:textId="77777777" w:rsidR="003B7A02" w:rsidRDefault="00274BC6" w:rsidP="005B6ACD">
            <w:pPr>
              <w:spacing w:before="40" w:after="40" w:line="240" w:lineRule="auto"/>
            </w:pPr>
            <w:r>
              <w:t>Heads of Environmental Protection Agency Australia and New Zealand</w:t>
            </w:r>
          </w:p>
        </w:tc>
      </w:tr>
      <w:tr w:rsidR="004254E5" w14:paraId="72E0577D" w14:textId="77777777" w:rsidTr="005B6ACD">
        <w:tc>
          <w:tcPr>
            <w:tcW w:w="1413" w:type="dxa"/>
          </w:tcPr>
          <w:p w14:paraId="36685EFE" w14:textId="77777777" w:rsidR="003B7A02" w:rsidRDefault="00274BC6" w:rsidP="005B6ACD">
            <w:pPr>
              <w:spacing w:before="40" w:after="40" w:line="240" w:lineRule="auto"/>
            </w:pPr>
            <w:r>
              <w:t>HQ/HI</w:t>
            </w:r>
          </w:p>
        </w:tc>
        <w:tc>
          <w:tcPr>
            <w:tcW w:w="6230" w:type="dxa"/>
          </w:tcPr>
          <w:p w14:paraId="5D1111AF" w14:textId="77777777" w:rsidR="003B7A02" w:rsidRDefault="00274BC6" w:rsidP="005B6ACD">
            <w:pPr>
              <w:spacing w:before="40" w:after="40" w:line="240" w:lineRule="auto"/>
            </w:pPr>
            <w:r>
              <w:t>Hazard quotient / hazard index</w:t>
            </w:r>
          </w:p>
        </w:tc>
      </w:tr>
      <w:tr w:rsidR="004254E5" w14:paraId="50A3B63F" w14:textId="77777777" w:rsidTr="005B6ACD">
        <w:tc>
          <w:tcPr>
            <w:tcW w:w="1413" w:type="dxa"/>
          </w:tcPr>
          <w:p w14:paraId="516C5BE5" w14:textId="77777777" w:rsidR="003B7A02" w:rsidRDefault="00274BC6" w:rsidP="005B6ACD">
            <w:pPr>
              <w:spacing w:before="40" w:after="40" w:line="240" w:lineRule="auto"/>
            </w:pPr>
            <w:proofErr w:type="spellStart"/>
            <w:r>
              <w:t>MoE</w:t>
            </w:r>
            <w:proofErr w:type="spellEnd"/>
          </w:p>
        </w:tc>
        <w:tc>
          <w:tcPr>
            <w:tcW w:w="6230" w:type="dxa"/>
          </w:tcPr>
          <w:p w14:paraId="450E4CC3" w14:textId="77777777" w:rsidR="003B7A02" w:rsidRDefault="00274BC6" w:rsidP="005B6ACD">
            <w:pPr>
              <w:spacing w:before="40" w:after="40" w:line="240" w:lineRule="auto"/>
            </w:pPr>
            <w:r>
              <w:t>Margin of Exposure</w:t>
            </w:r>
          </w:p>
        </w:tc>
      </w:tr>
      <w:tr w:rsidR="004254E5" w14:paraId="015246EB" w14:textId="77777777" w:rsidTr="005B6ACD">
        <w:tc>
          <w:tcPr>
            <w:tcW w:w="1413" w:type="dxa"/>
          </w:tcPr>
          <w:p w14:paraId="6B72E505" w14:textId="77777777" w:rsidR="003B7A02" w:rsidRDefault="00274BC6" w:rsidP="005B6ACD">
            <w:pPr>
              <w:spacing w:before="40" w:after="40" w:line="240" w:lineRule="auto"/>
            </w:pPr>
            <w:r>
              <w:t>MW</w:t>
            </w:r>
          </w:p>
        </w:tc>
        <w:tc>
          <w:tcPr>
            <w:tcW w:w="6230" w:type="dxa"/>
          </w:tcPr>
          <w:p w14:paraId="31C8D9A4" w14:textId="77777777" w:rsidR="003B7A02" w:rsidRPr="00975623" w:rsidRDefault="00274BC6" w:rsidP="005B6ACD">
            <w:pPr>
              <w:spacing w:before="40" w:after="40" w:line="240" w:lineRule="auto"/>
            </w:pPr>
            <w:r>
              <w:t>Molecular weight</w:t>
            </w:r>
          </w:p>
        </w:tc>
      </w:tr>
      <w:tr w:rsidR="004254E5" w14:paraId="2CFEC35E" w14:textId="77777777" w:rsidTr="005B6ACD">
        <w:tc>
          <w:tcPr>
            <w:tcW w:w="1413" w:type="dxa"/>
          </w:tcPr>
          <w:p w14:paraId="31B44C9C" w14:textId="40CEA6F6" w:rsidR="00D17D4A" w:rsidRDefault="00274BC6" w:rsidP="005B6ACD">
            <w:pPr>
              <w:spacing w:before="40" w:after="40" w:line="240" w:lineRule="auto"/>
            </w:pPr>
            <w:bookmarkStart w:id="2" w:name="_Hlk103858691"/>
            <w:r>
              <w:t>NDMA</w:t>
            </w:r>
          </w:p>
        </w:tc>
        <w:tc>
          <w:tcPr>
            <w:tcW w:w="6230" w:type="dxa"/>
          </w:tcPr>
          <w:p w14:paraId="6CEBCC05" w14:textId="40927173" w:rsidR="00D17D4A" w:rsidRDefault="00274BC6" w:rsidP="005B6ACD">
            <w:pPr>
              <w:spacing w:before="40" w:after="40" w:line="240" w:lineRule="auto"/>
            </w:pPr>
            <w:r>
              <w:t>N</w:t>
            </w:r>
            <w:r w:rsidRPr="00D17D4A">
              <w:t>-</w:t>
            </w:r>
            <w:proofErr w:type="spellStart"/>
            <w:r w:rsidRPr="00D17D4A">
              <w:t>Nitrosodimethylamine</w:t>
            </w:r>
            <w:proofErr w:type="spellEnd"/>
          </w:p>
        </w:tc>
      </w:tr>
      <w:bookmarkEnd w:id="2"/>
      <w:tr w:rsidR="004254E5" w14:paraId="39E26CFC" w14:textId="77777777" w:rsidTr="005B6ACD">
        <w:tc>
          <w:tcPr>
            <w:tcW w:w="1413" w:type="dxa"/>
          </w:tcPr>
          <w:p w14:paraId="677FDB67" w14:textId="77777777" w:rsidR="003B7A02" w:rsidRPr="00756C13" w:rsidRDefault="00274BC6" w:rsidP="005B6ACD">
            <w:pPr>
              <w:spacing w:before="40" w:after="40" w:line="240" w:lineRule="auto"/>
            </w:pPr>
            <w:r>
              <w:t>NHMRC</w:t>
            </w:r>
          </w:p>
        </w:tc>
        <w:tc>
          <w:tcPr>
            <w:tcW w:w="6230" w:type="dxa"/>
          </w:tcPr>
          <w:p w14:paraId="2F10FDB9" w14:textId="77777777" w:rsidR="003B7A02" w:rsidRPr="00756C13" w:rsidRDefault="00274BC6" w:rsidP="005B6ACD">
            <w:pPr>
              <w:spacing w:before="40" w:after="40" w:line="240" w:lineRule="auto"/>
            </w:pPr>
            <w:r>
              <w:t>National Health and Medical Research Council</w:t>
            </w:r>
          </w:p>
        </w:tc>
      </w:tr>
      <w:tr w:rsidR="004254E5" w14:paraId="5098CB2E" w14:textId="77777777" w:rsidTr="005B6ACD">
        <w:tc>
          <w:tcPr>
            <w:tcW w:w="1413" w:type="dxa"/>
          </w:tcPr>
          <w:p w14:paraId="008028B9" w14:textId="77777777" w:rsidR="003B7A02" w:rsidRDefault="00274BC6" w:rsidP="005B6ACD">
            <w:pPr>
              <w:spacing w:before="40" w:after="40" w:line="240" w:lineRule="auto"/>
            </w:pPr>
            <w:r>
              <w:t>NRMMC</w:t>
            </w:r>
          </w:p>
        </w:tc>
        <w:tc>
          <w:tcPr>
            <w:tcW w:w="6230" w:type="dxa"/>
          </w:tcPr>
          <w:p w14:paraId="4FA6E47F" w14:textId="77777777" w:rsidR="003B7A02" w:rsidRDefault="00274BC6" w:rsidP="005B6ACD">
            <w:pPr>
              <w:spacing w:before="40" w:after="40" w:line="240" w:lineRule="auto"/>
            </w:pPr>
            <w:r>
              <w:t>National Resource Management Ministerial Council</w:t>
            </w:r>
          </w:p>
        </w:tc>
      </w:tr>
      <w:tr w:rsidR="004254E5" w14:paraId="368B35EE" w14:textId="77777777" w:rsidTr="005B6ACD">
        <w:tc>
          <w:tcPr>
            <w:tcW w:w="1413" w:type="dxa"/>
          </w:tcPr>
          <w:p w14:paraId="56E27A3F" w14:textId="77777777" w:rsidR="003B7A02" w:rsidRDefault="00274BC6" w:rsidP="005B6ACD">
            <w:pPr>
              <w:spacing w:before="40" w:after="40" w:line="240" w:lineRule="auto"/>
            </w:pPr>
            <w:r>
              <w:t>OECD</w:t>
            </w:r>
          </w:p>
        </w:tc>
        <w:tc>
          <w:tcPr>
            <w:tcW w:w="6230" w:type="dxa"/>
          </w:tcPr>
          <w:p w14:paraId="4978B381" w14:textId="77777777" w:rsidR="003B7A02" w:rsidRDefault="00274BC6" w:rsidP="005B6ACD">
            <w:pPr>
              <w:spacing w:before="40" w:after="40" w:line="240" w:lineRule="auto"/>
            </w:pPr>
            <w:r>
              <w:t>Organisation for Economic Co-operation and Development</w:t>
            </w:r>
          </w:p>
        </w:tc>
      </w:tr>
      <w:tr w:rsidR="004254E5" w14:paraId="661AD8B9" w14:textId="77777777" w:rsidTr="005B6ACD">
        <w:tc>
          <w:tcPr>
            <w:tcW w:w="1413" w:type="dxa"/>
          </w:tcPr>
          <w:p w14:paraId="15A0ABAD" w14:textId="77777777" w:rsidR="003B7A02" w:rsidRDefault="00274BC6" w:rsidP="005B6ACD">
            <w:pPr>
              <w:spacing w:before="40" w:after="40" w:line="240" w:lineRule="auto"/>
            </w:pPr>
            <w:r>
              <w:t>OHAT</w:t>
            </w:r>
          </w:p>
        </w:tc>
        <w:tc>
          <w:tcPr>
            <w:tcW w:w="6230" w:type="dxa"/>
          </w:tcPr>
          <w:p w14:paraId="4FE6D8E0" w14:textId="77777777" w:rsidR="003B7A02" w:rsidRDefault="00274BC6" w:rsidP="005B6ACD">
            <w:pPr>
              <w:spacing w:before="40" w:after="40" w:line="240" w:lineRule="auto"/>
            </w:pPr>
            <w:r>
              <w:t>Office of Health Assessment and Translation</w:t>
            </w:r>
          </w:p>
        </w:tc>
      </w:tr>
      <w:tr w:rsidR="004254E5" w14:paraId="62CFC749" w14:textId="77777777" w:rsidTr="005B6ACD">
        <w:tc>
          <w:tcPr>
            <w:tcW w:w="1413" w:type="dxa"/>
          </w:tcPr>
          <w:p w14:paraId="2EF918C2" w14:textId="77777777" w:rsidR="003B7A02" w:rsidRDefault="00274BC6" w:rsidP="005B6ACD">
            <w:pPr>
              <w:spacing w:before="40" w:after="40" w:line="240" w:lineRule="auto"/>
            </w:pPr>
            <w:r>
              <w:t>PAH</w:t>
            </w:r>
          </w:p>
        </w:tc>
        <w:tc>
          <w:tcPr>
            <w:tcW w:w="6230" w:type="dxa"/>
          </w:tcPr>
          <w:p w14:paraId="2537A55E" w14:textId="77777777" w:rsidR="003B7A02" w:rsidRDefault="00274BC6" w:rsidP="005B6ACD">
            <w:pPr>
              <w:spacing w:before="40" w:after="40" w:line="240" w:lineRule="auto"/>
            </w:pPr>
            <w:r>
              <w:t>Polycyclic aromatic hydrocarbons</w:t>
            </w:r>
          </w:p>
        </w:tc>
      </w:tr>
      <w:tr w:rsidR="004254E5" w14:paraId="6E541E6E" w14:textId="77777777" w:rsidTr="005B6ACD">
        <w:tc>
          <w:tcPr>
            <w:tcW w:w="1413" w:type="dxa"/>
          </w:tcPr>
          <w:p w14:paraId="0F565AD0" w14:textId="7CD43040" w:rsidR="00D17D4A" w:rsidRDefault="00274BC6" w:rsidP="005B6ACD">
            <w:pPr>
              <w:spacing w:before="40" w:after="40" w:line="240" w:lineRule="auto"/>
            </w:pPr>
            <w:bookmarkStart w:id="3" w:name="_Hlk103858535"/>
            <w:r>
              <w:t>PCB</w:t>
            </w:r>
          </w:p>
        </w:tc>
        <w:tc>
          <w:tcPr>
            <w:tcW w:w="6230" w:type="dxa"/>
          </w:tcPr>
          <w:p w14:paraId="7EE690F6" w14:textId="181304E5" w:rsidR="00D17D4A" w:rsidRDefault="00274BC6" w:rsidP="005B6ACD">
            <w:pPr>
              <w:spacing w:before="40" w:after="40" w:line="240" w:lineRule="auto"/>
            </w:pPr>
            <w:r>
              <w:t>Polychlorinated biphenyl</w:t>
            </w:r>
          </w:p>
        </w:tc>
      </w:tr>
      <w:tr w:rsidR="004254E5" w14:paraId="69AAFB35" w14:textId="77777777" w:rsidTr="005B6ACD">
        <w:tc>
          <w:tcPr>
            <w:tcW w:w="1413" w:type="dxa"/>
          </w:tcPr>
          <w:p w14:paraId="2DA34F21" w14:textId="551301C2" w:rsidR="00D17D4A" w:rsidRDefault="00274BC6" w:rsidP="005B6ACD">
            <w:pPr>
              <w:spacing w:before="40" w:after="40" w:line="240" w:lineRule="auto"/>
            </w:pPr>
            <w:bookmarkStart w:id="4" w:name="_Hlk103858745"/>
            <w:bookmarkEnd w:id="3"/>
            <w:r>
              <w:t>PDTA</w:t>
            </w:r>
          </w:p>
        </w:tc>
        <w:tc>
          <w:tcPr>
            <w:tcW w:w="6230" w:type="dxa"/>
          </w:tcPr>
          <w:p w14:paraId="6D1F6D24" w14:textId="1DEF445B" w:rsidR="00D17D4A" w:rsidRPr="00FE7C12" w:rsidRDefault="00274BC6" w:rsidP="005B6ACD">
            <w:pPr>
              <w:spacing w:before="40" w:after="40" w:line="240" w:lineRule="auto"/>
            </w:pPr>
            <w:proofErr w:type="spellStart"/>
            <w:r w:rsidRPr="00D17D4A">
              <w:t>Propylenedinitrilotetraacetic</w:t>
            </w:r>
            <w:proofErr w:type="spellEnd"/>
            <w:r w:rsidRPr="00D17D4A">
              <w:t xml:space="preserve"> acid</w:t>
            </w:r>
          </w:p>
        </w:tc>
      </w:tr>
      <w:bookmarkEnd w:id="4"/>
      <w:tr w:rsidR="004254E5" w14:paraId="3DD785DD" w14:textId="77777777" w:rsidTr="005B6ACD">
        <w:tc>
          <w:tcPr>
            <w:tcW w:w="1413" w:type="dxa"/>
          </w:tcPr>
          <w:p w14:paraId="643038C2" w14:textId="77777777" w:rsidR="003B7A02" w:rsidRDefault="00274BC6" w:rsidP="005B6ACD">
            <w:pPr>
              <w:spacing w:before="40" w:after="40" w:line="240" w:lineRule="auto"/>
            </w:pPr>
            <w:r>
              <w:t>PECO</w:t>
            </w:r>
          </w:p>
        </w:tc>
        <w:tc>
          <w:tcPr>
            <w:tcW w:w="6230" w:type="dxa"/>
          </w:tcPr>
          <w:p w14:paraId="28FE4631" w14:textId="77777777" w:rsidR="003B7A02" w:rsidRDefault="00274BC6" w:rsidP="005B6ACD">
            <w:pPr>
              <w:spacing w:before="40" w:after="40" w:line="240" w:lineRule="auto"/>
            </w:pPr>
            <w:r>
              <w:t>Population, Exposure, Comparator, Outcome</w:t>
            </w:r>
          </w:p>
        </w:tc>
      </w:tr>
      <w:tr w:rsidR="004254E5" w14:paraId="55BBB40D" w14:textId="77777777" w:rsidTr="005B6ACD">
        <w:tc>
          <w:tcPr>
            <w:tcW w:w="1413" w:type="dxa"/>
          </w:tcPr>
          <w:p w14:paraId="103754BE" w14:textId="77777777" w:rsidR="003B7A02" w:rsidRDefault="00274BC6" w:rsidP="005B6ACD">
            <w:pPr>
              <w:spacing w:before="40" w:after="40" w:line="240" w:lineRule="auto"/>
            </w:pPr>
            <w:proofErr w:type="spellStart"/>
            <w:r>
              <w:t>PFHxS</w:t>
            </w:r>
            <w:proofErr w:type="spellEnd"/>
          </w:p>
        </w:tc>
        <w:tc>
          <w:tcPr>
            <w:tcW w:w="6230" w:type="dxa"/>
          </w:tcPr>
          <w:p w14:paraId="35BAAE41" w14:textId="77777777" w:rsidR="003B7A02" w:rsidRDefault="00274BC6" w:rsidP="005B6ACD">
            <w:pPr>
              <w:spacing w:before="40" w:after="40" w:line="240" w:lineRule="auto"/>
            </w:pPr>
            <w:proofErr w:type="spellStart"/>
            <w:r>
              <w:t>Perfluorohexane</w:t>
            </w:r>
            <w:proofErr w:type="spellEnd"/>
            <w:r>
              <w:t xml:space="preserve"> sulfonate</w:t>
            </w:r>
          </w:p>
        </w:tc>
      </w:tr>
      <w:tr w:rsidR="004254E5" w14:paraId="23E8AA21" w14:textId="77777777" w:rsidTr="005B6ACD">
        <w:tc>
          <w:tcPr>
            <w:tcW w:w="1413" w:type="dxa"/>
          </w:tcPr>
          <w:p w14:paraId="1CF738A8" w14:textId="77777777" w:rsidR="003B7A02" w:rsidRDefault="00274BC6" w:rsidP="005B6ACD">
            <w:pPr>
              <w:spacing w:before="40" w:after="40" w:line="240" w:lineRule="auto"/>
            </w:pPr>
            <w:r>
              <w:t>PFAS</w:t>
            </w:r>
          </w:p>
        </w:tc>
        <w:tc>
          <w:tcPr>
            <w:tcW w:w="6230" w:type="dxa"/>
          </w:tcPr>
          <w:p w14:paraId="53454804" w14:textId="77777777" w:rsidR="003B7A02" w:rsidRDefault="00274BC6" w:rsidP="005B6ACD">
            <w:pPr>
              <w:spacing w:before="40" w:after="40" w:line="240" w:lineRule="auto"/>
            </w:pPr>
            <w:r>
              <w:t>Per- and poly-fluoroalkyl substances</w:t>
            </w:r>
          </w:p>
        </w:tc>
      </w:tr>
      <w:tr w:rsidR="004254E5" w14:paraId="52E1E436" w14:textId="77777777" w:rsidTr="005B6ACD">
        <w:tc>
          <w:tcPr>
            <w:tcW w:w="1413" w:type="dxa"/>
          </w:tcPr>
          <w:p w14:paraId="2FD38450" w14:textId="77777777" w:rsidR="003B7A02" w:rsidRDefault="00274BC6" w:rsidP="005B6ACD">
            <w:pPr>
              <w:spacing w:before="40" w:after="40" w:line="240" w:lineRule="auto"/>
            </w:pPr>
            <w:r>
              <w:t>PFOA</w:t>
            </w:r>
          </w:p>
        </w:tc>
        <w:tc>
          <w:tcPr>
            <w:tcW w:w="6230" w:type="dxa"/>
          </w:tcPr>
          <w:p w14:paraId="6087C01C" w14:textId="77777777" w:rsidR="003B7A02" w:rsidRDefault="00274BC6" w:rsidP="005B6ACD">
            <w:pPr>
              <w:spacing w:before="40" w:after="40" w:line="240" w:lineRule="auto"/>
            </w:pPr>
            <w:r>
              <w:t>Perfluorooctanoic acid</w:t>
            </w:r>
          </w:p>
        </w:tc>
      </w:tr>
      <w:tr w:rsidR="004254E5" w14:paraId="4FBAC127" w14:textId="77777777" w:rsidTr="005B6ACD">
        <w:tc>
          <w:tcPr>
            <w:tcW w:w="1413" w:type="dxa"/>
          </w:tcPr>
          <w:p w14:paraId="3EFCD6FD" w14:textId="77777777" w:rsidR="003B7A02" w:rsidRDefault="00274BC6" w:rsidP="005B6ACD">
            <w:pPr>
              <w:spacing w:before="40" w:after="40" w:line="240" w:lineRule="auto"/>
            </w:pPr>
            <w:r>
              <w:t>PFOS</w:t>
            </w:r>
          </w:p>
        </w:tc>
        <w:tc>
          <w:tcPr>
            <w:tcW w:w="6230" w:type="dxa"/>
          </w:tcPr>
          <w:p w14:paraId="04D08CEB" w14:textId="77777777" w:rsidR="003B7A02" w:rsidRDefault="00274BC6" w:rsidP="005B6ACD">
            <w:pPr>
              <w:spacing w:before="40" w:after="40" w:line="240" w:lineRule="auto"/>
            </w:pPr>
            <w:proofErr w:type="spellStart"/>
            <w:r>
              <w:t>Perfluorooctane</w:t>
            </w:r>
            <w:proofErr w:type="spellEnd"/>
            <w:r>
              <w:t xml:space="preserve"> sulfonate</w:t>
            </w:r>
          </w:p>
        </w:tc>
      </w:tr>
      <w:tr w:rsidR="004254E5" w14:paraId="73BBF8FC" w14:textId="77777777" w:rsidTr="005B6ACD">
        <w:tc>
          <w:tcPr>
            <w:tcW w:w="1413" w:type="dxa"/>
          </w:tcPr>
          <w:p w14:paraId="679B483E" w14:textId="77777777" w:rsidR="003B7A02" w:rsidRDefault="00274BC6" w:rsidP="005B6ACD">
            <w:pPr>
              <w:spacing w:before="40" w:after="40" w:line="240" w:lineRule="auto"/>
            </w:pPr>
            <w:r>
              <w:t>PRISMA</w:t>
            </w:r>
          </w:p>
        </w:tc>
        <w:tc>
          <w:tcPr>
            <w:tcW w:w="6230" w:type="dxa"/>
          </w:tcPr>
          <w:p w14:paraId="4B2F617E" w14:textId="77777777" w:rsidR="003B7A02" w:rsidRDefault="00274BC6" w:rsidP="005B6ACD">
            <w:pPr>
              <w:spacing w:before="40" w:after="40" w:line="240" w:lineRule="auto"/>
            </w:pPr>
            <w:r>
              <w:t>Preferred Reporting Items for Systematic Reviews and Meta-Analyses</w:t>
            </w:r>
          </w:p>
        </w:tc>
      </w:tr>
      <w:tr w:rsidR="004254E5" w14:paraId="2AB3A1C4" w14:textId="77777777" w:rsidTr="005B6ACD">
        <w:tc>
          <w:tcPr>
            <w:tcW w:w="1413" w:type="dxa"/>
          </w:tcPr>
          <w:p w14:paraId="764EED0E" w14:textId="77777777" w:rsidR="003B7A02" w:rsidRDefault="00274BC6" w:rsidP="005B6ACD">
            <w:pPr>
              <w:spacing w:before="40" w:after="40" w:line="240" w:lineRule="auto"/>
            </w:pPr>
            <w:r>
              <w:t>QSAR</w:t>
            </w:r>
          </w:p>
        </w:tc>
        <w:tc>
          <w:tcPr>
            <w:tcW w:w="6230" w:type="dxa"/>
          </w:tcPr>
          <w:p w14:paraId="4CE93C1A" w14:textId="77777777" w:rsidR="003B7A02" w:rsidRDefault="00274BC6" w:rsidP="005B6ACD">
            <w:pPr>
              <w:spacing w:before="40" w:after="40" w:line="240" w:lineRule="auto"/>
            </w:pPr>
            <w:r>
              <w:t>Quantitative Structure Activity Relationship</w:t>
            </w:r>
          </w:p>
        </w:tc>
      </w:tr>
      <w:tr w:rsidR="004254E5" w14:paraId="5BF34DF1" w14:textId="77777777" w:rsidTr="005B6ACD">
        <w:tc>
          <w:tcPr>
            <w:tcW w:w="1413" w:type="dxa"/>
          </w:tcPr>
          <w:p w14:paraId="0E84C654" w14:textId="77777777" w:rsidR="003B7A02" w:rsidRDefault="00274BC6" w:rsidP="005B6ACD">
            <w:pPr>
              <w:spacing w:before="40" w:after="40" w:line="240" w:lineRule="auto"/>
            </w:pPr>
            <w:proofErr w:type="spellStart"/>
            <w:r>
              <w:t>RoB</w:t>
            </w:r>
            <w:proofErr w:type="spellEnd"/>
          </w:p>
        </w:tc>
        <w:tc>
          <w:tcPr>
            <w:tcW w:w="6230" w:type="dxa"/>
          </w:tcPr>
          <w:p w14:paraId="16B940B0" w14:textId="77777777" w:rsidR="003B7A02" w:rsidRDefault="00274BC6" w:rsidP="005B6ACD">
            <w:pPr>
              <w:spacing w:before="40" w:after="40" w:line="240" w:lineRule="auto"/>
            </w:pPr>
            <w:r>
              <w:t>Risk of bias</w:t>
            </w:r>
          </w:p>
        </w:tc>
      </w:tr>
      <w:tr w:rsidR="004254E5" w14:paraId="02B3CDDF" w14:textId="77777777" w:rsidTr="005B6ACD">
        <w:tc>
          <w:tcPr>
            <w:tcW w:w="1413" w:type="dxa"/>
          </w:tcPr>
          <w:p w14:paraId="2002049F" w14:textId="77777777" w:rsidR="003B7A02" w:rsidRDefault="00274BC6" w:rsidP="005B6ACD">
            <w:pPr>
              <w:spacing w:before="40" w:after="40" w:line="240" w:lineRule="auto"/>
            </w:pPr>
            <w:r>
              <w:t>RWQAC</w:t>
            </w:r>
          </w:p>
        </w:tc>
        <w:tc>
          <w:tcPr>
            <w:tcW w:w="6230" w:type="dxa"/>
          </w:tcPr>
          <w:p w14:paraId="08781B16" w14:textId="77777777" w:rsidR="003B7A02" w:rsidRDefault="00274BC6" w:rsidP="005B6ACD">
            <w:pPr>
              <w:spacing w:before="40" w:after="40" w:line="240" w:lineRule="auto"/>
            </w:pPr>
            <w:r>
              <w:t>Recreational Water Quality Advisory Committee (the Committee)</w:t>
            </w:r>
          </w:p>
        </w:tc>
      </w:tr>
      <w:tr w:rsidR="004254E5" w14:paraId="0F839954" w14:textId="77777777" w:rsidTr="005B6ACD">
        <w:tc>
          <w:tcPr>
            <w:tcW w:w="1413" w:type="dxa"/>
          </w:tcPr>
          <w:p w14:paraId="46EDA44D" w14:textId="77777777" w:rsidR="003B7A02" w:rsidRDefault="00274BC6" w:rsidP="005B6ACD">
            <w:pPr>
              <w:spacing w:before="40" w:after="40" w:line="240" w:lineRule="auto"/>
            </w:pPr>
            <w:r>
              <w:t>STP</w:t>
            </w:r>
          </w:p>
        </w:tc>
        <w:tc>
          <w:tcPr>
            <w:tcW w:w="6230" w:type="dxa"/>
          </w:tcPr>
          <w:p w14:paraId="25C4F1F9" w14:textId="77777777" w:rsidR="003B7A02" w:rsidRDefault="00274BC6" w:rsidP="005B6ACD">
            <w:pPr>
              <w:spacing w:before="40" w:after="40" w:line="240" w:lineRule="auto"/>
            </w:pPr>
            <w:r>
              <w:t>Sewage treatment plant</w:t>
            </w:r>
          </w:p>
        </w:tc>
      </w:tr>
      <w:tr w:rsidR="004254E5" w14:paraId="2EAD70E3" w14:textId="77777777" w:rsidTr="005B6ACD">
        <w:tc>
          <w:tcPr>
            <w:tcW w:w="1413" w:type="dxa"/>
          </w:tcPr>
          <w:p w14:paraId="1DCC0426" w14:textId="77777777" w:rsidR="003B7A02" w:rsidRDefault="00274BC6" w:rsidP="005B6ACD">
            <w:pPr>
              <w:spacing w:before="40" w:after="40" w:line="240" w:lineRule="auto"/>
            </w:pPr>
            <w:r>
              <w:t>TE</w:t>
            </w:r>
          </w:p>
        </w:tc>
        <w:tc>
          <w:tcPr>
            <w:tcW w:w="6230" w:type="dxa"/>
          </w:tcPr>
          <w:p w14:paraId="36C7EBCA" w14:textId="77777777" w:rsidR="003B7A02" w:rsidRDefault="00274BC6" w:rsidP="005B6ACD">
            <w:pPr>
              <w:spacing w:before="40" w:after="40" w:line="240" w:lineRule="auto"/>
            </w:pPr>
            <w:r>
              <w:t>Trace element</w:t>
            </w:r>
          </w:p>
        </w:tc>
      </w:tr>
      <w:tr w:rsidR="004254E5" w14:paraId="3418769F" w14:textId="77777777" w:rsidTr="005B6ACD">
        <w:tc>
          <w:tcPr>
            <w:tcW w:w="1413" w:type="dxa"/>
          </w:tcPr>
          <w:p w14:paraId="4ED07966" w14:textId="77777777" w:rsidR="003B7A02" w:rsidRDefault="00274BC6" w:rsidP="005B6ACD">
            <w:pPr>
              <w:spacing w:before="40" w:after="40" w:line="240" w:lineRule="auto"/>
            </w:pPr>
            <w:r>
              <w:t>TEF</w:t>
            </w:r>
          </w:p>
        </w:tc>
        <w:tc>
          <w:tcPr>
            <w:tcW w:w="6230" w:type="dxa"/>
          </w:tcPr>
          <w:p w14:paraId="2ECE1C17" w14:textId="77777777" w:rsidR="003B7A02" w:rsidRDefault="00274BC6" w:rsidP="005B6ACD">
            <w:pPr>
              <w:spacing w:before="40" w:after="40" w:line="240" w:lineRule="auto"/>
            </w:pPr>
            <w:r>
              <w:t>Toxicity equivalence factors</w:t>
            </w:r>
          </w:p>
        </w:tc>
      </w:tr>
      <w:tr w:rsidR="004254E5" w14:paraId="0649141C" w14:textId="77777777" w:rsidTr="005B6ACD">
        <w:tc>
          <w:tcPr>
            <w:tcW w:w="1413" w:type="dxa"/>
          </w:tcPr>
          <w:p w14:paraId="12912B53" w14:textId="77777777" w:rsidR="003B7A02" w:rsidRPr="00756C13" w:rsidRDefault="00274BC6" w:rsidP="005B6ACD">
            <w:pPr>
              <w:spacing w:before="40" w:after="40" w:line="240" w:lineRule="auto"/>
            </w:pPr>
            <w:r>
              <w:t>US EPA</w:t>
            </w:r>
          </w:p>
        </w:tc>
        <w:tc>
          <w:tcPr>
            <w:tcW w:w="6230" w:type="dxa"/>
          </w:tcPr>
          <w:p w14:paraId="6637D090" w14:textId="77777777" w:rsidR="003B7A02" w:rsidRPr="00756C13" w:rsidRDefault="00274BC6" w:rsidP="005B6ACD">
            <w:pPr>
              <w:spacing w:before="40" w:after="40" w:line="240" w:lineRule="auto"/>
            </w:pPr>
            <w:r>
              <w:t>United States Environmental Protection Agency</w:t>
            </w:r>
          </w:p>
        </w:tc>
      </w:tr>
      <w:tr w:rsidR="004254E5" w14:paraId="14767750" w14:textId="77777777" w:rsidTr="005B6ACD">
        <w:tc>
          <w:tcPr>
            <w:tcW w:w="1413" w:type="dxa"/>
          </w:tcPr>
          <w:p w14:paraId="36A3FCA7" w14:textId="77777777" w:rsidR="003B7A02" w:rsidRDefault="00274BC6" w:rsidP="005B6ACD">
            <w:pPr>
              <w:spacing w:before="40" w:after="40" w:line="240" w:lineRule="auto"/>
            </w:pPr>
            <w:r>
              <w:t>VOC/SVOC</w:t>
            </w:r>
          </w:p>
        </w:tc>
        <w:tc>
          <w:tcPr>
            <w:tcW w:w="6230" w:type="dxa"/>
          </w:tcPr>
          <w:p w14:paraId="4C2076B2" w14:textId="77777777" w:rsidR="003B7A02" w:rsidRDefault="00274BC6" w:rsidP="005B6ACD">
            <w:pPr>
              <w:spacing w:before="40" w:after="40" w:line="240" w:lineRule="auto"/>
            </w:pPr>
            <w:r>
              <w:t>Volatile/semi-volatile organic compound</w:t>
            </w:r>
          </w:p>
        </w:tc>
      </w:tr>
      <w:tr w:rsidR="004254E5" w14:paraId="59279D03" w14:textId="77777777" w:rsidTr="005B6ACD">
        <w:tc>
          <w:tcPr>
            <w:tcW w:w="1413" w:type="dxa"/>
          </w:tcPr>
          <w:p w14:paraId="1FCBFA14" w14:textId="77777777" w:rsidR="003B7A02" w:rsidRPr="00756C13" w:rsidRDefault="00274BC6" w:rsidP="005B6ACD">
            <w:pPr>
              <w:spacing w:before="40" w:after="40" w:line="240" w:lineRule="auto"/>
            </w:pPr>
            <w:r w:rsidRPr="00756C13">
              <w:t>WHO</w:t>
            </w:r>
          </w:p>
        </w:tc>
        <w:tc>
          <w:tcPr>
            <w:tcW w:w="6230" w:type="dxa"/>
          </w:tcPr>
          <w:p w14:paraId="6F4585B6" w14:textId="77777777" w:rsidR="003B7A02" w:rsidRPr="00756C13" w:rsidRDefault="00274BC6" w:rsidP="005B6ACD">
            <w:pPr>
              <w:spacing w:before="40" w:after="40" w:line="240" w:lineRule="auto"/>
            </w:pPr>
            <w:r>
              <w:t>World Health Organization</w:t>
            </w:r>
          </w:p>
        </w:tc>
      </w:tr>
    </w:tbl>
    <w:p w14:paraId="15D516E4" w14:textId="77777777" w:rsidR="003B7A02" w:rsidRPr="008F7938" w:rsidRDefault="003B7A02" w:rsidP="003B7A02">
      <w:pPr>
        <w:rPr>
          <w:highlight w:val="yellow"/>
        </w:rPr>
      </w:pPr>
    </w:p>
    <w:p w14:paraId="1BE65F52" w14:textId="1A1F0071" w:rsidR="00D267EA" w:rsidRPr="00595884" w:rsidRDefault="00D267EA" w:rsidP="001C27E8">
      <w:pPr>
        <w:rPr>
          <w:highlight w:val="yellow"/>
        </w:rPr>
      </w:pPr>
    </w:p>
    <w:p w14:paraId="3491519E" w14:textId="4D4B2195" w:rsidR="00A76AEB" w:rsidRPr="00595884" w:rsidRDefault="00274BC6" w:rsidP="007D68E5">
      <w:pPr>
        <w:pStyle w:val="Heading1"/>
      </w:pPr>
      <w:bookmarkStart w:id="5" w:name="_Toc229135728"/>
      <w:bookmarkStart w:id="6" w:name="_Toc106811104"/>
      <w:r w:rsidRPr="00595884">
        <w:t>Introduction</w:t>
      </w:r>
      <w:bookmarkEnd w:id="5"/>
      <w:bookmarkEnd w:id="6"/>
    </w:p>
    <w:p w14:paraId="734949FE" w14:textId="37B690E4" w:rsidR="00421764" w:rsidRPr="00595884" w:rsidRDefault="00274BC6" w:rsidP="00421764">
      <w:r w:rsidRPr="00595884">
        <w:t xml:space="preserve">The National Health and Medical Research Council (NHMRC) commissioned </w:t>
      </w:r>
      <w:proofErr w:type="spellStart"/>
      <w:r w:rsidRPr="00595884">
        <w:t>Ecos</w:t>
      </w:r>
      <w:proofErr w:type="spellEnd"/>
      <w:r w:rsidRPr="00595884">
        <w:t xml:space="preserve"> Environmental Consulting P</w:t>
      </w:r>
      <w:r w:rsidR="0018283C">
        <w:t xml:space="preserve">ty </w:t>
      </w:r>
      <w:r w:rsidRPr="00595884">
        <w:t>L</w:t>
      </w:r>
      <w:r w:rsidR="0018283C">
        <w:t>td</w:t>
      </w:r>
      <w:r w:rsidRPr="00595884">
        <w:t xml:space="preserve"> </w:t>
      </w:r>
      <w:r w:rsidR="00F97235" w:rsidRPr="00595884">
        <w:t>(</w:t>
      </w:r>
      <w:proofErr w:type="spellStart"/>
      <w:r w:rsidR="00F97235" w:rsidRPr="00595884">
        <w:t>Ecos</w:t>
      </w:r>
      <w:proofErr w:type="spellEnd"/>
      <w:r w:rsidR="00F97235" w:rsidRPr="00595884">
        <w:t xml:space="preserve">) </w:t>
      </w:r>
      <w:r w:rsidRPr="00595884">
        <w:t xml:space="preserve">to conduct </w:t>
      </w:r>
      <w:bookmarkStart w:id="7" w:name="_Hlk42172066"/>
      <w:r w:rsidRPr="00595884">
        <w:t>narrative reviews</w:t>
      </w:r>
      <w:bookmarkEnd w:id="7"/>
      <w:r w:rsidRPr="00595884">
        <w:t xml:space="preserve"> on two of four research topics that will be used to update the </w:t>
      </w:r>
      <w:r w:rsidRPr="00595884">
        <w:rPr>
          <w:i/>
          <w:iCs/>
        </w:rPr>
        <w:t xml:space="preserve">Guidelines for Managing Risks </w:t>
      </w:r>
      <w:r w:rsidR="00D211EB">
        <w:rPr>
          <w:i/>
          <w:iCs/>
        </w:rPr>
        <w:t>in</w:t>
      </w:r>
      <w:r w:rsidR="00D211EB" w:rsidRPr="00595884">
        <w:rPr>
          <w:i/>
          <w:iCs/>
        </w:rPr>
        <w:t xml:space="preserve"> </w:t>
      </w:r>
      <w:r w:rsidRPr="00595884">
        <w:rPr>
          <w:i/>
          <w:iCs/>
        </w:rPr>
        <w:t xml:space="preserve">Recreational Water </w:t>
      </w:r>
      <w:r w:rsidRPr="00595884">
        <w:rPr>
          <w:i/>
          <w:iCs/>
        </w:rPr>
        <w:fldChar w:fldCharType="begin"/>
      </w:r>
      <w:r w:rsidR="0004776B">
        <w:rPr>
          <w:i/>
          <w:iCs/>
        </w:rPr>
        <w:instrText xml:space="preserve"> ADDIN ZOTERO_ITEM CSL_CITATION {"citationID":"2CnmxLLr","properties":{"formattedCitation":"(NHMRC, 2008)","plainCitation":"(NHMRC, 2008)","noteIndex":0},"citationItems":[{"id":1603,"uris":["http://zotero.org/users/148142/items/JQ2FU6EI"],"uri":["http://zotero.org/users/148142/items/JQ2FU6EI"],"itemData":{"id":1603,"type":"book","abstract":"Guidelines to protect human health from threats posed by the recreational use of coastal, estuarine and fresh waters, such as natural and artificial hazards.","event-place":"Canberra, A.C.T.","ISBN":"1-86496-272-0","language":"English","publisher":"National Health and Medical Research Council","publisher-place":"Canberra, A.C.T.","source":"Open WorldCat","title":"Guidelines for managing risks in recreational water. National Health and Medical Research Council (Australia)","URL":"http://www.nhmrc.gov.au/publications/synopses/_files/eh38.pdf","author":[{"literal":"NHMRC"}],"accessed":{"date-parts":[["2012",10,18]]},"issued":{"date-parts":[["2008"]]}}}],"schema":"https://github.com/citation-style-language/schema/raw/master/csl-citation.json"} </w:instrText>
      </w:r>
      <w:r w:rsidRPr="00595884">
        <w:rPr>
          <w:i/>
          <w:iCs/>
        </w:rPr>
        <w:fldChar w:fldCharType="separate"/>
      </w:r>
      <w:r w:rsidRPr="00595884">
        <w:rPr>
          <w:rFonts w:cs="Arial"/>
        </w:rPr>
        <w:t>(NHMRC, 2008)</w:t>
      </w:r>
      <w:r w:rsidRPr="00595884">
        <w:rPr>
          <w:i/>
          <w:iCs/>
        </w:rPr>
        <w:fldChar w:fldCharType="end"/>
      </w:r>
      <w:r w:rsidR="00CF19D6">
        <w:rPr>
          <w:iCs/>
        </w:rPr>
        <w:t xml:space="preserve"> (the Guidelines)</w:t>
      </w:r>
      <w:r w:rsidRPr="00595884">
        <w:t>.</w:t>
      </w:r>
    </w:p>
    <w:p w14:paraId="0CB7FC5B" w14:textId="010D6BFA" w:rsidR="00CD4766" w:rsidRPr="00595884" w:rsidRDefault="00274BC6" w:rsidP="00421764">
      <w:r w:rsidRPr="00595884">
        <w:t xml:space="preserve">The </w:t>
      </w:r>
      <w:r w:rsidR="00C81D01" w:rsidRPr="00595884">
        <w:t>two</w:t>
      </w:r>
      <w:r w:rsidRPr="00595884">
        <w:t xml:space="preserve"> research topics </w:t>
      </w:r>
      <w:r w:rsidR="008D22C0" w:rsidRPr="00595884">
        <w:t xml:space="preserve">to be addressed by </w:t>
      </w:r>
      <w:proofErr w:type="spellStart"/>
      <w:r w:rsidR="008D22C0" w:rsidRPr="00595884">
        <w:t>Ecos</w:t>
      </w:r>
      <w:proofErr w:type="spellEnd"/>
      <w:r w:rsidR="008D22C0" w:rsidRPr="00595884">
        <w:t xml:space="preserve"> are</w:t>
      </w:r>
      <w:r w:rsidRPr="00595884">
        <w:t xml:space="preserve"> Microbial Risks</w:t>
      </w:r>
      <w:r w:rsidR="00C81D01" w:rsidRPr="00595884">
        <w:t xml:space="preserve"> and</w:t>
      </w:r>
      <w:r w:rsidRPr="00595884">
        <w:t xml:space="preserve"> Chemical Hazards</w:t>
      </w:r>
      <w:r w:rsidR="00F3033F">
        <w:t>.</w:t>
      </w:r>
      <w:r w:rsidR="00C81D01" w:rsidRPr="00595884">
        <w:t xml:space="preserve"> </w:t>
      </w:r>
      <w:r w:rsidR="00F3033F">
        <w:t>T</w:t>
      </w:r>
      <w:r w:rsidR="00C81D01" w:rsidRPr="00595884">
        <w:t xml:space="preserve">he other two topics </w:t>
      </w:r>
      <w:r w:rsidR="00F3033F">
        <w:t>(</w:t>
      </w:r>
      <w:r w:rsidRPr="00595884">
        <w:t xml:space="preserve">Cyanobacteria and </w:t>
      </w:r>
      <w:r w:rsidR="00BD18F6">
        <w:t>A</w:t>
      </w:r>
      <w:r w:rsidRPr="00595884">
        <w:t>lgae and Free-living Organisms</w:t>
      </w:r>
      <w:r w:rsidR="00F3033F">
        <w:t>)</w:t>
      </w:r>
      <w:r w:rsidRPr="00595884">
        <w:t xml:space="preserve"> will be addressed </w:t>
      </w:r>
      <w:r w:rsidR="00C81D01" w:rsidRPr="00595884">
        <w:t>elsewhere</w:t>
      </w:r>
      <w:r w:rsidRPr="00595884">
        <w:t xml:space="preserve">. </w:t>
      </w:r>
      <w:r w:rsidR="008D22C0" w:rsidRPr="00595884">
        <w:t xml:space="preserve">This document </w:t>
      </w:r>
      <w:r w:rsidR="004C4726" w:rsidRPr="00595884">
        <w:t xml:space="preserve">addresses </w:t>
      </w:r>
      <w:r w:rsidR="00E71B92" w:rsidRPr="00595884">
        <w:t xml:space="preserve">Chemical </w:t>
      </w:r>
      <w:r w:rsidR="00E436A0" w:rsidRPr="00595884">
        <w:t>Hazards.</w:t>
      </w:r>
    </w:p>
    <w:p w14:paraId="0DCE739D" w14:textId="71E14C92" w:rsidR="005B747F" w:rsidRPr="00595884" w:rsidRDefault="00274BC6" w:rsidP="00421764">
      <w:r>
        <w:t xml:space="preserve">Chemical hazards in recreational waters may arise from a range of point and non-point (diffuse) sources in the catchment area of the </w:t>
      </w:r>
      <w:proofErr w:type="gramStart"/>
      <w:r>
        <w:t>particular recreational</w:t>
      </w:r>
      <w:proofErr w:type="gramEnd"/>
      <w:r>
        <w:t xml:space="preserve"> water body. It is generally considered that exposures to chemical hazards in recreational waters will be low and usually within safe levels.  </w:t>
      </w:r>
      <w:r w:rsidR="00595971">
        <w:t>There may, h</w:t>
      </w:r>
      <w:r>
        <w:t xml:space="preserve">owever, </w:t>
      </w:r>
      <w:r w:rsidR="00595971">
        <w:t>be site-specific issues that could lead to higher exposures or types of chemical substances that may be problematic in recreational water use situations. F</w:t>
      </w:r>
      <w:r>
        <w:t xml:space="preserve">or the update to the </w:t>
      </w:r>
      <w:r w:rsidR="00170EF6">
        <w:t>G</w:t>
      </w:r>
      <w:r>
        <w:t xml:space="preserve">uidelines, </w:t>
      </w:r>
      <w:r w:rsidR="001F5F24" w:rsidRPr="00595884">
        <w:t>NHMRC</w:t>
      </w:r>
      <w:r w:rsidR="001F5F24">
        <w:t xml:space="preserve"> considers </w:t>
      </w:r>
      <w:r>
        <w:t xml:space="preserve">it important to determine </w:t>
      </w:r>
      <w:r w:rsidR="00BD18F6">
        <w:t xml:space="preserve">the </w:t>
      </w:r>
      <w:proofErr w:type="gramStart"/>
      <w:r w:rsidR="00BD18F6">
        <w:t>current status</w:t>
      </w:r>
      <w:proofErr w:type="gramEnd"/>
      <w:r w:rsidR="00BD18F6">
        <w:t xml:space="preserve"> of the evidence for any </w:t>
      </w:r>
      <w:r w:rsidR="00AF7656">
        <w:t xml:space="preserve">potential </w:t>
      </w:r>
      <w:r w:rsidR="00BD18F6">
        <w:t>human health risks resulting from exposure to chemical hazards in recreational water</w:t>
      </w:r>
      <w:r w:rsidR="00273865">
        <w:t>, including any</w:t>
      </w:r>
      <w:r>
        <w:t xml:space="preserve"> site-specific issues</w:t>
      </w:r>
      <w:r w:rsidR="00273865">
        <w:t>.</w:t>
      </w:r>
      <w:r w:rsidR="00AF7656">
        <w:t xml:space="preserve"> </w:t>
      </w:r>
      <w:r w:rsidR="0018283C">
        <w:t>T</w:t>
      </w:r>
      <w:r w:rsidR="00AF7656">
        <w:rPr>
          <w:szCs w:val="20"/>
        </w:rPr>
        <w:t>he review will provide NHMRC with an independent body of evidence to assure that the revision of the Guidelines is based on the most up-to-date and relevant scientific literature.</w:t>
      </w:r>
    </w:p>
    <w:p w14:paraId="0B1290C5" w14:textId="35C790D2" w:rsidR="00190865" w:rsidRPr="00595884" w:rsidRDefault="00274BC6" w:rsidP="008F3CEF">
      <w:proofErr w:type="spellStart"/>
      <w:r w:rsidRPr="00595884">
        <w:t>Ecos</w:t>
      </w:r>
      <w:proofErr w:type="spellEnd"/>
      <w:r w:rsidRPr="00595884">
        <w:t xml:space="preserve"> developed a research protocol to guide</w:t>
      </w:r>
      <w:r w:rsidR="006E6849" w:rsidRPr="00595884">
        <w:t xml:space="preserve"> the review of the evidence</w:t>
      </w:r>
      <w:r w:rsidRPr="00595884">
        <w:t xml:space="preserve"> </w:t>
      </w:r>
      <w:r w:rsidR="008F3CEF" w:rsidRPr="00595884">
        <w:fldChar w:fldCharType="begin"/>
      </w:r>
      <w:r w:rsidR="0004776B">
        <w:instrText xml:space="preserve"> ADDIN ZOTERO_ITEM CSL_CITATION {"citationID":"C2oXfsbp","properties":{"formattedCitation":"(O\\uc0\\u8217{}Connor, 2020)","plainCitation":"(O’Connor, 2020)","noteIndex":0},"citationItems":[{"id":17347,"uris":["http://zotero.org/users/148142/items/7MEF2GKB"],"uri":["http://zotero.org/users/148142/items/7MEF2GKB"],"itemData":{"id":17347,"type":"report","title":"Research Protocols for Narrative Reviews in support of the NHMRC Recreational Water Quality Guidelines: Chemical Hazards. Ecos Environmental Consulting, September 2020","author":[{"family":"O'Connor","given":"N.A."}],"issued":{"date-parts":[["2020"]]}}}],"schema":"https://github.com/citation-style-language/schema/raw/master/csl-citation.json"} </w:instrText>
      </w:r>
      <w:r w:rsidR="008F3CEF" w:rsidRPr="00595884">
        <w:fldChar w:fldCharType="separate"/>
      </w:r>
      <w:r w:rsidR="008F3CEF" w:rsidRPr="00595884">
        <w:rPr>
          <w:rFonts w:cs="Arial"/>
        </w:rPr>
        <w:t>(O’Connor, 2020)</w:t>
      </w:r>
      <w:r w:rsidR="008F3CEF" w:rsidRPr="00595884">
        <w:fldChar w:fldCharType="end"/>
      </w:r>
      <w:r w:rsidR="00595971">
        <w:t>.</w:t>
      </w:r>
      <w:r w:rsidR="008F3CEF" w:rsidRPr="00595884">
        <w:t xml:space="preserve"> </w:t>
      </w:r>
      <w:r w:rsidR="00595971">
        <w:t xml:space="preserve">The </w:t>
      </w:r>
      <w:r w:rsidR="00AC10FC">
        <w:t xml:space="preserve">research </w:t>
      </w:r>
      <w:r w:rsidR="00595971">
        <w:t xml:space="preserve">protocol </w:t>
      </w:r>
      <w:r w:rsidR="006E6849" w:rsidRPr="00595884">
        <w:t>set</w:t>
      </w:r>
      <w:r w:rsidR="00B71975">
        <w:t>s</w:t>
      </w:r>
      <w:r w:rsidR="006E6849" w:rsidRPr="00595884">
        <w:t xml:space="preserve"> out the methods to be used for the review including the research questions, population groups</w:t>
      </w:r>
      <w:r w:rsidR="008F3CEF" w:rsidRPr="00595884">
        <w:t xml:space="preserve">, </w:t>
      </w:r>
      <w:r w:rsidR="006E6849" w:rsidRPr="00595884">
        <w:t>health outcomes of interest</w:t>
      </w:r>
      <w:r w:rsidR="008F3CEF" w:rsidRPr="00595884">
        <w:t xml:space="preserve">, and a </w:t>
      </w:r>
      <w:r w:rsidR="006E6849" w:rsidRPr="00595884">
        <w:t>structured search and evaluation strategy</w:t>
      </w:r>
      <w:r w:rsidR="008F3CEF" w:rsidRPr="00595884">
        <w:t xml:space="preserve">.  </w:t>
      </w:r>
      <w:r w:rsidR="00856DF4" w:rsidRPr="00595884">
        <w:t xml:space="preserve">This </w:t>
      </w:r>
      <w:r w:rsidR="00E833B8" w:rsidRPr="00595884">
        <w:t>Evidence Evaluation</w:t>
      </w:r>
      <w:r w:rsidR="00856DF4" w:rsidRPr="00595884">
        <w:t xml:space="preserve"> Report</w:t>
      </w:r>
      <w:r w:rsidR="008F3CEF" w:rsidRPr="00595884">
        <w:t xml:space="preserve"> </w:t>
      </w:r>
      <w:r w:rsidR="00444CFB" w:rsidRPr="00595884">
        <w:t>summarises the methodology used to find and select the studies and the findings of the literature search and evaluation process</w:t>
      </w:r>
      <w:r w:rsidR="00595971">
        <w:t>. It</w:t>
      </w:r>
      <w:r w:rsidR="00444CFB" w:rsidRPr="00595884">
        <w:t xml:space="preserve"> </w:t>
      </w:r>
      <w:r w:rsidR="00872A80" w:rsidRPr="00595884">
        <w:t>synthesises the results of key studies identified in the evaluation process</w:t>
      </w:r>
      <w:r w:rsidRPr="00595884">
        <w:t xml:space="preserve"> into evidence statements and </w:t>
      </w:r>
      <w:r w:rsidR="00872A80" w:rsidRPr="00595884">
        <w:t xml:space="preserve">assesses </w:t>
      </w:r>
      <w:r w:rsidRPr="00595884">
        <w:t>this</w:t>
      </w:r>
      <w:r w:rsidR="00872A80" w:rsidRPr="00595884">
        <w:t xml:space="preserve"> body of evidence</w:t>
      </w:r>
      <w:r w:rsidRPr="00595884">
        <w:t xml:space="preserve"> </w:t>
      </w:r>
      <w:proofErr w:type="gramStart"/>
      <w:r w:rsidRPr="00595884">
        <w:t>taking into account</w:t>
      </w:r>
      <w:proofErr w:type="gramEnd"/>
      <w:r w:rsidRPr="00595884">
        <w:t xml:space="preserve"> its strengths or limitations.  </w:t>
      </w:r>
    </w:p>
    <w:p w14:paraId="4E3E1513" w14:textId="09652463" w:rsidR="00444CFB" w:rsidRPr="00595884" w:rsidRDefault="00274BC6" w:rsidP="008F3CEF">
      <w:r w:rsidRPr="00595884">
        <w:t xml:space="preserve">A draft of this Evidence Evaluation Report </w:t>
      </w:r>
      <w:r w:rsidR="00273865">
        <w:t>was</w:t>
      </w:r>
      <w:r w:rsidRPr="00595884">
        <w:t xml:space="preserve"> considered by the NHMRC Recreational Water </w:t>
      </w:r>
      <w:r w:rsidR="00264C6D">
        <w:t xml:space="preserve">Quality </w:t>
      </w:r>
      <w:r w:rsidRPr="00595884">
        <w:t>Advisory Committee (</w:t>
      </w:r>
      <w:r w:rsidR="00C37BFE">
        <w:t>the Committee</w:t>
      </w:r>
      <w:r w:rsidRPr="00595884">
        <w:t>) who provide</w:t>
      </w:r>
      <w:r w:rsidR="00273865">
        <w:t>d</w:t>
      </w:r>
      <w:r w:rsidRPr="00595884">
        <w:t xml:space="preserve"> advice on its revision.</w:t>
      </w:r>
    </w:p>
    <w:p w14:paraId="04CC854C" w14:textId="77777777" w:rsidR="00096548" w:rsidRPr="00595884" w:rsidRDefault="00274BC6" w:rsidP="00D95B6A">
      <w:pPr>
        <w:pStyle w:val="Heading2"/>
      </w:pPr>
      <w:bookmarkStart w:id="8" w:name="_Toc106811105"/>
      <w:r w:rsidRPr="00595884">
        <w:t>Purpose and objectives of review</w:t>
      </w:r>
      <w:bookmarkEnd w:id="8"/>
    </w:p>
    <w:p w14:paraId="35227AAC" w14:textId="45F0131B" w:rsidR="00096548" w:rsidRPr="00595884" w:rsidRDefault="00274BC6" w:rsidP="00096548">
      <w:r w:rsidRPr="00595884">
        <w:t xml:space="preserve">The purpose of the </w:t>
      </w:r>
      <w:r w:rsidR="00640AAA" w:rsidRPr="00595884">
        <w:t xml:space="preserve">Chemical Hazards </w:t>
      </w:r>
      <w:r w:rsidRPr="00595884">
        <w:t>review is to inform the update to</w:t>
      </w:r>
      <w:r w:rsidR="00273865">
        <w:t xml:space="preserve"> information provided in</w:t>
      </w:r>
      <w:r w:rsidRPr="00595884">
        <w:t xml:space="preserve"> Chapter 9 of the</w:t>
      </w:r>
      <w:r w:rsidR="003233B9">
        <w:t xml:space="preserve"> </w:t>
      </w:r>
      <w:r w:rsidR="00700316">
        <w:t xml:space="preserve">2008 NHMRC </w:t>
      </w:r>
      <w:r w:rsidR="003233B9">
        <w:t>Guidelines</w:t>
      </w:r>
      <w:r w:rsidRPr="00595884">
        <w:t xml:space="preserve"> and any relevant sections throughout the rest of the document with respect to the chemical hazards associated with the recreational use of water.  </w:t>
      </w:r>
      <w:r w:rsidR="00264C6D">
        <w:t>T</w:t>
      </w:r>
      <w:r w:rsidRPr="00595884">
        <w:t>h</w:t>
      </w:r>
      <w:r w:rsidR="00A95DD6">
        <w:t xml:space="preserve">is </w:t>
      </w:r>
      <w:r w:rsidR="00264C6D">
        <w:t xml:space="preserve">review, undertaken </w:t>
      </w:r>
      <w:r w:rsidR="00681573">
        <w:t xml:space="preserve">using a </w:t>
      </w:r>
      <w:r w:rsidR="00264C6D">
        <w:t>systematic</w:t>
      </w:r>
      <w:r w:rsidR="00681573">
        <w:t xml:space="preserve"> approach</w:t>
      </w:r>
      <w:r w:rsidR="00264C6D">
        <w:t>, aims to</w:t>
      </w:r>
      <w:r w:rsidRPr="00595884">
        <w:t xml:space="preserve"> provide NHMRC with an independent body of evidence to assure that the revision of the Guidelines is based on the most up-to-date and relevant scientific literature.</w:t>
      </w:r>
    </w:p>
    <w:p w14:paraId="283EB246" w14:textId="02969FAA" w:rsidR="00421764" w:rsidRPr="00595884" w:rsidRDefault="00274BC6" w:rsidP="006D3FDB">
      <w:pPr>
        <w:pStyle w:val="Heading1"/>
      </w:pPr>
      <w:bookmarkStart w:id="9" w:name="_Toc106811106"/>
      <w:bookmarkStart w:id="10" w:name="_Ref220898354"/>
      <w:bookmarkStart w:id="11" w:name="_Toc224621104"/>
      <w:bookmarkStart w:id="12" w:name="_Toc229135805"/>
      <w:r w:rsidRPr="00595884">
        <w:t>Methodology</w:t>
      </w:r>
      <w:bookmarkEnd w:id="9"/>
    </w:p>
    <w:p w14:paraId="7BD195EF" w14:textId="6AFC5CCC" w:rsidR="00640AAA" w:rsidRPr="00595884" w:rsidRDefault="00274BC6" w:rsidP="00D95B6A">
      <w:pPr>
        <w:pStyle w:val="Heading2"/>
      </w:pPr>
      <w:bookmarkStart w:id="13" w:name="_Toc106811107"/>
      <w:r w:rsidRPr="00595884">
        <w:t xml:space="preserve">Review </w:t>
      </w:r>
      <w:r w:rsidR="00F97FB8">
        <w:t>P</w:t>
      </w:r>
      <w:r w:rsidRPr="00595884">
        <w:t>eriod</w:t>
      </w:r>
      <w:bookmarkEnd w:id="13"/>
    </w:p>
    <w:p w14:paraId="0BE0090F" w14:textId="1F2D7DD4" w:rsidR="00640AAA" w:rsidRPr="00595884" w:rsidRDefault="00274BC6" w:rsidP="00640AAA">
      <w:r w:rsidRPr="00595884">
        <w:t xml:space="preserve">Publications </w:t>
      </w:r>
      <w:r w:rsidR="00E83FB6">
        <w:t xml:space="preserve">published </w:t>
      </w:r>
      <w:r w:rsidR="00083178">
        <w:t xml:space="preserve">between </w:t>
      </w:r>
      <w:bookmarkStart w:id="14" w:name="_Hlk77070482"/>
      <w:r w:rsidR="001E4CD0">
        <w:t xml:space="preserve">1 </w:t>
      </w:r>
      <w:r w:rsidR="00083178">
        <w:t>January</w:t>
      </w:r>
      <w:r w:rsidR="00BD7E9F">
        <w:t xml:space="preserve"> 2003</w:t>
      </w:r>
      <w:r w:rsidR="00083178">
        <w:t xml:space="preserve"> and 30 </w:t>
      </w:r>
      <w:r w:rsidR="00E83FB6">
        <w:t>October</w:t>
      </w:r>
      <w:r w:rsidR="00083178">
        <w:t xml:space="preserve"> 2020</w:t>
      </w:r>
      <w:r w:rsidRPr="00595884">
        <w:t xml:space="preserve"> </w:t>
      </w:r>
      <w:bookmarkEnd w:id="14"/>
      <w:r w:rsidRPr="00595884">
        <w:t xml:space="preserve">were considered for the review.  Although the </w:t>
      </w:r>
      <w:r w:rsidR="00700316">
        <w:t>current</w:t>
      </w:r>
      <w:r w:rsidR="00700316" w:rsidRPr="00595884">
        <w:t xml:space="preserve"> </w:t>
      </w:r>
      <w:r w:rsidR="00E02706">
        <w:t xml:space="preserve">NHMRC </w:t>
      </w:r>
      <w:r w:rsidRPr="00595884">
        <w:t>Guidelines were published in 2008, extending the date range back earlier was done to assist in locating any documents that may have been overlooked, have become recognised as being of greater importance since that time</w:t>
      </w:r>
      <w:r w:rsidR="00A415CE">
        <w:t>,</w:t>
      </w:r>
      <w:r w:rsidRPr="00595884">
        <w:t xml:space="preserve"> or missed the cut-off period during the preparation of the </w:t>
      </w:r>
      <w:r w:rsidR="006C73DE">
        <w:t>G</w:t>
      </w:r>
      <w:r w:rsidRPr="00595884">
        <w:t>uidelines.</w:t>
      </w:r>
    </w:p>
    <w:p w14:paraId="28910411" w14:textId="77777777" w:rsidR="00C72E1F" w:rsidRPr="00595884" w:rsidRDefault="00C72E1F" w:rsidP="00C72E1F"/>
    <w:p w14:paraId="45D2F896" w14:textId="77777777" w:rsidR="006C4287" w:rsidRPr="00595884" w:rsidRDefault="00274BC6" w:rsidP="00D95B6A">
      <w:pPr>
        <w:pStyle w:val="Heading2"/>
      </w:pPr>
      <w:bookmarkStart w:id="15" w:name="_Toc106811108"/>
      <w:r w:rsidRPr="00595884">
        <w:t>Definitions</w:t>
      </w:r>
      <w:bookmarkEnd w:id="15"/>
    </w:p>
    <w:p w14:paraId="3CF30098" w14:textId="64905A8E" w:rsidR="009830C5" w:rsidRPr="00595884" w:rsidRDefault="00274BC6" w:rsidP="00F265A0">
      <w:pPr>
        <w:rPr>
          <w:bCs/>
        </w:rPr>
      </w:pPr>
      <w:r w:rsidRPr="00595884">
        <w:rPr>
          <w:bCs/>
        </w:rPr>
        <w:t xml:space="preserve">In this </w:t>
      </w:r>
      <w:r w:rsidR="005B747F" w:rsidRPr="00595884">
        <w:t xml:space="preserve">Evidence Evaluation </w:t>
      </w:r>
      <w:r w:rsidR="00486CE6" w:rsidRPr="00595884">
        <w:rPr>
          <w:bCs/>
        </w:rPr>
        <w:t>Report</w:t>
      </w:r>
      <w:r w:rsidRPr="00595884">
        <w:rPr>
          <w:bCs/>
        </w:rPr>
        <w:t>, “Chemical Hazards” refers to risk</w:t>
      </w:r>
      <w:r w:rsidR="008B7AC2">
        <w:rPr>
          <w:bCs/>
        </w:rPr>
        <w:t>s</w:t>
      </w:r>
      <w:r w:rsidRPr="00595884">
        <w:rPr>
          <w:bCs/>
        </w:rPr>
        <w:t xml:space="preserve"> associated with the contamination of recreational waters by chemical substances including organic compounds (</w:t>
      </w:r>
      <w:r w:rsidR="009E6B4C" w:rsidRPr="00595884">
        <w:rPr>
          <w:bCs/>
        </w:rPr>
        <w:t>e.g.</w:t>
      </w:r>
      <w:r w:rsidRPr="00595884">
        <w:rPr>
          <w:bCs/>
        </w:rPr>
        <w:t xml:space="preserve"> PFAS, pesticides, hydrocarbons, surfactants), metals, nanoparticles </w:t>
      </w:r>
      <w:r w:rsidR="0045465B">
        <w:rPr>
          <w:bCs/>
        </w:rPr>
        <w:t xml:space="preserve">and </w:t>
      </w:r>
      <w:r w:rsidR="00681573">
        <w:rPr>
          <w:bCs/>
        </w:rPr>
        <w:t>EDCs</w:t>
      </w:r>
      <w:r w:rsidR="0003775E" w:rsidRPr="00595884">
        <w:rPr>
          <w:bCs/>
        </w:rPr>
        <w:t xml:space="preserve">. </w:t>
      </w:r>
      <w:r w:rsidR="00F5547A">
        <w:rPr>
          <w:bCs/>
        </w:rPr>
        <w:t>For the purposes of this review, this does not include endotoxins. Endotoxins such as</w:t>
      </w:r>
      <w:r w:rsidR="000B3FC6">
        <w:rPr>
          <w:bCs/>
        </w:rPr>
        <w:t xml:space="preserve"> c</w:t>
      </w:r>
      <w:r w:rsidR="0003775E" w:rsidRPr="00595884">
        <w:rPr>
          <w:bCs/>
        </w:rPr>
        <w:t>yanotoxins</w:t>
      </w:r>
      <w:r w:rsidR="000B3FC6">
        <w:rPr>
          <w:bCs/>
        </w:rPr>
        <w:t xml:space="preserve"> and</w:t>
      </w:r>
      <w:r w:rsidR="009E6B4C" w:rsidRPr="00595884">
        <w:rPr>
          <w:bCs/>
        </w:rPr>
        <w:t xml:space="preserve"> </w:t>
      </w:r>
      <w:r w:rsidRPr="00595884">
        <w:rPr>
          <w:bCs/>
        </w:rPr>
        <w:t>algal toxins</w:t>
      </w:r>
      <w:r w:rsidR="009E6B4C" w:rsidRPr="00595884">
        <w:rPr>
          <w:bCs/>
        </w:rPr>
        <w:t xml:space="preserve"> </w:t>
      </w:r>
      <w:r w:rsidR="00B04C38">
        <w:rPr>
          <w:bCs/>
        </w:rPr>
        <w:t>are</w:t>
      </w:r>
      <w:r w:rsidR="0003775E" w:rsidRPr="00595884">
        <w:rPr>
          <w:bCs/>
        </w:rPr>
        <w:t xml:space="preserve"> considered </w:t>
      </w:r>
      <w:r w:rsidR="00B04C38">
        <w:rPr>
          <w:bCs/>
        </w:rPr>
        <w:t>i</w:t>
      </w:r>
      <w:r w:rsidR="0003775E" w:rsidRPr="00595884">
        <w:rPr>
          <w:bCs/>
        </w:rPr>
        <w:t>n another review</w:t>
      </w:r>
      <w:r w:rsidR="000B3FC6">
        <w:rPr>
          <w:bCs/>
        </w:rPr>
        <w:t xml:space="preserve"> commissioned by NHMRC</w:t>
      </w:r>
      <w:r w:rsidRPr="00595884">
        <w:rPr>
          <w:bCs/>
        </w:rPr>
        <w:t xml:space="preserve">. </w:t>
      </w:r>
    </w:p>
    <w:p w14:paraId="72068E43" w14:textId="2F40F7D2" w:rsidR="00E52689" w:rsidRDefault="00274BC6" w:rsidP="00E52689">
      <w:pPr>
        <w:rPr>
          <w:bCs/>
        </w:rPr>
      </w:pPr>
      <w:r w:rsidRPr="00595884">
        <w:rPr>
          <w:bCs/>
        </w:rPr>
        <w:t xml:space="preserve">Definitions of </w:t>
      </w:r>
      <w:r w:rsidR="00AE38EF" w:rsidRPr="00595884">
        <w:rPr>
          <w:bCs/>
        </w:rPr>
        <w:t xml:space="preserve">types, </w:t>
      </w:r>
      <w:r w:rsidRPr="00595884">
        <w:rPr>
          <w:bCs/>
        </w:rPr>
        <w:t xml:space="preserve">uses and users of recreational water </w:t>
      </w:r>
      <w:r w:rsidR="008B7AC2">
        <w:rPr>
          <w:bCs/>
        </w:rPr>
        <w:t>are</w:t>
      </w:r>
      <w:r w:rsidRPr="00595884">
        <w:rPr>
          <w:bCs/>
        </w:rPr>
        <w:t xml:space="preserve"> given in</w:t>
      </w:r>
      <w:r w:rsidR="005B747F" w:rsidRPr="00595884">
        <w:rPr>
          <w:bCs/>
        </w:rPr>
        <w:t xml:space="preserve"> Appendix 1 of the companion Technical Report to this study</w:t>
      </w:r>
      <w:r w:rsidR="001F58A3" w:rsidRPr="00595884">
        <w:rPr>
          <w:bCs/>
        </w:rPr>
        <w:t xml:space="preserve"> </w:t>
      </w:r>
      <w:r w:rsidR="001F58A3" w:rsidRPr="00595884">
        <w:rPr>
          <w:bCs/>
        </w:rPr>
        <w:fldChar w:fldCharType="begin"/>
      </w:r>
      <w:r w:rsidR="001F58A3" w:rsidRPr="00595884">
        <w:rPr>
          <w:bCs/>
        </w:rPr>
        <w:instrText xml:space="preserve"> ADDIN ZOTERO_ITEM CSL_CITATION {"citationID":"zDGzG0Vr","properties":{"formattedCitation":"(O\\uc0\\u8217{}Connor, 2021)","plainCitation":"(O’Connor, 2021)","noteIndex":0},"citationItems":[{"id":17490,"uris":["http://zotero.org/users/148142/items/QUG78YIA"],"uri":["http://zotero.org/users/148142/items/QUG78YIA"],"itemData":{"id":17490,"type":"report","title":"Technical Report for Narrative Reviews in support of NHMRC Recreational Water Quality Guidelines: Chemical Hazards. DRAFT. Ecos Environmental Consulting, May 2021","author":[{"family":"O'Connor","given":"N.A."}],"issued":{"date-parts":[["2021",5]]}}}],"schema":"https://github.com/citation-style-language/schema/raw/master/csl-citation.json"} </w:instrText>
      </w:r>
      <w:r w:rsidR="001F58A3" w:rsidRPr="00595884">
        <w:rPr>
          <w:bCs/>
        </w:rPr>
        <w:fldChar w:fldCharType="separate"/>
      </w:r>
      <w:r w:rsidR="001F58A3" w:rsidRPr="00595884">
        <w:rPr>
          <w:rFonts w:cs="Arial"/>
        </w:rPr>
        <w:t>(O’Connor, 202</w:t>
      </w:r>
      <w:r w:rsidR="007345A4">
        <w:rPr>
          <w:rFonts w:cs="Arial"/>
        </w:rPr>
        <w:t>2</w:t>
      </w:r>
      <w:r w:rsidR="001F58A3" w:rsidRPr="00595884">
        <w:rPr>
          <w:rFonts w:cs="Arial"/>
        </w:rPr>
        <w:t>)</w:t>
      </w:r>
      <w:r w:rsidR="001F58A3" w:rsidRPr="00595884">
        <w:rPr>
          <w:bCs/>
        </w:rPr>
        <w:fldChar w:fldCharType="end"/>
      </w:r>
      <w:r w:rsidRPr="00595884">
        <w:rPr>
          <w:bCs/>
        </w:rPr>
        <w:t>.</w:t>
      </w:r>
    </w:p>
    <w:p w14:paraId="286A1552" w14:textId="77777777" w:rsidR="00E52689" w:rsidRPr="00595884" w:rsidRDefault="00E52689" w:rsidP="00F265A0">
      <w:pPr>
        <w:rPr>
          <w:bCs/>
        </w:rPr>
      </w:pPr>
    </w:p>
    <w:p w14:paraId="52D01748" w14:textId="2C75363A" w:rsidR="006C4287" w:rsidRPr="00595884" w:rsidRDefault="00274BC6" w:rsidP="00D95B6A">
      <w:pPr>
        <w:pStyle w:val="Heading2"/>
      </w:pPr>
      <w:bookmarkStart w:id="16" w:name="_Toc106811109"/>
      <w:r w:rsidRPr="00595884">
        <w:t>Research Questions</w:t>
      </w:r>
      <w:bookmarkEnd w:id="16"/>
    </w:p>
    <w:p w14:paraId="0AEA303F" w14:textId="397EF4B8" w:rsidR="00F265A0" w:rsidRPr="00595884" w:rsidRDefault="00274BC6" w:rsidP="00F265A0">
      <w:r w:rsidRPr="00595884">
        <w:t xml:space="preserve">The research questions that form the basis of this review were developed by the </w:t>
      </w:r>
      <w:r w:rsidR="009E6B4C" w:rsidRPr="00595884">
        <w:t xml:space="preserve">NHMRC Recreational Water </w:t>
      </w:r>
      <w:r w:rsidR="00B04C38">
        <w:t xml:space="preserve">Quality </w:t>
      </w:r>
      <w:r w:rsidR="009E6B4C" w:rsidRPr="00595884">
        <w:t>Advisory Committee (</w:t>
      </w:r>
      <w:r w:rsidR="00C77F46">
        <w:t>the Committee</w:t>
      </w:r>
      <w:r w:rsidR="009E6B4C" w:rsidRPr="00595884">
        <w:t>)</w:t>
      </w:r>
      <w:r w:rsidRPr="00595884">
        <w:t xml:space="preserve">.  There is one primary question and </w:t>
      </w:r>
      <w:r w:rsidR="009830C5" w:rsidRPr="00595884">
        <w:t xml:space="preserve">three </w:t>
      </w:r>
      <w:r w:rsidRPr="00595884">
        <w:t>secondary questions.</w:t>
      </w:r>
    </w:p>
    <w:p w14:paraId="40E56DC2" w14:textId="75505D4D" w:rsidR="00F265A0" w:rsidRPr="00595884" w:rsidRDefault="00274BC6" w:rsidP="00F265A0">
      <w:pPr>
        <w:pStyle w:val="Heading3"/>
        <w:rPr>
          <w:color w:val="auto"/>
        </w:rPr>
      </w:pPr>
      <w:bookmarkStart w:id="17" w:name="_Toc106811110"/>
      <w:r w:rsidRPr="00595884">
        <w:rPr>
          <w:color w:val="auto"/>
        </w:rPr>
        <w:t>Primary question</w:t>
      </w:r>
      <w:bookmarkEnd w:id="17"/>
    </w:p>
    <w:p w14:paraId="3CB09474" w14:textId="1F8894BD" w:rsidR="00F265A0" w:rsidRPr="00795317" w:rsidRDefault="00274BC6" w:rsidP="00F265A0">
      <w:pPr>
        <w:rPr>
          <w:iCs/>
        </w:rPr>
      </w:pPr>
      <w:r w:rsidRPr="00595884">
        <w:rPr>
          <w:iCs/>
        </w:rPr>
        <w:t>The primary question is:</w:t>
      </w:r>
      <w:r w:rsidRPr="00595884">
        <w:rPr>
          <w:i/>
        </w:rPr>
        <w:t xml:space="preserve"> </w:t>
      </w:r>
      <w:r w:rsidR="006225F1" w:rsidRPr="00595884">
        <w:t xml:space="preserve"> </w:t>
      </w:r>
      <w:r w:rsidR="006225F1" w:rsidRPr="00595884">
        <w:rPr>
          <w:i/>
        </w:rPr>
        <w:t xml:space="preserve">Are exposures to the hazards </w:t>
      </w:r>
      <w:r w:rsidR="00795317">
        <w:rPr>
          <w:i/>
        </w:rPr>
        <w:t>listed</w:t>
      </w:r>
      <w:r w:rsidR="006225F1" w:rsidRPr="00595884">
        <w:rPr>
          <w:i/>
        </w:rPr>
        <w:t xml:space="preserve"> in </w:t>
      </w:r>
      <w:r w:rsidR="00FE5467" w:rsidRPr="00595884">
        <w:rPr>
          <w:i/>
        </w:rPr>
        <w:fldChar w:fldCharType="begin"/>
      </w:r>
      <w:r w:rsidR="00FE5467" w:rsidRPr="00595884">
        <w:rPr>
          <w:i/>
        </w:rPr>
        <w:instrText xml:space="preserve"> REF _Ref71043025 \h  \* MERGEFORMAT </w:instrText>
      </w:r>
      <w:r w:rsidR="00FE5467" w:rsidRPr="00595884">
        <w:rPr>
          <w:i/>
        </w:rPr>
      </w:r>
      <w:r w:rsidR="00FE5467" w:rsidRPr="00595884">
        <w:rPr>
          <w:i/>
        </w:rPr>
        <w:fldChar w:fldCharType="separate"/>
      </w:r>
      <w:r w:rsidR="003132AF" w:rsidRPr="003132AF">
        <w:rPr>
          <w:i/>
        </w:rPr>
        <w:t xml:space="preserve">Table </w:t>
      </w:r>
      <w:r w:rsidR="003132AF" w:rsidRPr="003132AF">
        <w:rPr>
          <w:i/>
          <w:noProof/>
        </w:rPr>
        <w:t>2</w:t>
      </w:r>
      <w:r w:rsidR="003132AF" w:rsidRPr="003132AF">
        <w:rPr>
          <w:i/>
          <w:noProof/>
        </w:rPr>
        <w:noBreakHyphen/>
        <w:t>1</w:t>
      </w:r>
      <w:r w:rsidR="00FE5467" w:rsidRPr="00595884">
        <w:rPr>
          <w:i/>
        </w:rPr>
        <w:fldChar w:fldCharType="end"/>
      </w:r>
      <w:r w:rsidR="00FE5467" w:rsidRPr="00595884">
        <w:rPr>
          <w:i/>
        </w:rPr>
        <w:t xml:space="preserve"> </w:t>
      </w:r>
      <w:r w:rsidR="006225F1" w:rsidRPr="00595884">
        <w:rPr>
          <w:i/>
        </w:rPr>
        <w:t>likely to give rise to any significant human health risks given that chemical concentrations in recreational waters are generally low</w:t>
      </w:r>
      <w:r w:rsidRPr="00595884">
        <w:rPr>
          <w:i/>
        </w:rPr>
        <w:t>?</w:t>
      </w:r>
      <w:r w:rsidR="00795317">
        <w:rPr>
          <w:i/>
        </w:rPr>
        <w:t xml:space="preserve">  </w:t>
      </w:r>
      <w:r w:rsidR="00795317">
        <w:rPr>
          <w:iCs/>
        </w:rPr>
        <w:t xml:space="preserve">The hazards listed in </w:t>
      </w:r>
      <w:r w:rsidR="00795317" w:rsidRPr="00795317">
        <w:fldChar w:fldCharType="begin"/>
      </w:r>
      <w:r w:rsidR="00795317" w:rsidRPr="00795317">
        <w:instrText xml:space="preserve"> REF _Ref71043025 \h  \* MERGEFORMAT </w:instrText>
      </w:r>
      <w:r w:rsidR="00795317" w:rsidRPr="00795317">
        <w:fldChar w:fldCharType="separate"/>
      </w:r>
      <w:r w:rsidR="003132AF" w:rsidRPr="00595884">
        <w:t xml:space="preserve">Table </w:t>
      </w:r>
      <w:r w:rsidR="003132AF">
        <w:t>2</w:t>
      </w:r>
      <w:r w:rsidR="003132AF">
        <w:noBreakHyphen/>
        <w:t>1</w:t>
      </w:r>
      <w:r w:rsidR="00795317" w:rsidRPr="00795317">
        <w:fldChar w:fldCharType="end"/>
      </w:r>
      <w:r w:rsidR="00795317" w:rsidRPr="00795317">
        <w:t xml:space="preserve"> </w:t>
      </w:r>
      <w:r w:rsidR="00795317">
        <w:t xml:space="preserve">are also referred to as the PECO-listed hazards in the Technical Report due to their inclusion in the </w:t>
      </w:r>
      <w:r w:rsidR="00795317" w:rsidRPr="00795317">
        <w:t>Population, Exposure, Comparator, Outcome (PECO)</w:t>
      </w:r>
      <w:r w:rsidR="00795317">
        <w:t xml:space="preserve"> in</w:t>
      </w:r>
      <w:r w:rsidR="00795317" w:rsidRPr="00795317">
        <w:t xml:space="preserve"> </w:t>
      </w:r>
      <w:r w:rsidR="00795317">
        <w:t>T</w:t>
      </w:r>
      <w:r w:rsidR="00795317" w:rsidRPr="00795317">
        <w:t>able</w:t>
      </w:r>
      <w:r w:rsidR="00795317">
        <w:t xml:space="preserve"> 2-2 of that report.</w:t>
      </w:r>
    </w:p>
    <w:p w14:paraId="4E0B280C" w14:textId="6F2CF00B" w:rsidR="00FE5467" w:rsidRPr="00595884" w:rsidRDefault="00274BC6" w:rsidP="00FE5467">
      <w:pPr>
        <w:pStyle w:val="Caption"/>
      </w:pPr>
      <w:bookmarkStart w:id="18" w:name="_Ref71043025"/>
      <w:bookmarkStart w:id="19" w:name="_Toc106811163"/>
      <w:r w:rsidRPr="00595884">
        <w:t xml:space="preserve">Table </w:t>
      </w:r>
      <w:r w:rsidR="003132AF">
        <w:fldChar w:fldCharType="begin"/>
      </w:r>
      <w:r w:rsidR="003132AF">
        <w:instrText xml:space="preserve"> STYLEREF 1 \s </w:instrText>
      </w:r>
      <w:r w:rsidR="003132AF">
        <w:fldChar w:fldCharType="separate"/>
      </w:r>
      <w:r w:rsidR="003132AF">
        <w:rPr>
          <w:noProof/>
        </w:rPr>
        <w:t>2</w:t>
      </w:r>
      <w:r w:rsidR="003132AF">
        <w:rPr>
          <w:noProof/>
        </w:rPr>
        <w:fldChar w:fldCharType="end"/>
      </w:r>
      <w:r w:rsidR="00CE064A">
        <w:noBreakHyphen/>
      </w:r>
      <w:r w:rsidR="003132AF">
        <w:fldChar w:fldCharType="begin"/>
      </w:r>
      <w:r w:rsidR="003132AF">
        <w:instrText xml:space="preserve"> SEQ Table \* ARABIC \s 1 </w:instrText>
      </w:r>
      <w:r w:rsidR="003132AF">
        <w:fldChar w:fldCharType="separate"/>
      </w:r>
      <w:r w:rsidR="003132AF">
        <w:rPr>
          <w:noProof/>
        </w:rPr>
        <w:t>1</w:t>
      </w:r>
      <w:r w:rsidR="003132AF">
        <w:rPr>
          <w:noProof/>
        </w:rPr>
        <w:fldChar w:fldCharType="end"/>
      </w:r>
      <w:bookmarkEnd w:id="18"/>
      <w:r w:rsidRPr="00595884">
        <w:t xml:space="preserve">. Chemical hazards to recreational water quality identified by </w:t>
      </w:r>
      <w:r w:rsidR="00AC10FC">
        <w:t xml:space="preserve">the Committee </w:t>
      </w:r>
      <w:r w:rsidRPr="00595884">
        <w:t>and their potential sources.</w:t>
      </w:r>
      <w:bookmarkEnd w:id="19"/>
    </w:p>
    <w:tbl>
      <w:tblPr>
        <w:tblStyle w:val="EcosleftTableStyle"/>
        <w:tblW w:w="7650" w:type="dxa"/>
        <w:tblLook w:val="04A0" w:firstRow="1" w:lastRow="0" w:firstColumn="1" w:lastColumn="0" w:noHBand="0" w:noVBand="1"/>
      </w:tblPr>
      <w:tblGrid>
        <w:gridCol w:w="2689"/>
        <w:gridCol w:w="4961"/>
      </w:tblGrid>
      <w:tr w:rsidR="004254E5" w14:paraId="1F806053" w14:textId="77777777" w:rsidTr="004254E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689" w:type="dxa"/>
            <w:vAlign w:val="top"/>
          </w:tcPr>
          <w:p w14:paraId="1D0C2C8D" w14:textId="4CEC0A61" w:rsidR="00FE5467" w:rsidRPr="00595884" w:rsidRDefault="00274BC6" w:rsidP="00FF7BD4">
            <w:pPr>
              <w:spacing w:before="20" w:after="20" w:line="240" w:lineRule="auto"/>
              <w:rPr>
                <w:rFonts w:asciiTheme="minorHAnsi" w:hAnsiTheme="minorHAnsi" w:cstheme="minorHAnsi"/>
                <w:szCs w:val="16"/>
              </w:rPr>
            </w:pPr>
            <w:r w:rsidRPr="00595884">
              <w:rPr>
                <w:rFonts w:asciiTheme="minorHAnsi" w:hAnsiTheme="minorHAnsi" w:cstheme="minorHAnsi"/>
                <w:szCs w:val="16"/>
              </w:rPr>
              <w:t>Hazard</w:t>
            </w:r>
          </w:p>
        </w:tc>
        <w:tc>
          <w:tcPr>
            <w:tcW w:w="4961" w:type="dxa"/>
            <w:vAlign w:val="top"/>
          </w:tcPr>
          <w:p w14:paraId="7715EF0B" w14:textId="77777777" w:rsidR="00FE5467" w:rsidRPr="00595884" w:rsidRDefault="00274BC6" w:rsidP="00FF7BD4">
            <w:pPr>
              <w:spacing w:before="20" w:after="2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16"/>
              </w:rPr>
            </w:pPr>
            <w:r w:rsidRPr="00595884">
              <w:rPr>
                <w:rFonts w:asciiTheme="minorHAnsi" w:hAnsiTheme="minorHAnsi" w:cstheme="minorHAnsi"/>
                <w:szCs w:val="16"/>
              </w:rPr>
              <w:t>Sources</w:t>
            </w:r>
          </w:p>
        </w:tc>
      </w:tr>
      <w:tr w:rsidR="004254E5" w14:paraId="42B6D82B" w14:textId="77777777" w:rsidTr="004254E5">
        <w:tc>
          <w:tcPr>
            <w:cnfStyle w:val="001000000000" w:firstRow="0" w:lastRow="0" w:firstColumn="1" w:lastColumn="0" w:oddVBand="0" w:evenVBand="0" w:oddHBand="0" w:evenHBand="0" w:firstRowFirstColumn="0" w:firstRowLastColumn="0" w:lastRowFirstColumn="0" w:lastRowLastColumn="0"/>
            <w:tcW w:w="2689" w:type="dxa"/>
            <w:vAlign w:val="top"/>
          </w:tcPr>
          <w:p w14:paraId="1AFC1636" w14:textId="77777777" w:rsidR="00FE5467" w:rsidRPr="00595884" w:rsidRDefault="00274BC6" w:rsidP="00FF7BD4">
            <w:pPr>
              <w:spacing w:before="20" w:after="20" w:line="240" w:lineRule="auto"/>
              <w:rPr>
                <w:rFonts w:asciiTheme="minorHAnsi" w:hAnsiTheme="minorHAnsi" w:cstheme="minorHAnsi"/>
                <w:szCs w:val="16"/>
              </w:rPr>
            </w:pPr>
            <w:bookmarkStart w:id="20" w:name="_Hlk72499246"/>
            <w:r w:rsidRPr="00595884">
              <w:rPr>
                <w:rFonts w:asciiTheme="minorHAnsi" w:hAnsiTheme="minorHAnsi" w:cstheme="minorHAnsi"/>
                <w:szCs w:val="16"/>
              </w:rPr>
              <w:t>PFAS chemicals (not just regulated ones)</w:t>
            </w:r>
          </w:p>
        </w:tc>
        <w:tc>
          <w:tcPr>
            <w:tcW w:w="4961" w:type="dxa"/>
            <w:vAlign w:val="top"/>
          </w:tcPr>
          <w:p w14:paraId="53ECE916" w14:textId="24D81B58" w:rsidR="00FE5467" w:rsidRPr="00595884" w:rsidRDefault="00274BC6" w:rsidP="00FF7BD4">
            <w:pPr>
              <w:spacing w:before="20" w:after="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6"/>
              </w:rPr>
            </w:pPr>
            <w:r w:rsidRPr="00595884">
              <w:rPr>
                <w:rFonts w:asciiTheme="minorHAnsi" w:hAnsiTheme="minorHAnsi" w:cstheme="minorHAnsi"/>
                <w:szCs w:val="16"/>
              </w:rPr>
              <w:t xml:space="preserve">Military facilities, airports, fire stations and training grounds, </w:t>
            </w:r>
            <w:r w:rsidR="00B04C38">
              <w:rPr>
                <w:rFonts w:asciiTheme="minorHAnsi" w:hAnsiTheme="minorHAnsi" w:cstheme="minorHAnsi"/>
                <w:szCs w:val="16"/>
              </w:rPr>
              <w:t>sewage treatment plant (</w:t>
            </w:r>
            <w:r w:rsidRPr="00595884">
              <w:rPr>
                <w:rFonts w:asciiTheme="minorHAnsi" w:hAnsiTheme="minorHAnsi" w:cstheme="minorHAnsi"/>
                <w:szCs w:val="16"/>
              </w:rPr>
              <w:t>STP</w:t>
            </w:r>
            <w:r w:rsidR="00B04C38">
              <w:rPr>
                <w:rFonts w:asciiTheme="minorHAnsi" w:hAnsiTheme="minorHAnsi" w:cstheme="minorHAnsi"/>
                <w:szCs w:val="16"/>
              </w:rPr>
              <w:t>)</w:t>
            </w:r>
            <w:r w:rsidRPr="00595884">
              <w:rPr>
                <w:rFonts w:asciiTheme="minorHAnsi" w:hAnsiTheme="minorHAnsi" w:cstheme="minorHAnsi"/>
                <w:szCs w:val="16"/>
              </w:rPr>
              <w:t xml:space="preserve"> effluent &amp; sewer overflows</w:t>
            </w:r>
            <w:r w:rsidR="002F4DF5">
              <w:rPr>
                <w:rFonts w:asciiTheme="minorHAnsi" w:hAnsiTheme="minorHAnsi" w:cstheme="minorHAnsi"/>
                <w:szCs w:val="16"/>
              </w:rPr>
              <w:t>, groundwater</w:t>
            </w:r>
          </w:p>
        </w:tc>
      </w:tr>
      <w:tr w:rsidR="004254E5" w14:paraId="66D45DED" w14:textId="77777777" w:rsidTr="004254E5">
        <w:tc>
          <w:tcPr>
            <w:cnfStyle w:val="001000000000" w:firstRow="0" w:lastRow="0" w:firstColumn="1" w:lastColumn="0" w:oddVBand="0" w:evenVBand="0" w:oddHBand="0" w:evenHBand="0" w:firstRowFirstColumn="0" w:firstRowLastColumn="0" w:lastRowFirstColumn="0" w:lastRowLastColumn="0"/>
            <w:tcW w:w="2689" w:type="dxa"/>
            <w:vAlign w:val="top"/>
          </w:tcPr>
          <w:p w14:paraId="7B8FC807" w14:textId="77777777" w:rsidR="00FE5467" w:rsidRPr="00595884" w:rsidRDefault="00274BC6" w:rsidP="00FF7BD4">
            <w:pPr>
              <w:spacing w:before="20" w:after="20" w:line="240" w:lineRule="auto"/>
              <w:rPr>
                <w:rFonts w:asciiTheme="minorHAnsi" w:hAnsiTheme="minorHAnsi" w:cstheme="minorHAnsi"/>
                <w:szCs w:val="16"/>
              </w:rPr>
            </w:pPr>
            <w:r w:rsidRPr="00595884">
              <w:rPr>
                <w:rFonts w:asciiTheme="minorHAnsi" w:hAnsiTheme="minorHAnsi" w:cstheme="minorHAnsi"/>
                <w:szCs w:val="16"/>
              </w:rPr>
              <w:t>Pesticides</w:t>
            </w:r>
          </w:p>
        </w:tc>
        <w:tc>
          <w:tcPr>
            <w:tcW w:w="4961" w:type="dxa"/>
            <w:vAlign w:val="top"/>
          </w:tcPr>
          <w:p w14:paraId="55F9AFA6" w14:textId="77777777" w:rsidR="00FE5467" w:rsidRPr="00595884" w:rsidRDefault="00274BC6" w:rsidP="00FF7BD4">
            <w:pPr>
              <w:spacing w:before="20" w:after="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6"/>
              </w:rPr>
            </w:pPr>
            <w:r w:rsidRPr="00595884">
              <w:rPr>
                <w:rFonts w:asciiTheme="minorHAnsi" w:hAnsiTheme="minorHAnsi" w:cstheme="minorHAnsi"/>
                <w:szCs w:val="16"/>
              </w:rPr>
              <w:t>Rural and urban runoff</w:t>
            </w:r>
          </w:p>
        </w:tc>
      </w:tr>
      <w:tr w:rsidR="004254E5" w14:paraId="68DCD2D1" w14:textId="77777777" w:rsidTr="004254E5">
        <w:tc>
          <w:tcPr>
            <w:cnfStyle w:val="001000000000" w:firstRow="0" w:lastRow="0" w:firstColumn="1" w:lastColumn="0" w:oddVBand="0" w:evenVBand="0" w:oddHBand="0" w:evenHBand="0" w:firstRowFirstColumn="0" w:firstRowLastColumn="0" w:lastRowFirstColumn="0" w:lastRowLastColumn="0"/>
            <w:tcW w:w="2689" w:type="dxa"/>
            <w:vAlign w:val="top"/>
          </w:tcPr>
          <w:p w14:paraId="7C243924" w14:textId="77777777" w:rsidR="00FE5467" w:rsidRPr="00595884" w:rsidRDefault="00274BC6" w:rsidP="00FF7BD4">
            <w:pPr>
              <w:spacing w:before="20" w:after="20" w:line="240" w:lineRule="auto"/>
              <w:rPr>
                <w:rFonts w:asciiTheme="minorHAnsi" w:hAnsiTheme="minorHAnsi" w:cstheme="minorHAnsi"/>
                <w:szCs w:val="16"/>
              </w:rPr>
            </w:pPr>
            <w:r w:rsidRPr="00595884">
              <w:rPr>
                <w:rFonts w:asciiTheme="minorHAnsi" w:hAnsiTheme="minorHAnsi" w:cstheme="minorHAnsi"/>
                <w:szCs w:val="16"/>
              </w:rPr>
              <w:t>Other nanomaterials e.g. zinc oxide nanoparticles in sunscreens</w:t>
            </w:r>
          </w:p>
        </w:tc>
        <w:tc>
          <w:tcPr>
            <w:tcW w:w="4961" w:type="dxa"/>
            <w:vAlign w:val="top"/>
          </w:tcPr>
          <w:p w14:paraId="14B11770" w14:textId="77777777" w:rsidR="00FE5467" w:rsidRPr="00595884" w:rsidRDefault="00274BC6" w:rsidP="00FF7BD4">
            <w:pPr>
              <w:spacing w:before="20" w:after="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6"/>
              </w:rPr>
            </w:pPr>
            <w:r w:rsidRPr="00595884">
              <w:rPr>
                <w:rFonts w:asciiTheme="minorHAnsi" w:hAnsiTheme="minorHAnsi" w:cstheme="minorHAnsi"/>
                <w:szCs w:val="16"/>
              </w:rPr>
              <w:t>Industrial discharges, STP effluent, sunscreens</w:t>
            </w:r>
          </w:p>
        </w:tc>
      </w:tr>
      <w:tr w:rsidR="004254E5" w14:paraId="7AEA13BB" w14:textId="77777777" w:rsidTr="004254E5">
        <w:tc>
          <w:tcPr>
            <w:cnfStyle w:val="001000000000" w:firstRow="0" w:lastRow="0" w:firstColumn="1" w:lastColumn="0" w:oddVBand="0" w:evenVBand="0" w:oddHBand="0" w:evenHBand="0" w:firstRowFirstColumn="0" w:firstRowLastColumn="0" w:lastRowFirstColumn="0" w:lastRowLastColumn="0"/>
            <w:tcW w:w="2689" w:type="dxa"/>
            <w:vAlign w:val="top"/>
          </w:tcPr>
          <w:p w14:paraId="7A907F6D" w14:textId="71FE6816" w:rsidR="00FE5467" w:rsidRPr="00595884" w:rsidRDefault="00274BC6" w:rsidP="00FF7BD4">
            <w:pPr>
              <w:spacing w:before="20" w:after="20" w:line="240" w:lineRule="auto"/>
              <w:rPr>
                <w:rFonts w:asciiTheme="minorHAnsi" w:hAnsiTheme="minorHAnsi" w:cstheme="minorHAnsi"/>
                <w:szCs w:val="16"/>
              </w:rPr>
            </w:pPr>
            <w:r w:rsidRPr="00595884">
              <w:rPr>
                <w:rFonts w:asciiTheme="minorHAnsi" w:hAnsiTheme="minorHAnsi" w:cstheme="minorHAnsi"/>
                <w:szCs w:val="16"/>
              </w:rPr>
              <w:t xml:space="preserve">Hydrocarbons (especially </w:t>
            </w:r>
            <w:r w:rsidR="00B04C38" w:rsidRPr="00B04C38">
              <w:rPr>
                <w:rFonts w:asciiTheme="minorHAnsi" w:hAnsiTheme="minorHAnsi" w:cstheme="minorHAnsi"/>
                <w:szCs w:val="16"/>
              </w:rPr>
              <w:t>benzene, toluene, ethylbenzene and xylene</w:t>
            </w:r>
            <w:r w:rsidR="00B04C38">
              <w:rPr>
                <w:rFonts w:asciiTheme="minorHAnsi" w:hAnsiTheme="minorHAnsi" w:cstheme="minorHAnsi"/>
                <w:szCs w:val="16"/>
              </w:rPr>
              <w:t xml:space="preserve"> or</w:t>
            </w:r>
            <w:r w:rsidR="00B04C38" w:rsidRPr="00B04C38">
              <w:rPr>
                <w:rFonts w:asciiTheme="minorHAnsi" w:hAnsiTheme="minorHAnsi" w:cstheme="minorHAnsi"/>
                <w:szCs w:val="16"/>
              </w:rPr>
              <w:t xml:space="preserve"> </w:t>
            </w:r>
            <w:r w:rsidRPr="00595884">
              <w:rPr>
                <w:rFonts w:asciiTheme="minorHAnsi" w:hAnsiTheme="minorHAnsi" w:cstheme="minorHAnsi"/>
                <w:szCs w:val="16"/>
              </w:rPr>
              <w:t>BTEX chemicals) and volatiles</w:t>
            </w:r>
          </w:p>
        </w:tc>
        <w:tc>
          <w:tcPr>
            <w:tcW w:w="4961" w:type="dxa"/>
            <w:vAlign w:val="top"/>
          </w:tcPr>
          <w:p w14:paraId="14758132" w14:textId="119DB7C4" w:rsidR="00FE5467" w:rsidRPr="00595884" w:rsidRDefault="00274BC6" w:rsidP="00FF7BD4">
            <w:pPr>
              <w:spacing w:before="20" w:after="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6"/>
              </w:rPr>
            </w:pPr>
            <w:r w:rsidRPr="00595884">
              <w:rPr>
                <w:rFonts w:asciiTheme="minorHAnsi" w:hAnsiTheme="minorHAnsi" w:cstheme="minorHAnsi"/>
                <w:szCs w:val="16"/>
              </w:rPr>
              <w:t>Stormwater, fuel spills</w:t>
            </w:r>
          </w:p>
        </w:tc>
      </w:tr>
      <w:tr w:rsidR="004254E5" w14:paraId="39A6B256" w14:textId="77777777" w:rsidTr="004254E5">
        <w:tc>
          <w:tcPr>
            <w:cnfStyle w:val="001000000000" w:firstRow="0" w:lastRow="0" w:firstColumn="1" w:lastColumn="0" w:oddVBand="0" w:evenVBand="0" w:oddHBand="0" w:evenHBand="0" w:firstRowFirstColumn="0" w:firstRowLastColumn="0" w:lastRowFirstColumn="0" w:lastRowLastColumn="0"/>
            <w:tcW w:w="2689" w:type="dxa"/>
            <w:vAlign w:val="top"/>
          </w:tcPr>
          <w:p w14:paraId="0103F276" w14:textId="77777777" w:rsidR="00FE5467" w:rsidRPr="00595884" w:rsidRDefault="00274BC6" w:rsidP="00FF7BD4">
            <w:pPr>
              <w:spacing w:before="20" w:after="20" w:line="240" w:lineRule="auto"/>
              <w:rPr>
                <w:rFonts w:asciiTheme="minorHAnsi" w:hAnsiTheme="minorHAnsi" w:cstheme="minorHAnsi"/>
                <w:szCs w:val="16"/>
              </w:rPr>
            </w:pPr>
            <w:r w:rsidRPr="00595884">
              <w:rPr>
                <w:rFonts w:asciiTheme="minorHAnsi" w:hAnsiTheme="minorHAnsi" w:cstheme="minorHAnsi"/>
                <w:szCs w:val="16"/>
              </w:rPr>
              <w:t>Heavy metals (especially methylated)</w:t>
            </w:r>
          </w:p>
        </w:tc>
        <w:tc>
          <w:tcPr>
            <w:tcW w:w="4961" w:type="dxa"/>
            <w:vAlign w:val="top"/>
          </w:tcPr>
          <w:p w14:paraId="0F79405C" w14:textId="770FFC64" w:rsidR="00FE5467" w:rsidRPr="00595884" w:rsidRDefault="00274BC6" w:rsidP="00B04C38">
            <w:pPr>
              <w:spacing w:before="20" w:after="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6"/>
              </w:rPr>
            </w:pPr>
            <w:r w:rsidRPr="00595884">
              <w:rPr>
                <w:rFonts w:asciiTheme="minorHAnsi" w:hAnsiTheme="minorHAnsi" w:cstheme="minorHAnsi"/>
                <w:szCs w:val="16"/>
              </w:rPr>
              <w:t xml:space="preserve">Industrial discharges, stormwater, </w:t>
            </w:r>
            <w:r w:rsidR="00B04C38">
              <w:rPr>
                <w:rFonts w:asciiTheme="minorHAnsi" w:hAnsiTheme="minorHAnsi" w:cstheme="minorHAnsi"/>
                <w:szCs w:val="16"/>
              </w:rPr>
              <w:t>m</w:t>
            </w:r>
            <w:r w:rsidRPr="00595884">
              <w:rPr>
                <w:rFonts w:asciiTheme="minorHAnsi" w:hAnsiTheme="minorHAnsi" w:cstheme="minorHAnsi"/>
                <w:szCs w:val="16"/>
              </w:rPr>
              <w:t>ine discharges (incl. ‘legacy’ mines)</w:t>
            </w:r>
            <w:r w:rsidR="002F4DF5">
              <w:rPr>
                <w:rFonts w:asciiTheme="minorHAnsi" w:hAnsiTheme="minorHAnsi" w:cstheme="minorHAnsi"/>
                <w:szCs w:val="16"/>
              </w:rPr>
              <w:t>, groundwater</w:t>
            </w:r>
          </w:p>
        </w:tc>
      </w:tr>
      <w:tr w:rsidR="004254E5" w14:paraId="01C65DA9" w14:textId="77777777" w:rsidTr="004254E5">
        <w:tc>
          <w:tcPr>
            <w:cnfStyle w:val="001000000000" w:firstRow="0" w:lastRow="0" w:firstColumn="1" w:lastColumn="0" w:oddVBand="0" w:evenVBand="0" w:oddHBand="0" w:evenHBand="0" w:firstRowFirstColumn="0" w:firstRowLastColumn="0" w:lastRowFirstColumn="0" w:lastRowLastColumn="0"/>
            <w:tcW w:w="2689" w:type="dxa"/>
            <w:vAlign w:val="top"/>
          </w:tcPr>
          <w:p w14:paraId="4B1452F6" w14:textId="6C59948F" w:rsidR="00FE5467" w:rsidRPr="00595884" w:rsidRDefault="00274BC6" w:rsidP="008B7AC2">
            <w:pPr>
              <w:spacing w:before="20" w:after="20" w:line="240" w:lineRule="auto"/>
              <w:rPr>
                <w:rFonts w:asciiTheme="minorHAnsi" w:hAnsiTheme="minorHAnsi" w:cstheme="minorHAnsi"/>
                <w:szCs w:val="16"/>
              </w:rPr>
            </w:pPr>
            <w:r w:rsidRPr="00595884">
              <w:rPr>
                <w:rFonts w:asciiTheme="minorHAnsi" w:hAnsiTheme="minorHAnsi" w:cstheme="minorHAnsi"/>
                <w:szCs w:val="16"/>
              </w:rPr>
              <w:t>Endocrine</w:t>
            </w:r>
            <w:r w:rsidR="008B7AC2">
              <w:rPr>
                <w:rFonts w:asciiTheme="minorHAnsi" w:hAnsiTheme="minorHAnsi" w:cstheme="minorHAnsi"/>
                <w:szCs w:val="16"/>
              </w:rPr>
              <w:t>-</w:t>
            </w:r>
            <w:r w:rsidRPr="00595884">
              <w:rPr>
                <w:rFonts w:asciiTheme="minorHAnsi" w:hAnsiTheme="minorHAnsi" w:cstheme="minorHAnsi"/>
                <w:szCs w:val="16"/>
              </w:rPr>
              <w:t>disrupt</w:t>
            </w:r>
            <w:r w:rsidR="008B7AC2">
              <w:rPr>
                <w:rFonts w:asciiTheme="minorHAnsi" w:hAnsiTheme="minorHAnsi" w:cstheme="minorHAnsi"/>
                <w:szCs w:val="16"/>
              </w:rPr>
              <w:t>ing chemicals</w:t>
            </w:r>
          </w:p>
        </w:tc>
        <w:tc>
          <w:tcPr>
            <w:tcW w:w="4961" w:type="dxa"/>
            <w:vAlign w:val="top"/>
          </w:tcPr>
          <w:p w14:paraId="65BF950F" w14:textId="77777777" w:rsidR="00FE5467" w:rsidRPr="00595884" w:rsidRDefault="00274BC6" w:rsidP="00FF7BD4">
            <w:pPr>
              <w:spacing w:before="20" w:after="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6"/>
              </w:rPr>
            </w:pPr>
            <w:r w:rsidRPr="00595884">
              <w:rPr>
                <w:rFonts w:asciiTheme="minorHAnsi" w:hAnsiTheme="minorHAnsi" w:cstheme="minorHAnsi"/>
                <w:szCs w:val="16"/>
              </w:rPr>
              <w:t>STP effluent and sewer overflows, animal production runoff</w:t>
            </w:r>
          </w:p>
        </w:tc>
      </w:tr>
      <w:tr w:rsidR="004254E5" w14:paraId="544825C1" w14:textId="77777777" w:rsidTr="004254E5">
        <w:tc>
          <w:tcPr>
            <w:cnfStyle w:val="001000000000" w:firstRow="0" w:lastRow="0" w:firstColumn="1" w:lastColumn="0" w:oddVBand="0" w:evenVBand="0" w:oddHBand="0" w:evenHBand="0" w:firstRowFirstColumn="0" w:firstRowLastColumn="0" w:lastRowFirstColumn="0" w:lastRowLastColumn="0"/>
            <w:tcW w:w="2689" w:type="dxa"/>
            <w:vAlign w:val="top"/>
          </w:tcPr>
          <w:p w14:paraId="3203BD84" w14:textId="77777777" w:rsidR="00FE5467" w:rsidRPr="00595884" w:rsidRDefault="00274BC6" w:rsidP="00FF7BD4">
            <w:pPr>
              <w:spacing w:before="20" w:after="20" w:line="240" w:lineRule="auto"/>
              <w:rPr>
                <w:rFonts w:asciiTheme="minorHAnsi" w:hAnsiTheme="minorHAnsi" w:cstheme="minorHAnsi"/>
                <w:szCs w:val="16"/>
              </w:rPr>
            </w:pPr>
            <w:r w:rsidRPr="00595884">
              <w:rPr>
                <w:rFonts w:asciiTheme="minorHAnsi" w:hAnsiTheme="minorHAnsi" w:cstheme="minorHAnsi"/>
                <w:szCs w:val="16"/>
              </w:rPr>
              <w:t>Surfactants, nonylphenols</w:t>
            </w:r>
          </w:p>
        </w:tc>
        <w:tc>
          <w:tcPr>
            <w:tcW w:w="4961" w:type="dxa"/>
            <w:vAlign w:val="top"/>
          </w:tcPr>
          <w:p w14:paraId="548A2F5F" w14:textId="77777777" w:rsidR="00FE5467" w:rsidRPr="00595884" w:rsidRDefault="00274BC6" w:rsidP="00FF7BD4">
            <w:pPr>
              <w:spacing w:before="20" w:after="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6"/>
              </w:rPr>
            </w:pPr>
            <w:r w:rsidRPr="00595884">
              <w:rPr>
                <w:rFonts w:asciiTheme="minorHAnsi" w:hAnsiTheme="minorHAnsi" w:cstheme="minorHAnsi"/>
                <w:szCs w:val="16"/>
              </w:rPr>
              <w:t>STP discharges</w:t>
            </w:r>
          </w:p>
        </w:tc>
      </w:tr>
      <w:tr w:rsidR="004254E5" w14:paraId="0AC350B4" w14:textId="77777777" w:rsidTr="004254E5">
        <w:tc>
          <w:tcPr>
            <w:cnfStyle w:val="001000000000" w:firstRow="0" w:lastRow="0" w:firstColumn="1" w:lastColumn="0" w:oddVBand="0" w:evenVBand="0" w:oddHBand="0" w:evenHBand="0" w:firstRowFirstColumn="0" w:firstRowLastColumn="0" w:lastRowFirstColumn="0" w:lastRowLastColumn="0"/>
            <w:tcW w:w="2689" w:type="dxa"/>
            <w:vAlign w:val="top"/>
          </w:tcPr>
          <w:p w14:paraId="6EDD3992" w14:textId="77777777" w:rsidR="00FE5467" w:rsidRPr="00595884" w:rsidRDefault="00274BC6" w:rsidP="00FF7BD4">
            <w:pPr>
              <w:spacing w:before="20" w:after="20" w:line="240" w:lineRule="auto"/>
              <w:rPr>
                <w:rFonts w:asciiTheme="minorHAnsi" w:hAnsiTheme="minorHAnsi" w:cstheme="minorHAnsi"/>
                <w:szCs w:val="16"/>
              </w:rPr>
            </w:pPr>
            <w:r w:rsidRPr="00595884">
              <w:rPr>
                <w:rFonts w:asciiTheme="minorHAnsi" w:hAnsiTheme="minorHAnsi" w:cstheme="minorHAnsi"/>
                <w:szCs w:val="16"/>
              </w:rPr>
              <w:t>Possible chemical interactions</w:t>
            </w:r>
          </w:p>
        </w:tc>
        <w:tc>
          <w:tcPr>
            <w:tcW w:w="4961" w:type="dxa"/>
            <w:vAlign w:val="top"/>
          </w:tcPr>
          <w:p w14:paraId="37F69BC9" w14:textId="77777777" w:rsidR="00FE5467" w:rsidRPr="00595884" w:rsidRDefault="00274BC6" w:rsidP="00FF7BD4">
            <w:pPr>
              <w:spacing w:before="20" w:after="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6"/>
              </w:rPr>
            </w:pPr>
            <w:r w:rsidRPr="00595884">
              <w:rPr>
                <w:rFonts w:asciiTheme="minorHAnsi" w:hAnsiTheme="minorHAnsi" w:cstheme="minorHAnsi"/>
                <w:szCs w:val="16"/>
              </w:rPr>
              <w:t>Many. Synergistic interactions of most concern</w:t>
            </w:r>
          </w:p>
        </w:tc>
      </w:tr>
    </w:tbl>
    <w:p w14:paraId="296D8E98" w14:textId="0A395606" w:rsidR="00F265A0" w:rsidRPr="00595884" w:rsidRDefault="00274BC6" w:rsidP="00F265A0">
      <w:pPr>
        <w:pStyle w:val="Heading3"/>
        <w:rPr>
          <w:bCs w:val="0"/>
          <w:color w:val="auto"/>
        </w:rPr>
      </w:pPr>
      <w:bookmarkStart w:id="21" w:name="_Ref48638137"/>
      <w:bookmarkStart w:id="22" w:name="_Ref48638169"/>
      <w:bookmarkStart w:id="23" w:name="_Ref72251235"/>
      <w:bookmarkStart w:id="24" w:name="_Toc106811111"/>
      <w:bookmarkEnd w:id="20"/>
      <w:r w:rsidRPr="00595884">
        <w:rPr>
          <w:bCs w:val="0"/>
          <w:color w:val="auto"/>
        </w:rPr>
        <w:t>Secondary questions</w:t>
      </w:r>
      <w:bookmarkEnd w:id="21"/>
      <w:bookmarkEnd w:id="22"/>
      <w:bookmarkEnd w:id="23"/>
      <w:bookmarkEnd w:id="24"/>
    </w:p>
    <w:p w14:paraId="4769C741" w14:textId="6D037396" w:rsidR="00F265A0" w:rsidRPr="00595884" w:rsidRDefault="00274BC6" w:rsidP="00F265A0">
      <w:r w:rsidRPr="00595884">
        <w:t xml:space="preserve">The secondary questions are: </w:t>
      </w:r>
    </w:p>
    <w:p w14:paraId="6B042778" w14:textId="4D838CF9" w:rsidR="00F265A0" w:rsidRPr="00595884" w:rsidRDefault="00274BC6" w:rsidP="00700FDF">
      <w:pPr>
        <w:pStyle w:val="ListParagraph"/>
        <w:numPr>
          <w:ilvl w:val="0"/>
          <w:numId w:val="21"/>
        </w:numPr>
        <w:rPr>
          <w:i/>
          <w:lang w:val="en-AU"/>
        </w:rPr>
      </w:pPr>
      <w:r w:rsidRPr="00595884">
        <w:rPr>
          <w:i/>
          <w:lang w:val="en-AU"/>
        </w:rPr>
        <w:t>What chemicals (that potentially pose a risk to humans) are present at elevated concentrations in recreational waters and what are their sources?</w:t>
      </w:r>
    </w:p>
    <w:p w14:paraId="1FA79C76" w14:textId="527FCADE" w:rsidR="00F265A0" w:rsidRPr="00595884" w:rsidRDefault="00274BC6" w:rsidP="00700FDF">
      <w:pPr>
        <w:pStyle w:val="ListParagraph"/>
        <w:numPr>
          <w:ilvl w:val="0"/>
          <w:numId w:val="21"/>
        </w:numPr>
        <w:rPr>
          <w:i/>
          <w:iCs/>
          <w:lang w:val="en-AU"/>
        </w:rPr>
      </w:pPr>
      <w:r w:rsidRPr="00595884">
        <w:rPr>
          <w:i/>
          <w:iCs/>
          <w:lang w:val="en-AU"/>
        </w:rPr>
        <w:t>What chemicals are of most concern due to their physicochemical properties which may enhance their uptake via dermal, inhalation or ingestion exposure pathways? How can we adjust exposure assumptions for these chemicals?</w:t>
      </w:r>
    </w:p>
    <w:p w14:paraId="67617245" w14:textId="41D1E350" w:rsidR="009830C5" w:rsidRPr="00595884" w:rsidRDefault="00274BC6" w:rsidP="00700FDF">
      <w:pPr>
        <w:pStyle w:val="ListParagraph"/>
        <w:numPr>
          <w:ilvl w:val="0"/>
          <w:numId w:val="21"/>
        </w:numPr>
        <w:rPr>
          <w:i/>
          <w:iCs/>
          <w:lang w:val="en-AU"/>
        </w:rPr>
      </w:pPr>
      <w:r w:rsidRPr="00595884">
        <w:rPr>
          <w:i/>
          <w:iCs/>
          <w:lang w:val="en-AU"/>
        </w:rPr>
        <w:t>Should the focus be on “hot spots” i.e. site-specific rather than chemical specific, and/or include periodic toxicity screening of sites to complement chemical testing?</w:t>
      </w:r>
    </w:p>
    <w:p w14:paraId="08E522D5" w14:textId="16B04C1C" w:rsidR="00C05DEC" w:rsidRPr="00595884" w:rsidRDefault="00274BC6" w:rsidP="00F036C9">
      <w:r w:rsidRPr="005B6ACD">
        <w:rPr>
          <w:szCs w:val="20"/>
        </w:rPr>
        <w:t>T</w:t>
      </w:r>
      <w:r w:rsidR="002062C5" w:rsidRPr="005B6ACD">
        <w:rPr>
          <w:szCs w:val="20"/>
        </w:rPr>
        <w:t>o keep the workload manageable within the available resources t</w:t>
      </w:r>
      <w:r w:rsidRPr="005B6ACD">
        <w:rPr>
          <w:szCs w:val="20"/>
        </w:rPr>
        <w:t>he Committee</w:t>
      </w:r>
      <w:r w:rsidR="00C77F46" w:rsidRPr="005B6ACD">
        <w:rPr>
          <w:szCs w:val="20"/>
        </w:rPr>
        <w:t xml:space="preserve"> </w:t>
      </w:r>
      <w:r w:rsidR="002062C5" w:rsidRPr="005B6ACD">
        <w:rPr>
          <w:szCs w:val="20"/>
        </w:rPr>
        <w:t xml:space="preserve">agreed </w:t>
      </w:r>
      <w:r w:rsidR="00F036C9" w:rsidRPr="005B6ACD">
        <w:rPr>
          <w:szCs w:val="20"/>
        </w:rPr>
        <w:t xml:space="preserve">that the secondary research questions </w:t>
      </w:r>
      <w:r w:rsidR="002062C5" w:rsidRPr="005B6ACD">
        <w:rPr>
          <w:szCs w:val="20"/>
        </w:rPr>
        <w:t xml:space="preserve">could </w:t>
      </w:r>
      <w:r w:rsidR="00F036C9" w:rsidRPr="005B6ACD">
        <w:rPr>
          <w:szCs w:val="20"/>
        </w:rPr>
        <w:t xml:space="preserve">be addressed through </w:t>
      </w:r>
      <w:r w:rsidR="002062C5" w:rsidRPr="005B6ACD">
        <w:rPr>
          <w:szCs w:val="20"/>
        </w:rPr>
        <w:t>a</w:t>
      </w:r>
      <w:r w:rsidR="00F036C9" w:rsidRPr="005B6ACD">
        <w:rPr>
          <w:szCs w:val="20"/>
        </w:rPr>
        <w:t xml:space="preserve"> review of existing guidance or reviews rather than though </w:t>
      </w:r>
      <w:r w:rsidR="002062C5" w:rsidRPr="005B6ACD">
        <w:rPr>
          <w:szCs w:val="20"/>
        </w:rPr>
        <w:t xml:space="preserve">a </w:t>
      </w:r>
      <w:r w:rsidR="00F036C9" w:rsidRPr="005B6ACD">
        <w:rPr>
          <w:szCs w:val="20"/>
        </w:rPr>
        <w:t xml:space="preserve">review of </w:t>
      </w:r>
      <w:r w:rsidR="00E02706" w:rsidRPr="005B6ACD">
        <w:rPr>
          <w:szCs w:val="20"/>
        </w:rPr>
        <w:t>p</w:t>
      </w:r>
      <w:r w:rsidR="00F036C9" w:rsidRPr="005B6ACD">
        <w:rPr>
          <w:szCs w:val="20"/>
        </w:rPr>
        <w:t xml:space="preserve">rimary </w:t>
      </w:r>
      <w:r w:rsidR="00E02706" w:rsidRPr="005B6ACD">
        <w:rPr>
          <w:szCs w:val="20"/>
        </w:rPr>
        <w:t>s</w:t>
      </w:r>
      <w:r w:rsidR="00F036C9" w:rsidRPr="005B6ACD">
        <w:rPr>
          <w:szCs w:val="20"/>
        </w:rPr>
        <w:t xml:space="preserve">tudies (see Section </w:t>
      </w:r>
      <w:r w:rsidR="00F036C9" w:rsidRPr="005B6ACD">
        <w:rPr>
          <w:szCs w:val="20"/>
        </w:rPr>
        <w:fldChar w:fldCharType="begin"/>
      </w:r>
      <w:r w:rsidR="00F036C9" w:rsidRPr="005B6ACD">
        <w:rPr>
          <w:szCs w:val="20"/>
        </w:rPr>
        <w:instrText xml:space="preserve"> REF _Ref71193059 \r \h </w:instrText>
      </w:r>
      <w:r w:rsidR="00D77558" w:rsidRPr="005B6ACD">
        <w:rPr>
          <w:szCs w:val="20"/>
        </w:rPr>
        <w:instrText xml:space="preserve"> \* MERGEFORMAT </w:instrText>
      </w:r>
      <w:r w:rsidR="00F036C9" w:rsidRPr="005B6ACD">
        <w:rPr>
          <w:szCs w:val="20"/>
        </w:rPr>
      </w:r>
      <w:r w:rsidR="00F036C9" w:rsidRPr="005B6ACD">
        <w:rPr>
          <w:szCs w:val="20"/>
        </w:rPr>
        <w:fldChar w:fldCharType="separate"/>
      </w:r>
      <w:r w:rsidR="003132AF">
        <w:rPr>
          <w:szCs w:val="20"/>
        </w:rPr>
        <w:t>2.5.1</w:t>
      </w:r>
      <w:r w:rsidR="00F036C9" w:rsidRPr="005B6ACD">
        <w:rPr>
          <w:szCs w:val="20"/>
        </w:rPr>
        <w:fldChar w:fldCharType="end"/>
      </w:r>
      <w:r w:rsidR="00F036C9" w:rsidRPr="005B6ACD">
        <w:rPr>
          <w:szCs w:val="20"/>
        </w:rPr>
        <w:t xml:space="preserve"> for definitions of these categories.)</w:t>
      </w:r>
    </w:p>
    <w:p w14:paraId="10CF187C" w14:textId="6B75199A" w:rsidR="00E96778" w:rsidRPr="00595884" w:rsidRDefault="00274BC6" w:rsidP="00E96778">
      <w:pPr>
        <w:pStyle w:val="Heading3"/>
        <w:rPr>
          <w:color w:val="auto"/>
        </w:rPr>
      </w:pPr>
      <w:bookmarkStart w:id="25" w:name="_Hlk42771129"/>
      <w:bookmarkStart w:id="26" w:name="_Toc71717360"/>
      <w:bookmarkStart w:id="27" w:name="_Toc106811112"/>
      <w:r w:rsidRPr="00595884">
        <w:rPr>
          <w:color w:val="auto"/>
        </w:rPr>
        <w:t xml:space="preserve">Additional commentary and guidance from </w:t>
      </w:r>
      <w:bookmarkEnd w:id="25"/>
      <w:bookmarkEnd w:id="26"/>
      <w:r w:rsidR="00AC10FC">
        <w:rPr>
          <w:color w:val="auto"/>
        </w:rPr>
        <w:t>the Committee</w:t>
      </w:r>
      <w:bookmarkEnd w:id="27"/>
    </w:p>
    <w:p w14:paraId="73EB011F" w14:textId="3041AC70" w:rsidR="00E96778" w:rsidRPr="00595884" w:rsidRDefault="00274BC6" w:rsidP="00E96778">
      <w:r>
        <w:t xml:space="preserve">The Committee </w:t>
      </w:r>
      <w:r w:rsidRPr="00595884">
        <w:t>listed the following topics in relation to chemical hazards in recreational water that may assist in developing responses to the above questions:</w:t>
      </w:r>
    </w:p>
    <w:p w14:paraId="1996E552" w14:textId="77777777" w:rsidR="00E96778" w:rsidRPr="00595884" w:rsidRDefault="00274BC6" w:rsidP="00700FDF">
      <w:pPr>
        <w:pStyle w:val="ListParagraph"/>
        <w:numPr>
          <w:ilvl w:val="0"/>
          <w:numId w:val="8"/>
        </w:numPr>
        <w:ind w:hanging="357"/>
        <w:contextualSpacing/>
        <w:rPr>
          <w:lang w:val="en-AU"/>
        </w:rPr>
      </w:pPr>
      <w:r w:rsidRPr="00595884">
        <w:rPr>
          <w:lang w:val="en-AU"/>
        </w:rPr>
        <w:t>Substances of interest to include:</w:t>
      </w:r>
    </w:p>
    <w:p w14:paraId="4CE8335C" w14:textId="77777777" w:rsidR="00E96778" w:rsidRPr="00595884" w:rsidRDefault="00274BC6" w:rsidP="00700FDF">
      <w:pPr>
        <w:pStyle w:val="ListParagraph"/>
        <w:numPr>
          <w:ilvl w:val="1"/>
          <w:numId w:val="8"/>
        </w:numPr>
        <w:ind w:hanging="357"/>
        <w:contextualSpacing/>
        <w:rPr>
          <w:lang w:val="en-AU"/>
        </w:rPr>
      </w:pPr>
      <w:r w:rsidRPr="00595884">
        <w:rPr>
          <w:lang w:val="en-AU"/>
        </w:rPr>
        <w:t xml:space="preserve">Key contaminants of concern in recreational </w:t>
      </w:r>
      <w:proofErr w:type="gramStart"/>
      <w:r w:rsidRPr="00595884">
        <w:rPr>
          <w:lang w:val="en-AU"/>
        </w:rPr>
        <w:t>waters;</w:t>
      </w:r>
      <w:proofErr w:type="gramEnd"/>
    </w:p>
    <w:p w14:paraId="03072F96" w14:textId="0D354176" w:rsidR="00E96778" w:rsidRPr="00595884" w:rsidRDefault="00274BC6" w:rsidP="00700FDF">
      <w:pPr>
        <w:pStyle w:val="ListParagraph"/>
        <w:numPr>
          <w:ilvl w:val="1"/>
          <w:numId w:val="8"/>
        </w:numPr>
        <w:ind w:hanging="357"/>
        <w:contextualSpacing/>
        <w:rPr>
          <w:lang w:val="en-AU"/>
        </w:rPr>
      </w:pPr>
      <w:r w:rsidRPr="00595884">
        <w:rPr>
          <w:lang w:val="en-AU"/>
        </w:rPr>
        <w:t xml:space="preserve">Metals and metalloids, halogenated organic compounds and PAHs, nutrients, water soluble trace organic contaminants, </w:t>
      </w:r>
      <w:proofErr w:type="gramStart"/>
      <w:r w:rsidRPr="00595884">
        <w:rPr>
          <w:lang w:val="en-AU"/>
        </w:rPr>
        <w:t>PFAS;</w:t>
      </w:r>
      <w:proofErr w:type="gramEnd"/>
    </w:p>
    <w:p w14:paraId="45B934D4" w14:textId="77777777" w:rsidR="00E96778" w:rsidRPr="00595884" w:rsidRDefault="00274BC6" w:rsidP="00700FDF">
      <w:pPr>
        <w:pStyle w:val="ListParagraph"/>
        <w:numPr>
          <w:ilvl w:val="1"/>
          <w:numId w:val="8"/>
        </w:numPr>
        <w:ind w:hanging="357"/>
        <w:contextualSpacing/>
        <w:rPr>
          <w:lang w:val="en-AU"/>
        </w:rPr>
      </w:pPr>
      <w:r w:rsidRPr="00595884">
        <w:rPr>
          <w:lang w:val="en-AU"/>
        </w:rPr>
        <w:t xml:space="preserve">Other high-risk chemicals and chemical hazards such as sunscreens and </w:t>
      </w:r>
      <w:proofErr w:type="gramStart"/>
      <w:r w:rsidRPr="00595884">
        <w:rPr>
          <w:lang w:val="en-AU"/>
        </w:rPr>
        <w:t>nanoparticles;</w:t>
      </w:r>
      <w:proofErr w:type="gramEnd"/>
    </w:p>
    <w:p w14:paraId="6D2C90B7" w14:textId="77777777" w:rsidR="00E96778" w:rsidRPr="00595884" w:rsidRDefault="00274BC6" w:rsidP="00700FDF">
      <w:pPr>
        <w:pStyle w:val="ListParagraph"/>
        <w:numPr>
          <w:ilvl w:val="0"/>
          <w:numId w:val="8"/>
        </w:numPr>
        <w:ind w:hanging="357"/>
        <w:contextualSpacing/>
        <w:rPr>
          <w:lang w:val="en-AU"/>
        </w:rPr>
      </w:pPr>
      <w:r w:rsidRPr="00595884">
        <w:rPr>
          <w:lang w:val="en-AU"/>
        </w:rPr>
        <w:t>Risk assessment methods (including exposure assessment calculations and assumptions</w:t>
      </w:r>
      <w:proofErr w:type="gramStart"/>
      <w:r w:rsidRPr="00595884">
        <w:rPr>
          <w:lang w:val="en-AU"/>
        </w:rPr>
        <w:t>);</w:t>
      </w:r>
      <w:proofErr w:type="gramEnd"/>
    </w:p>
    <w:p w14:paraId="16AE4A6C" w14:textId="4F1D0855" w:rsidR="0063091E" w:rsidRPr="00595884" w:rsidRDefault="00274BC6" w:rsidP="00700FDF">
      <w:pPr>
        <w:pStyle w:val="ListParagraph"/>
        <w:numPr>
          <w:ilvl w:val="0"/>
          <w:numId w:val="8"/>
        </w:numPr>
        <w:spacing w:after="0"/>
        <w:ind w:hanging="357"/>
        <w:contextualSpacing/>
        <w:rPr>
          <w:lang w:val="en-AU"/>
        </w:rPr>
      </w:pPr>
      <w:r w:rsidRPr="00595884">
        <w:rPr>
          <w:lang w:val="en-AU"/>
        </w:rPr>
        <w:t>Consideration of short, medium- and long-term exposures; and</w:t>
      </w:r>
    </w:p>
    <w:p w14:paraId="7D649390" w14:textId="77777777" w:rsidR="00E96778" w:rsidRPr="0063091E" w:rsidRDefault="00274BC6" w:rsidP="00700FDF">
      <w:pPr>
        <w:pStyle w:val="ListParagraph"/>
        <w:numPr>
          <w:ilvl w:val="0"/>
          <w:numId w:val="8"/>
        </w:numPr>
        <w:spacing w:after="0"/>
        <w:ind w:hanging="357"/>
        <w:contextualSpacing/>
        <w:rPr>
          <w:lang w:val="en-AU"/>
        </w:rPr>
      </w:pPr>
      <w:r w:rsidRPr="0063091E">
        <w:rPr>
          <w:lang w:val="en-AU"/>
        </w:rPr>
        <w:t>Consideration of the use of indicator substances for chemical risk assessment and monitoring.</w:t>
      </w:r>
    </w:p>
    <w:p w14:paraId="167DE5CA" w14:textId="2A8890A7" w:rsidR="00E96778" w:rsidRPr="00595884" w:rsidRDefault="00274BC6" w:rsidP="00E96778">
      <w:r w:rsidRPr="00595884">
        <w:t xml:space="preserve">As noted earlier, the primary and secondary research requestions were the focus of the review, however, in responding to those questions, it was understood that consideration of the additional commentary and guidance from </w:t>
      </w:r>
      <w:r w:rsidR="00AC10FC">
        <w:t>the Committee</w:t>
      </w:r>
      <w:r w:rsidR="004C2793" w:rsidRPr="00595884">
        <w:t xml:space="preserve"> </w:t>
      </w:r>
      <w:r w:rsidRPr="00595884">
        <w:t>and associated questions, as listed above, would be helpful.</w:t>
      </w:r>
    </w:p>
    <w:p w14:paraId="2F48A42D" w14:textId="77777777" w:rsidR="00E96778" w:rsidRPr="00595884" w:rsidRDefault="00E96778" w:rsidP="00F036C9"/>
    <w:p w14:paraId="59080369" w14:textId="2255199D" w:rsidR="006C4287" w:rsidRPr="00595884" w:rsidRDefault="00274BC6" w:rsidP="00D95B6A">
      <w:pPr>
        <w:pStyle w:val="Heading2"/>
      </w:pPr>
      <w:bookmarkStart w:id="28" w:name="_Ref64282671"/>
      <w:bookmarkStart w:id="29" w:name="_Toc106811113"/>
      <w:r w:rsidRPr="00595884">
        <w:t>Search Strategy and Selection of Evidence</w:t>
      </w:r>
      <w:bookmarkEnd w:id="28"/>
      <w:bookmarkEnd w:id="29"/>
    </w:p>
    <w:p w14:paraId="23952ECA" w14:textId="1B5746C2" w:rsidR="003D5A7A" w:rsidRPr="00595884" w:rsidRDefault="00274BC6" w:rsidP="003D5A7A">
      <w:r w:rsidRPr="00595884">
        <w:t xml:space="preserve">The </w:t>
      </w:r>
      <w:r w:rsidR="001022E6" w:rsidRPr="00595884">
        <w:t xml:space="preserve">steps </w:t>
      </w:r>
      <w:r w:rsidR="003E3A6E" w:rsidRPr="00595884">
        <w:t>involved in</w:t>
      </w:r>
      <w:r w:rsidR="001022E6" w:rsidRPr="00595884">
        <w:t xml:space="preserve"> find</w:t>
      </w:r>
      <w:r w:rsidR="003E3A6E" w:rsidRPr="00595884">
        <w:t>ing</w:t>
      </w:r>
      <w:r w:rsidR="001022E6" w:rsidRPr="00595884">
        <w:t xml:space="preserve"> and select</w:t>
      </w:r>
      <w:r w:rsidRPr="00595884">
        <w:t>ing</w:t>
      </w:r>
      <w:r w:rsidR="001022E6" w:rsidRPr="00595884">
        <w:t xml:space="preserve"> the evidence </w:t>
      </w:r>
      <w:r w:rsidR="003E3A6E" w:rsidRPr="00595884">
        <w:t>for</w:t>
      </w:r>
      <w:r w:rsidR="001022E6" w:rsidRPr="00595884">
        <w:t xml:space="preserve"> review</w:t>
      </w:r>
      <w:r w:rsidRPr="00595884">
        <w:t xml:space="preserve"> were:</w:t>
      </w:r>
    </w:p>
    <w:p w14:paraId="68509C22" w14:textId="3C78563F" w:rsidR="006C4287" w:rsidRPr="00595884" w:rsidRDefault="00274BC6" w:rsidP="00700FDF">
      <w:pPr>
        <w:pStyle w:val="ListParagraph"/>
        <w:numPr>
          <w:ilvl w:val="0"/>
          <w:numId w:val="13"/>
        </w:numPr>
        <w:ind w:left="714" w:hanging="357"/>
        <w:contextualSpacing/>
        <w:rPr>
          <w:lang w:val="en-AU"/>
        </w:rPr>
      </w:pPr>
      <w:r w:rsidRPr="00595884">
        <w:rPr>
          <w:lang w:val="en-AU"/>
        </w:rPr>
        <w:t>Preparation of a list of keywords</w:t>
      </w:r>
      <w:r w:rsidR="00AD2665" w:rsidRPr="00595884">
        <w:rPr>
          <w:lang w:val="en-AU"/>
        </w:rPr>
        <w:t xml:space="preserve"> (search terms)</w:t>
      </w:r>
      <w:r w:rsidR="00E1454C" w:rsidRPr="00595884">
        <w:rPr>
          <w:lang w:val="en-AU"/>
        </w:rPr>
        <w:t xml:space="preserve"> which was subsequently </w:t>
      </w:r>
      <w:r w:rsidR="00AD2665" w:rsidRPr="00595884">
        <w:rPr>
          <w:lang w:val="en-AU"/>
        </w:rPr>
        <w:t>approv</w:t>
      </w:r>
      <w:r w:rsidR="00E1454C" w:rsidRPr="00595884">
        <w:rPr>
          <w:lang w:val="en-AU"/>
        </w:rPr>
        <w:t>ed</w:t>
      </w:r>
      <w:r w:rsidR="00AD2665" w:rsidRPr="00595884">
        <w:rPr>
          <w:lang w:val="en-AU"/>
        </w:rPr>
        <w:t xml:space="preserve"> by </w:t>
      </w:r>
      <w:r w:rsidR="00AC10FC">
        <w:rPr>
          <w:lang w:val="en-AU"/>
        </w:rPr>
        <w:t xml:space="preserve">the </w:t>
      </w:r>
      <w:proofErr w:type="gramStart"/>
      <w:r w:rsidR="00AC10FC">
        <w:rPr>
          <w:lang w:val="en-AU"/>
        </w:rPr>
        <w:t>Committee</w:t>
      </w:r>
      <w:r w:rsidR="001A02E6" w:rsidRPr="00595884">
        <w:rPr>
          <w:lang w:val="en-AU"/>
        </w:rPr>
        <w:t>;</w:t>
      </w:r>
      <w:proofErr w:type="gramEnd"/>
    </w:p>
    <w:p w14:paraId="7625E7FE" w14:textId="637F07B1" w:rsidR="003D5A7A" w:rsidRPr="00595884" w:rsidRDefault="00274BC6" w:rsidP="00700FDF">
      <w:pPr>
        <w:pStyle w:val="ListParagraph"/>
        <w:numPr>
          <w:ilvl w:val="0"/>
          <w:numId w:val="13"/>
        </w:numPr>
        <w:ind w:left="714" w:hanging="357"/>
        <w:contextualSpacing/>
        <w:rPr>
          <w:lang w:val="en-AU"/>
        </w:rPr>
      </w:pPr>
      <w:r w:rsidRPr="00595884">
        <w:rPr>
          <w:lang w:val="en-AU"/>
        </w:rPr>
        <w:t xml:space="preserve">Classification of </w:t>
      </w:r>
      <w:r w:rsidR="001A02E6" w:rsidRPr="00595884">
        <w:rPr>
          <w:lang w:val="en-AU"/>
        </w:rPr>
        <w:t xml:space="preserve">the </w:t>
      </w:r>
      <w:r w:rsidRPr="00595884">
        <w:rPr>
          <w:lang w:val="en-AU"/>
        </w:rPr>
        <w:t xml:space="preserve">list into logical categories related to population, location, study type, </w:t>
      </w:r>
      <w:r w:rsidR="00A46473" w:rsidRPr="00595884">
        <w:rPr>
          <w:lang w:val="en-AU"/>
        </w:rPr>
        <w:t xml:space="preserve">property or </w:t>
      </w:r>
      <w:r w:rsidRPr="00595884">
        <w:rPr>
          <w:lang w:val="en-AU"/>
        </w:rPr>
        <w:t>attribute, method, health outcome,</w:t>
      </w:r>
      <w:r w:rsidR="00A46473" w:rsidRPr="00595884">
        <w:rPr>
          <w:lang w:val="en-AU"/>
        </w:rPr>
        <w:t xml:space="preserve"> carrier (type of water),</w:t>
      </w:r>
      <w:r w:rsidRPr="00595884">
        <w:rPr>
          <w:lang w:val="en-AU"/>
        </w:rPr>
        <w:t xml:space="preserve"> exposure pathway</w:t>
      </w:r>
      <w:r w:rsidR="00A46473" w:rsidRPr="00595884">
        <w:rPr>
          <w:lang w:val="en-AU"/>
        </w:rPr>
        <w:t xml:space="preserve"> (</w:t>
      </w:r>
      <w:r w:rsidR="00981309" w:rsidRPr="00595884">
        <w:rPr>
          <w:lang w:val="en-AU"/>
        </w:rPr>
        <w:t xml:space="preserve">includes split </w:t>
      </w:r>
      <w:r w:rsidR="00A46473" w:rsidRPr="00595884">
        <w:rPr>
          <w:lang w:val="en-AU"/>
        </w:rPr>
        <w:t>into sub-categories</w:t>
      </w:r>
      <w:r w:rsidR="00981309" w:rsidRPr="00595884">
        <w:rPr>
          <w:lang w:val="en-AU"/>
        </w:rPr>
        <w:t>)</w:t>
      </w:r>
      <w:r w:rsidR="00A46473" w:rsidRPr="00595884">
        <w:rPr>
          <w:lang w:val="en-AU"/>
        </w:rPr>
        <w:t xml:space="preserve"> and </w:t>
      </w:r>
      <w:r w:rsidRPr="00595884">
        <w:rPr>
          <w:lang w:val="en-AU"/>
        </w:rPr>
        <w:t>source</w:t>
      </w:r>
      <w:r w:rsidR="00981309" w:rsidRPr="00595884">
        <w:rPr>
          <w:lang w:val="en-AU"/>
        </w:rPr>
        <w:t xml:space="preserve">.  The classification was </w:t>
      </w:r>
      <w:r w:rsidR="00624382" w:rsidRPr="00595884">
        <w:rPr>
          <w:lang w:val="en-AU"/>
        </w:rPr>
        <w:t>performed</w:t>
      </w:r>
      <w:r w:rsidR="00981309" w:rsidRPr="00595884">
        <w:rPr>
          <w:lang w:val="en-AU"/>
        </w:rPr>
        <w:t xml:space="preserve"> to assist </w:t>
      </w:r>
      <w:r w:rsidR="001A02E6" w:rsidRPr="00595884">
        <w:rPr>
          <w:lang w:val="en-AU"/>
        </w:rPr>
        <w:t xml:space="preserve">in composing search </w:t>
      </w:r>
      <w:proofErr w:type="gramStart"/>
      <w:r w:rsidR="001A02E6" w:rsidRPr="00595884">
        <w:rPr>
          <w:lang w:val="en-AU"/>
        </w:rPr>
        <w:t>strings</w:t>
      </w:r>
      <w:r w:rsidR="00552F01" w:rsidRPr="00595884">
        <w:rPr>
          <w:lang w:val="en-AU"/>
        </w:rPr>
        <w:t>;</w:t>
      </w:r>
      <w:proofErr w:type="gramEnd"/>
    </w:p>
    <w:p w14:paraId="52E34DF4" w14:textId="21FA2C32" w:rsidR="00624382" w:rsidRPr="00595884" w:rsidRDefault="00274BC6" w:rsidP="00700FDF">
      <w:pPr>
        <w:pStyle w:val="ListParagraph"/>
        <w:numPr>
          <w:ilvl w:val="0"/>
          <w:numId w:val="13"/>
        </w:numPr>
        <w:ind w:left="714" w:hanging="357"/>
        <w:contextualSpacing/>
        <w:rPr>
          <w:lang w:val="en-AU"/>
        </w:rPr>
      </w:pPr>
      <w:r w:rsidRPr="00595884">
        <w:rPr>
          <w:lang w:val="en-AU"/>
        </w:rPr>
        <w:t xml:space="preserve">Development of search strings based on the </w:t>
      </w:r>
      <w:r w:rsidR="00AD2665" w:rsidRPr="00595884">
        <w:rPr>
          <w:lang w:val="en-AU"/>
        </w:rPr>
        <w:t xml:space="preserve">keywords </w:t>
      </w:r>
      <w:r w:rsidRPr="00595884">
        <w:rPr>
          <w:lang w:val="en-AU"/>
        </w:rPr>
        <w:t xml:space="preserve">and preparing combinations of strings to create search </w:t>
      </w:r>
      <w:proofErr w:type="gramStart"/>
      <w:r w:rsidRPr="00595884">
        <w:rPr>
          <w:lang w:val="en-AU"/>
        </w:rPr>
        <w:t>strategies</w:t>
      </w:r>
      <w:r w:rsidR="00951238" w:rsidRPr="00595884">
        <w:rPr>
          <w:lang w:val="en-AU"/>
        </w:rPr>
        <w:t>;</w:t>
      </w:r>
      <w:proofErr w:type="gramEnd"/>
    </w:p>
    <w:p w14:paraId="5CC67D5E" w14:textId="3AA7DB19" w:rsidR="00624382" w:rsidRPr="00595884" w:rsidRDefault="00274BC6" w:rsidP="00700FDF">
      <w:pPr>
        <w:pStyle w:val="ListParagraph"/>
        <w:numPr>
          <w:ilvl w:val="0"/>
          <w:numId w:val="13"/>
        </w:numPr>
        <w:ind w:left="714" w:hanging="357"/>
        <w:contextualSpacing/>
        <w:rPr>
          <w:lang w:val="en-AU"/>
        </w:rPr>
      </w:pPr>
      <w:bookmarkStart w:id="30" w:name="_Hlk64280812"/>
      <w:r w:rsidRPr="00595884">
        <w:rPr>
          <w:lang w:val="en-AU"/>
        </w:rPr>
        <w:t xml:space="preserve">Using the composed search strategies to search key life-science literature databases (Scopus, Web of Science, PubMed) and the general technical literature database, Google </w:t>
      </w:r>
      <w:proofErr w:type="gramStart"/>
      <w:r w:rsidRPr="00595884">
        <w:rPr>
          <w:lang w:val="en-AU"/>
        </w:rPr>
        <w:t>Scholar</w:t>
      </w:r>
      <w:r w:rsidR="00951238" w:rsidRPr="00595884">
        <w:rPr>
          <w:lang w:val="en-AU"/>
        </w:rPr>
        <w:t>;</w:t>
      </w:r>
      <w:proofErr w:type="gramEnd"/>
    </w:p>
    <w:p w14:paraId="0A52B59B" w14:textId="670C646B" w:rsidR="00552F01" w:rsidRPr="00595884" w:rsidRDefault="00274BC6" w:rsidP="00700FDF">
      <w:pPr>
        <w:pStyle w:val="ListParagraph"/>
        <w:numPr>
          <w:ilvl w:val="0"/>
          <w:numId w:val="13"/>
        </w:numPr>
        <w:ind w:left="714" w:hanging="357"/>
        <w:contextualSpacing/>
        <w:rPr>
          <w:lang w:val="en-AU"/>
        </w:rPr>
      </w:pPr>
      <w:r w:rsidRPr="00595884">
        <w:rPr>
          <w:lang w:val="en-AU"/>
        </w:rPr>
        <w:t xml:space="preserve">In addition to the above literature, a search of </w:t>
      </w:r>
      <w:r w:rsidR="00CF65D3">
        <w:rPr>
          <w:lang w:val="en-AU"/>
        </w:rPr>
        <w:t>g</w:t>
      </w:r>
      <w:r w:rsidRPr="00595884">
        <w:rPr>
          <w:lang w:val="en-AU"/>
        </w:rPr>
        <w:t xml:space="preserve">rey </w:t>
      </w:r>
      <w:r w:rsidR="00CF65D3">
        <w:rPr>
          <w:lang w:val="en-AU"/>
        </w:rPr>
        <w:t>l</w:t>
      </w:r>
      <w:r w:rsidRPr="00595884">
        <w:rPr>
          <w:lang w:val="en-AU"/>
        </w:rPr>
        <w:t>iterature</w:t>
      </w:r>
      <w:r w:rsidR="00A74EF8" w:rsidRPr="00595884">
        <w:rPr>
          <w:lang w:val="en-AU"/>
        </w:rPr>
        <w:t>, including existing recreational water quality guidelines and/or reports,</w:t>
      </w:r>
      <w:r w:rsidRPr="00595884">
        <w:rPr>
          <w:lang w:val="en-AU"/>
        </w:rPr>
        <w:t xml:space="preserve"> </w:t>
      </w:r>
      <w:r w:rsidR="00951238" w:rsidRPr="00595884">
        <w:rPr>
          <w:lang w:val="en-AU"/>
        </w:rPr>
        <w:t>was undertaken</w:t>
      </w:r>
      <w:r w:rsidR="008A40F2">
        <w:rPr>
          <w:lang w:val="en-AU"/>
        </w:rPr>
        <w:t>. This was</w:t>
      </w:r>
      <w:r w:rsidR="00951238" w:rsidRPr="00595884">
        <w:rPr>
          <w:lang w:val="en-AU"/>
        </w:rPr>
        <w:t xml:space="preserve"> </w:t>
      </w:r>
      <w:r w:rsidR="009B797A" w:rsidRPr="00595884">
        <w:rPr>
          <w:lang w:val="en-AU"/>
        </w:rPr>
        <w:t>based on</w:t>
      </w:r>
      <w:r w:rsidR="00951238" w:rsidRPr="00595884">
        <w:rPr>
          <w:lang w:val="en-AU"/>
        </w:rPr>
        <w:t xml:space="preserve"> a list provided by </w:t>
      </w:r>
      <w:r w:rsidR="00AC10FC">
        <w:rPr>
          <w:lang w:val="en-AU"/>
        </w:rPr>
        <w:t>the Committee</w:t>
      </w:r>
      <w:r w:rsidR="004E62EC" w:rsidRPr="00595884">
        <w:rPr>
          <w:lang w:val="en-AU"/>
        </w:rPr>
        <w:t xml:space="preserve"> </w:t>
      </w:r>
      <w:r w:rsidR="009B797A" w:rsidRPr="00595884">
        <w:rPr>
          <w:lang w:val="en-AU"/>
        </w:rPr>
        <w:t xml:space="preserve">plus a search </w:t>
      </w:r>
      <w:r w:rsidR="003337DD" w:rsidRPr="00595884">
        <w:rPr>
          <w:lang w:val="en-AU"/>
        </w:rPr>
        <w:t>of</w:t>
      </w:r>
      <w:r w:rsidR="009B797A" w:rsidRPr="00595884">
        <w:rPr>
          <w:lang w:val="en-AU"/>
        </w:rPr>
        <w:t xml:space="preserve"> websites of key international </w:t>
      </w:r>
      <w:r w:rsidR="003337DD" w:rsidRPr="00595884">
        <w:rPr>
          <w:lang w:val="en-AU"/>
        </w:rPr>
        <w:t>environmental and public health agencies e.g., W</w:t>
      </w:r>
      <w:r w:rsidR="0063091E">
        <w:rPr>
          <w:lang w:val="en-AU"/>
        </w:rPr>
        <w:t xml:space="preserve">orld </w:t>
      </w:r>
      <w:r w:rsidR="003337DD" w:rsidRPr="00595884">
        <w:rPr>
          <w:lang w:val="en-AU"/>
        </w:rPr>
        <w:t>H</w:t>
      </w:r>
      <w:r w:rsidR="0063091E">
        <w:rPr>
          <w:lang w:val="en-AU"/>
        </w:rPr>
        <w:t xml:space="preserve">ealth </w:t>
      </w:r>
      <w:r w:rsidR="003337DD" w:rsidRPr="00595884">
        <w:rPr>
          <w:lang w:val="en-AU"/>
        </w:rPr>
        <w:t>O</w:t>
      </w:r>
      <w:r w:rsidR="0063091E">
        <w:rPr>
          <w:lang w:val="en-AU"/>
        </w:rPr>
        <w:t>rganization</w:t>
      </w:r>
      <w:r w:rsidR="00A12429">
        <w:rPr>
          <w:lang w:val="en-AU"/>
        </w:rPr>
        <w:t xml:space="preserve"> (WHO)</w:t>
      </w:r>
      <w:r w:rsidR="003337DD" w:rsidRPr="00595884">
        <w:rPr>
          <w:lang w:val="en-AU"/>
        </w:rPr>
        <w:t>, U</w:t>
      </w:r>
      <w:r w:rsidR="0063091E">
        <w:rPr>
          <w:lang w:val="en-AU"/>
        </w:rPr>
        <w:t xml:space="preserve">nited </w:t>
      </w:r>
      <w:r w:rsidR="003337DD" w:rsidRPr="00595884">
        <w:rPr>
          <w:lang w:val="en-AU"/>
        </w:rPr>
        <w:t>S</w:t>
      </w:r>
      <w:r w:rsidR="0063091E">
        <w:rPr>
          <w:lang w:val="en-AU"/>
        </w:rPr>
        <w:t>tates</w:t>
      </w:r>
      <w:r w:rsidR="003337DD" w:rsidRPr="00595884">
        <w:rPr>
          <w:lang w:val="en-AU"/>
        </w:rPr>
        <w:t xml:space="preserve"> E</w:t>
      </w:r>
      <w:r w:rsidR="0063091E">
        <w:rPr>
          <w:lang w:val="en-AU"/>
        </w:rPr>
        <w:t xml:space="preserve">nvironment </w:t>
      </w:r>
      <w:r w:rsidR="003337DD" w:rsidRPr="00595884">
        <w:rPr>
          <w:lang w:val="en-AU"/>
        </w:rPr>
        <w:t>P</w:t>
      </w:r>
      <w:r w:rsidR="0063091E">
        <w:rPr>
          <w:lang w:val="en-AU"/>
        </w:rPr>
        <w:t xml:space="preserve">rotection </w:t>
      </w:r>
      <w:r w:rsidR="003337DD" w:rsidRPr="00595884">
        <w:rPr>
          <w:lang w:val="en-AU"/>
        </w:rPr>
        <w:t>A</w:t>
      </w:r>
      <w:r w:rsidR="0063091E">
        <w:rPr>
          <w:lang w:val="en-AU"/>
        </w:rPr>
        <w:t>gency</w:t>
      </w:r>
      <w:r w:rsidR="003337DD" w:rsidRPr="00595884">
        <w:rPr>
          <w:lang w:val="en-AU"/>
        </w:rPr>
        <w:t xml:space="preserve"> </w:t>
      </w:r>
      <w:r w:rsidR="00A12429">
        <w:rPr>
          <w:lang w:val="en-AU"/>
        </w:rPr>
        <w:t>(US EPA</w:t>
      </w:r>
      <w:proofErr w:type="gramStart"/>
      <w:r w:rsidR="00A12429">
        <w:rPr>
          <w:lang w:val="en-AU"/>
        </w:rPr>
        <w:t>)</w:t>
      </w:r>
      <w:r w:rsidR="00951238" w:rsidRPr="00595884">
        <w:rPr>
          <w:lang w:val="en-AU"/>
        </w:rPr>
        <w:t>;</w:t>
      </w:r>
      <w:proofErr w:type="gramEnd"/>
      <w:r w:rsidR="00951238" w:rsidRPr="00595884">
        <w:rPr>
          <w:lang w:val="en-AU"/>
        </w:rPr>
        <w:t xml:space="preserve"> </w:t>
      </w:r>
    </w:p>
    <w:p w14:paraId="30907BED" w14:textId="60854050" w:rsidR="00951238" w:rsidRPr="00595884" w:rsidRDefault="00274BC6" w:rsidP="00700FDF">
      <w:pPr>
        <w:pStyle w:val="ListParagraph"/>
        <w:numPr>
          <w:ilvl w:val="0"/>
          <w:numId w:val="13"/>
        </w:numPr>
        <w:ind w:left="714" w:hanging="357"/>
        <w:contextualSpacing/>
        <w:rPr>
          <w:lang w:val="en-AU"/>
        </w:rPr>
      </w:pPr>
      <w:r w:rsidRPr="00595884">
        <w:rPr>
          <w:lang w:val="en-AU"/>
        </w:rPr>
        <w:t xml:space="preserve">Lists of </w:t>
      </w:r>
      <w:r w:rsidR="003A4338" w:rsidRPr="00595884">
        <w:rPr>
          <w:lang w:val="en-AU"/>
        </w:rPr>
        <w:t>citations</w:t>
      </w:r>
      <w:r w:rsidRPr="00595884">
        <w:rPr>
          <w:lang w:val="en-AU"/>
        </w:rPr>
        <w:t xml:space="preserve"> were exported to Microsoft Excel spreadsheets and sorted and filtered based on relevancy and quality, including risk of </w:t>
      </w:r>
      <w:proofErr w:type="gramStart"/>
      <w:r w:rsidRPr="00595884">
        <w:rPr>
          <w:lang w:val="en-AU"/>
        </w:rPr>
        <w:t>bias</w:t>
      </w:r>
      <w:r w:rsidR="003A4338" w:rsidRPr="00595884">
        <w:rPr>
          <w:lang w:val="en-AU"/>
        </w:rPr>
        <w:t>;</w:t>
      </w:r>
      <w:proofErr w:type="gramEnd"/>
      <w:r w:rsidRPr="00595884">
        <w:rPr>
          <w:lang w:val="en-AU"/>
        </w:rPr>
        <w:t xml:space="preserve">  </w:t>
      </w:r>
    </w:p>
    <w:p w14:paraId="425EA783" w14:textId="77777777" w:rsidR="00E1454C" w:rsidRPr="00595884" w:rsidRDefault="00274BC6" w:rsidP="00700FDF">
      <w:pPr>
        <w:pStyle w:val="ListParagraph"/>
        <w:numPr>
          <w:ilvl w:val="0"/>
          <w:numId w:val="13"/>
        </w:numPr>
        <w:ind w:left="714" w:hanging="357"/>
        <w:contextualSpacing/>
        <w:rPr>
          <w:lang w:val="en-AU"/>
        </w:rPr>
      </w:pPr>
      <w:r w:rsidRPr="00595884">
        <w:rPr>
          <w:lang w:val="en-AU"/>
        </w:rPr>
        <w:t>Shortlisted literature was imported from Excel into a bibliographic software package (Zotero) for management of associated full text PDF documents and for reporting on the results of the literature search.</w:t>
      </w:r>
    </w:p>
    <w:p w14:paraId="6AE63ABF" w14:textId="030A6F5B" w:rsidR="000C4246" w:rsidRPr="00595884" w:rsidRDefault="00274BC6" w:rsidP="00700FDF">
      <w:pPr>
        <w:pStyle w:val="ListParagraph"/>
        <w:numPr>
          <w:ilvl w:val="0"/>
          <w:numId w:val="13"/>
        </w:numPr>
        <w:ind w:left="714" w:hanging="357"/>
        <w:contextualSpacing/>
        <w:rPr>
          <w:lang w:val="en-AU"/>
        </w:rPr>
      </w:pPr>
      <w:r w:rsidRPr="00595884">
        <w:rPr>
          <w:lang w:val="en-AU"/>
        </w:rPr>
        <w:t xml:space="preserve">The shortlisted literature was subject to further screening during the quality assessment steps </w:t>
      </w:r>
    </w:p>
    <w:p w14:paraId="0D6748F2" w14:textId="77777777" w:rsidR="005928B8" w:rsidRPr="00595884" w:rsidRDefault="00274BC6" w:rsidP="00CC4383">
      <w:pPr>
        <w:pStyle w:val="Heading3"/>
      </w:pPr>
      <w:bookmarkStart w:id="31" w:name="_Toc106811114"/>
      <w:bookmarkEnd w:id="30"/>
      <w:r w:rsidRPr="00595884">
        <w:t>Inclusion and exclusion criteria</w:t>
      </w:r>
      <w:bookmarkEnd w:id="31"/>
    </w:p>
    <w:p w14:paraId="07E7FEF9" w14:textId="27E3E277" w:rsidR="00CC179E" w:rsidRPr="00595884" w:rsidRDefault="00274BC6" w:rsidP="003C605F">
      <w:r w:rsidRPr="00595884">
        <w:t xml:space="preserve">When conducting the literature search exercise, the </w:t>
      </w:r>
      <w:r w:rsidR="005928B8" w:rsidRPr="00595884">
        <w:t>c</w:t>
      </w:r>
      <w:r w:rsidRPr="00595884">
        <w:t xml:space="preserve">riteria for </w:t>
      </w:r>
      <w:r w:rsidR="005928B8" w:rsidRPr="00595884">
        <w:t>literature i</w:t>
      </w:r>
      <w:r w:rsidRPr="00595884">
        <w:t>nclusion</w:t>
      </w:r>
      <w:r w:rsidR="005928B8" w:rsidRPr="00595884">
        <w:t xml:space="preserve"> or </w:t>
      </w:r>
      <w:r w:rsidRPr="00595884">
        <w:t xml:space="preserve">exclusion </w:t>
      </w:r>
      <w:r w:rsidR="005928B8" w:rsidRPr="00595884">
        <w:t>we</w:t>
      </w:r>
      <w:r w:rsidRPr="00595884">
        <w:t>re:</w:t>
      </w:r>
    </w:p>
    <w:p w14:paraId="68295418" w14:textId="454F6DB2" w:rsidR="00CC179E" w:rsidRPr="00595884" w:rsidRDefault="00274BC6" w:rsidP="00700FDF">
      <w:pPr>
        <w:pStyle w:val="ListParagraph"/>
        <w:numPr>
          <w:ilvl w:val="0"/>
          <w:numId w:val="12"/>
        </w:numPr>
        <w:ind w:left="714" w:hanging="357"/>
        <w:contextualSpacing/>
        <w:rPr>
          <w:lang w:val="en-AU"/>
        </w:rPr>
      </w:pPr>
      <w:r>
        <w:rPr>
          <w:lang w:val="en-AU"/>
        </w:rPr>
        <w:t xml:space="preserve">Only studies in </w:t>
      </w:r>
      <w:r w:rsidRPr="00595884">
        <w:rPr>
          <w:lang w:val="en-AU"/>
        </w:rPr>
        <w:t>English language</w:t>
      </w:r>
      <w:r w:rsidR="00837A7A" w:rsidRPr="00595884">
        <w:rPr>
          <w:lang w:val="en-AU"/>
        </w:rPr>
        <w:t xml:space="preserve"> were included</w:t>
      </w:r>
      <w:r w:rsidR="002F4DF5">
        <w:rPr>
          <w:lang w:val="en-AU"/>
        </w:rPr>
        <w:t>.</w:t>
      </w:r>
    </w:p>
    <w:p w14:paraId="0E4CD511" w14:textId="71DC5243" w:rsidR="00837A7A" w:rsidRPr="00595884" w:rsidRDefault="00274BC6" w:rsidP="00700FDF">
      <w:pPr>
        <w:pStyle w:val="ListParagraph"/>
        <w:numPr>
          <w:ilvl w:val="0"/>
          <w:numId w:val="12"/>
        </w:numPr>
        <w:ind w:left="714" w:hanging="357"/>
        <w:contextualSpacing/>
        <w:rPr>
          <w:lang w:val="en-AU"/>
        </w:rPr>
      </w:pPr>
      <w:r>
        <w:rPr>
          <w:lang w:val="en-AU"/>
        </w:rPr>
        <w:t>Only studies with h</w:t>
      </w:r>
      <w:r w:rsidR="00CC179E" w:rsidRPr="00595884">
        <w:rPr>
          <w:lang w:val="en-AU"/>
        </w:rPr>
        <w:t xml:space="preserve">uman health outcomes </w:t>
      </w:r>
      <w:r w:rsidRPr="00595884">
        <w:rPr>
          <w:lang w:val="en-AU"/>
        </w:rPr>
        <w:t>were included</w:t>
      </w:r>
      <w:r w:rsidR="00341B94">
        <w:rPr>
          <w:lang w:val="en-AU"/>
        </w:rPr>
        <w:t xml:space="preserve"> for health-related research questions</w:t>
      </w:r>
      <w:r w:rsidR="002F4DF5">
        <w:rPr>
          <w:lang w:val="en-AU"/>
        </w:rPr>
        <w:t>.</w:t>
      </w:r>
    </w:p>
    <w:p w14:paraId="5D8663AE" w14:textId="008DF3C5" w:rsidR="00CC179E" w:rsidRPr="00595884" w:rsidRDefault="00274BC6" w:rsidP="00700FDF">
      <w:pPr>
        <w:pStyle w:val="ListParagraph"/>
        <w:numPr>
          <w:ilvl w:val="0"/>
          <w:numId w:val="12"/>
        </w:numPr>
        <w:ind w:left="714" w:hanging="357"/>
        <w:contextualSpacing/>
        <w:rPr>
          <w:lang w:val="en-AU"/>
        </w:rPr>
      </w:pPr>
      <w:r>
        <w:rPr>
          <w:lang w:val="en-AU"/>
        </w:rPr>
        <w:t>The p</w:t>
      </w:r>
      <w:r w:rsidRPr="00595884">
        <w:rPr>
          <w:lang w:val="en-AU"/>
        </w:rPr>
        <w:t>ublication d</w:t>
      </w:r>
      <w:r w:rsidR="008D38B5" w:rsidRPr="00595884">
        <w:rPr>
          <w:lang w:val="en-AU"/>
        </w:rPr>
        <w:t>a</w:t>
      </w:r>
      <w:r w:rsidRPr="00595884">
        <w:rPr>
          <w:lang w:val="en-AU"/>
        </w:rPr>
        <w:t>te</w:t>
      </w:r>
      <w:r w:rsidR="008D38B5" w:rsidRPr="00595884">
        <w:rPr>
          <w:lang w:val="en-AU"/>
        </w:rPr>
        <w:t>-</w:t>
      </w:r>
      <w:r w:rsidRPr="00595884">
        <w:rPr>
          <w:lang w:val="en-AU"/>
        </w:rPr>
        <w:t>range</w:t>
      </w:r>
      <w:r w:rsidR="00837A7A" w:rsidRPr="00595884">
        <w:rPr>
          <w:lang w:val="en-AU"/>
        </w:rPr>
        <w:t xml:space="preserve"> for inclusion was</w:t>
      </w:r>
      <w:r w:rsidRPr="00595884">
        <w:rPr>
          <w:lang w:val="en-AU"/>
        </w:rPr>
        <w:t xml:space="preserve"> from </w:t>
      </w:r>
      <w:r w:rsidR="001E4CD0">
        <w:rPr>
          <w:lang w:val="en-AU"/>
        </w:rPr>
        <w:t xml:space="preserve">1 </w:t>
      </w:r>
      <w:r w:rsidR="002F4DF5" w:rsidRPr="002F4DF5">
        <w:rPr>
          <w:lang w:val="en-AU"/>
        </w:rPr>
        <w:t>January</w:t>
      </w:r>
      <w:r w:rsidR="00BD7E9F" w:rsidRPr="002F4DF5">
        <w:rPr>
          <w:lang w:val="en-AU"/>
        </w:rPr>
        <w:t xml:space="preserve"> 2003</w:t>
      </w:r>
      <w:r w:rsidR="002F4DF5" w:rsidRPr="002F4DF5">
        <w:rPr>
          <w:lang w:val="en-AU"/>
        </w:rPr>
        <w:t xml:space="preserve"> </w:t>
      </w:r>
      <w:r w:rsidR="002F4DF5">
        <w:rPr>
          <w:lang w:val="en-AU"/>
        </w:rPr>
        <w:t>to</w:t>
      </w:r>
      <w:r w:rsidR="002F4DF5" w:rsidRPr="002F4DF5">
        <w:rPr>
          <w:lang w:val="en-AU"/>
        </w:rPr>
        <w:t xml:space="preserve"> 30 October 2020</w:t>
      </w:r>
      <w:r w:rsidR="002F4DF5">
        <w:rPr>
          <w:lang w:val="en-AU"/>
        </w:rPr>
        <w:t>.</w:t>
      </w:r>
    </w:p>
    <w:p w14:paraId="07AB052C" w14:textId="60CD7C98" w:rsidR="00CC179E" w:rsidRPr="00595884" w:rsidRDefault="00274BC6" w:rsidP="00700FDF">
      <w:pPr>
        <w:pStyle w:val="ListParagraph"/>
        <w:numPr>
          <w:ilvl w:val="0"/>
          <w:numId w:val="12"/>
        </w:numPr>
        <w:ind w:left="714" w:hanging="357"/>
        <w:contextualSpacing/>
        <w:rPr>
          <w:lang w:val="en-AU"/>
        </w:rPr>
      </w:pPr>
      <w:r>
        <w:rPr>
          <w:lang w:val="en-AU"/>
        </w:rPr>
        <w:t>Only p</w:t>
      </w:r>
      <w:r w:rsidRPr="00595884">
        <w:rPr>
          <w:lang w:val="en-AU"/>
        </w:rPr>
        <w:t xml:space="preserve">eer reviewed publications </w:t>
      </w:r>
      <w:r w:rsidR="00482FBB" w:rsidRPr="00595884">
        <w:rPr>
          <w:lang w:val="en-AU"/>
        </w:rPr>
        <w:t>were considered,</w:t>
      </w:r>
      <w:r w:rsidRPr="00595884">
        <w:rPr>
          <w:lang w:val="en-AU"/>
        </w:rPr>
        <w:t xml:space="preserve"> </w:t>
      </w:r>
      <w:r w:rsidR="00482FBB" w:rsidRPr="00595884">
        <w:rPr>
          <w:lang w:val="en-AU"/>
        </w:rPr>
        <w:t>except for</w:t>
      </w:r>
      <w:r w:rsidRPr="00595884">
        <w:rPr>
          <w:lang w:val="en-AU"/>
        </w:rPr>
        <w:t xml:space="preserve"> certain grey literature reports and guidelines from reputable international and national agencies (</w:t>
      </w:r>
      <w:r w:rsidR="00133058" w:rsidRPr="00595884">
        <w:rPr>
          <w:lang w:val="en-AU"/>
        </w:rPr>
        <w:t>e.g.,</w:t>
      </w:r>
      <w:r w:rsidRPr="00595884">
        <w:rPr>
          <w:lang w:val="en-AU"/>
        </w:rPr>
        <w:t xml:space="preserve"> WHO, US EPA, State and Commonwealth Departments of Health, State EPAs)</w:t>
      </w:r>
      <w:r w:rsidR="00E1454C" w:rsidRPr="00595884">
        <w:rPr>
          <w:lang w:val="en-AU"/>
        </w:rPr>
        <w:t>.</w:t>
      </w:r>
    </w:p>
    <w:p w14:paraId="33ED6DD5" w14:textId="32B0E229" w:rsidR="00191738" w:rsidRPr="00595884" w:rsidRDefault="00274BC6" w:rsidP="00700FDF">
      <w:pPr>
        <w:pStyle w:val="ListParagraph"/>
        <w:numPr>
          <w:ilvl w:val="0"/>
          <w:numId w:val="12"/>
        </w:numPr>
        <w:ind w:left="714" w:hanging="357"/>
        <w:contextualSpacing/>
        <w:rPr>
          <w:lang w:val="en-AU"/>
        </w:rPr>
      </w:pPr>
      <w:r w:rsidRPr="00595884">
        <w:rPr>
          <w:lang w:val="en-AU"/>
        </w:rPr>
        <w:t xml:space="preserve">Studies of biotoxins e.g. cyanotoxins, endotoxins were excluded as </w:t>
      </w:r>
      <w:r w:rsidR="00F2419B">
        <w:rPr>
          <w:lang w:val="en-AU"/>
        </w:rPr>
        <w:t xml:space="preserve">most of </w:t>
      </w:r>
      <w:r w:rsidRPr="00595884">
        <w:rPr>
          <w:lang w:val="en-AU"/>
        </w:rPr>
        <w:t xml:space="preserve">these are being dealt with via the related </w:t>
      </w:r>
      <w:r w:rsidR="00B74E20">
        <w:rPr>
          <w:lang w:val="en-AU"/>
        </w:rPr>
        <w:t>C</w:t>
      </w:r>
      <w:r w:rsidR="006F6992" w:rsidRPr="00595884">
        <w:rPr>
          <w:lang w:val="en-AU"/>
        </w:rPr>
        <w:t>yanobacteria</w:t>
      </w:r>
      <w:r w:rsidR="00B74E20">
        <w:rPr>
          <w:lang w:val="en-AU"/>
        </w:rPr>
        <w:t xml:space="preserve"> and Algae</w:t>
      </w:r>
      <w:r w:rsidR="006F6992" w:rsidRPr="00595884">
        <w:rPr>
          <w:lang w:val="en-AU"/>
        </w:rPr>
        <w:t xml:space="preserve"> </w:t>
      </w:r>
      <w:r w:rsidRPr="00595884">
        <w:rPr>
          <w:lang w:val="en-AU"/>
        </w:rPr>
        <w:t>review being conducted for NHMRC.</w:t>
      </w:r>
    </w:p>
    <w:p w14:paraId="14D25239" w14:textId="4631BD9E" w:rsidR="00191738" w:rsidRPr="00595884" w:rsidRDefault="00274BC6" w:rsidP="00700FDF">
      <w:pPr>
        <w:pStyle w:val="ListParagraph"/>
        <w:numPr>
          <w:ilvl w:val="0"/>
          <w:numId w:val="12"/>
        </w:numPr>
        <w:ind w:left="714" w:hanging="357"/>
        <w:contextualSpacing/>
        <w:rPr>
          <w:lang w:val="en-AU"/>
        </w:rPr>
      </w:pPr>
      <w:r w:rsidRPr="00595884">
        <w:rPr>
          <w:lang w:val="en-AU"/>
        </w:rPr>
        <w:t>Studies investigating illnesses acquired from</w:t>
      </w:r>
      <w:r w:rsidR="00F634F5">
        <w:rPr>
          <w:lang w:val="en-AU"/>
        </w:rPr>
        <w:t xml:space="preserve"> chemically</w:t>
      </w:r>
      <w:r w:rsidRPr="00595884">
        <w:rPr>
          <w:lang w:val="en-AU"/>
        </w:rPr>
        <w:t xml:space="preserve"> treated recreational water (e.g. swimming pools, spas, hot tubs) were excluded</w:t>
      </w:r>
      <w:r w:rsidR="003A4338" w:rsidRPr="00595884">
        <w:rPr>
          <w:lang w:val="en-AU"/>
        </w:rPr>
        <w:t xml:space="preserve"> as such facilities were beyond the </w:t>
      </w:r>
      <w:r w:rsidR="00F634F5">
        <w:rPr>
          <w:lang w:val="en-AU"/>
        </w:rPr>
        <w:t>guideline</w:t>
      </w:r>
      <w:r w:rsidR="003233B9">
        <w:rPr>
          <w:lang w:val="en-AU"/>
        </w:rPr>
        <w:t>/review</w:t>
      </w:r>
      <w:r w:rsidR="00F634F5" w:rsidRPr="00595884">
        <w:rPr>
          <w:lang w:val="en-AU"/>
        </w:rPr>
        <w:t xml:space="preserve"> </w:t>
      </w:r>
      <w:r w:rsidR="003A4338" w:rsidRPr="00595884">
        <w:rPr>
          <w:lang w:val="en-AU"/>
        </w:rPr>
        <w:t>scope</w:t>
      </w:r>
      <w:r w:rsidRPr="00595884">
        <w:rPr>
          <w:lang w:val="en-AU"/>
        </w:rPr>
        <w:t>.</w:t>
      </w:r>
    </w:p>
    <w:p w14:paraId="63A906C2" w14:textId="7D443900" w:rsidR="00191738" w:rsidRPr="00595884" w:rsidRDefault="00274BC6" w:rsidP="00700FDF">
      <w:pPr>
        <w:pStyle w:val="ListParagraph"/>
        <w:numPr>
          <w:ilvl w:val="0"/>
          <w:numId w:val="12"/>
        </w:numPr>
        <w:ind w:left="714" w:hanging="357"/>
        <w:contextualSpacing/>
        <w:rPr>
          <w:lang w:val="en-AU"/>
        </w:rPr>
      </w:pPr>
      <w:r w:rsidRPr="00595884">
        <w:rPr>
          <w:lang w:val="en-AU"/>
        </w:rPr>
        <w:t xml:space="preserve">Studies of health outcomes </w:t>
      </w:r>
      <w:proofErr w:type="gramStart"/>
      <w:r w:rsidRPr="00595884">
        <w:rPr>
          <w:lang w:val="en-AU"/>
        </w:rPr>
        <w:t>as a result of</w:t>
      </w:r>
      <w:proofErr w:type="gramEnd"/>
      <w:r w:rsidRPr="00595884">
        <w:rPr>
          <w:lang w:val="en-AU"/>
        </w:rPr>
        <w:t xml:space="preserve"> domestic exposure (e.g. drinking water or water used for washing) or occupational exposure to natural waters were excluded</w:t>
      </w:r>
      <w:r w:rsidR="003A4338" w:rsidRPr="00595884">
        <w:rPr>
          <w:lang w:val="en-AU"/>
        </w:rPr>
        <w:t xml:space="preserve"> as they were beyond the </w:t>
      </w:r>
      <w:r w:rsidR="003233B9">
        <w:rPr>
          <w:lang w:val="en-AU"/>
        </w:rPr>
        <w:t>guideline/review</w:t>
      </w:r>
      <w:r w:rsidR="003233B9" w:rsidRPr="00595884">
        <w:rPr>
          <w:lang w:val="en-AU"/>
        </w:rPr>
        <w:t xml:space="preserve"> </w:t>
      </w:r>
      <w:r w:rsidR="003A4338" w:rsidRPr="00595884">
        <w:rPr>
          <w:lang w:val="en-AU"/>
        </w:rPr>
        <w:t>scope</w:t>
      </w:r>
    </w:p>
    <w:p w14:paraId="1D51E71D" w14:textId="7F59A200" w:rsidR="00191738" w:rsidRPr="00595884" w:rsidRDefault="00274BC6" w:rsidP="00700FDF">
      <w:pPr>
        <w:pStyle w:val="ListParagraph"/>
        <w:numPr>
          <w:ilvl w:val="0"/>
          <w:numId w:val="12"/>
        </w:numPr>
        <w:ind w:left="714" w:hanging="357"/>
        <w:contextualSpacing/>
        <w:rPr>
          <w:lang w:val="en-AU"/>
        </w:rPr>
      </w:pPr>
      <w:r w:rsidRPr="00595884">
        <w:rPr>
          <w:lang w:val="en-AU"/>
        </w:rPr>
        <w:t>Relevancy –</w:t>
      </w:r>
      <w:r w:rsidR="00352C45">
        <w:rPr>
          <w:lang w:val="en-AU"/>
        </w:rPr>
        <w:t xml:space="preserve"> </w:t>
      </w:r>
      <w:r w:rsidRPr="00595884">
        <w:rPr>
          <w:lang w:val="en-AU"/>
        </w:rPr>
        <w:t xml:space="preserve">studies </w:t>
      </w:r>
      <w:r w:rsidR="00A1756C">
        <w:rPr>
          <w:lang w:val="en-AU"/>
        </w:rPr>
        <w:t xml:space="preserve">that were irrelevant to the research questions and guideline/review scope </w:t>
      </w:r>
      <w:r w:rsidRPr="00595884">
        <w:rPr>
          <w:lang w:val="en-AU"/>
        </w:rPr>
        <w:t>were excluded, e.g., studies on dental hygiene.</w:t>
      </w:r>
    </w:p>
    <w:p w14:paraId="51A507C1" w14:textId="587627B6" w:rsidR="00CC179E" w:rsidRPr="00595884" w:rsidRDefault="00274BC6" w:rsidP="003C605F">
      <w:r w:rsidRPr="00595884">
        <w:t xml:space="preserve">Apart from </w:t>
      </w:r>
      <w:r w:rsidR="008D38B5" w:rsidRPr="00595884">
        <w:t>the</w:t>
      </w:r>
      <w:r w:rsidRPr="00595884">
        <w:t xml:space="preserve"> exclusions listed above, all </w:t>
      </w:r>
      <w:r w:rsidR="00F736E0">
        <w:t xml:space="preserve">other </w:t>
      </w:r>
      <w:r w:rsidRPr="00595884">
        <w:t>study types were included (e.g., local and international surveys; peer-reviewed publications or government reports</w:t>
      </w:r>
      <w:r w:rsidR="008D38B5" w:rsidRPr="00595884">
        <w:t xml:space="preserve"> or </w:t>
      </w:r>
      <w:r w:rsidRPr="00595884">
        <w:t>guidelines for indicators).</w:t>
      </w:r>
      <w:r w:rsidR="008D38B5" w:rsidRPr="00595884">
        <w:t xml:space="preserve">  The resulting list of studies was subject to further screening and filtering based on more refined criteria for quality as described in </w:t>
      </w:r>
      <w:r w:rsidRPr="00595884">
        <w:t xml:space="preserve">Section </w:t>
      </w:r>
      <w:r w:rsidRPr="00595884">
        <w:fldChar w:fldCharType="begin"/>
      </w:r>
      <w:r w:rsidRPr="00595884">
        <w:instrText xml:space="preserve"> REF _Ref43479810 \r \h  \* MERGEFORMAT </w:instrText>
      </w:r>
      <w:r w:rsidRPr="00595884">
        <w:fldChar w:fldCharType="separate"/>
      </w:r>
      <w:r w:rsidR="003132AF">
        <w:t>2.5</w:t>
      </w:r>
      <w:r w:rsidRPr="00595884">
        <w:fldChar w:fldCharType="end"/>
      </w:r>
      <w:r w:rsidR="008D38B5" w:rsidRPr="00595884">
        <w:t xml:space="preserve"> below</w:t>
      </w:r>
      <w:r w:rsidRPr="00595884">
        <w:t>.</w:t>
      </w:r>
    </w:p>
    <w:p w14:paraId="017F8495" w14:textId="6F249B94" w:rsidR="00F36139" w:rsidRPr="00595884" w:rsidRDefault="00274BC6" w:rsidP="00D95B6A">
      <w:pPr>
        <w:pStyle w:val="Heading2"/>
      </w:pPr>
      <w:bookmarkStart w:id="32" w:name="_Toc106811115"/>
      <w:bookmarkStart w:id="33" w:name="_Ref42960069"/>
      <w:bookmarkStart w:id="34" w:name="_Ref43479810"/>
      <w:r w:rsidRPr="00595884">
        <w:t xml:space="preserve">Evidence </w:t>
      </w:r>
      <w:r w:rsidR="00F97FB8">
        <w:t>C</w:t>
      </w:r>
      <w:r w:rsidRPr="00595884">
        <w:t>ollection</w:t>
      </w:r>
      <w:bookmarkEnd w:id="32"/>
    </w:p>
    <w:p w14:paraId="7FF5DDFB" w14:textId="640DF6A0" w:rsidR="006A0DF9" w:rsidRPr="00595884" w:rsidRDefault="00274BC6" w:rsidP="006A0DF9">
      <w:pPr>
        <w:pStyle w:val="Heading3"/>
      </w:pPr>
      <w:bookmarkStart w:id="35" w:name="_Ref71193059"/>
      <w:bookmarkStart w:id="36" w:name="_Toc106811116"/>
      <w:r w:rsidRPr="00595884">
        <w:t>Classification of the evidence</w:t>
      </w:r>
      <w:bookmarkEnd w:id="35"/>
      <w:bookmarkEnd w:id="36"/>
    </w:p>
    <w:p w14:paraId="1B97182F" w14:textId="2B598F4D" w:rsidR="00914038" w:rsidRDefault="00274BC6" w:rsidP="00384856">
      <w:bookmarkStart w:id="37" w:name="_Hlk70088886"/>
      <w:r w:rsidRPr="00595884">
        <w:t>To assist in the literature assessment, citation search results were classified into two broad categories</w:t>
      </w:r>
      <w:r>
        <w:t>:</w:t>
      </w:r>
      <w:r w:rsidRPr="00595884">
        <w:t xml:space="preserve"> </w:t>
      </w:r>
    </w:p>
    <w:p w14:paraId="20D812FF" w14:textId="1CACDB0E" w:rsidR="00914038" w:rsidRDefault="00700316" w:rsidP="00700FDF">
      <w:pPr>
        <w:pStyle w:val="ListParagraph"/>
        <w:numPr>
          <w:ilvl w:val="0"/>
          <w:numId w:val="22"/>
        </w:numPr>
      </w:pPr>
      <w:r>
        <w:t>p</w:t>
      </w:r>
      <w:r w:rsidR="00274BC6" w:rsidRPr="00595884">
        <w:t xml:space="preserve">rimary </w:t>
      </w:r>
      <w:r w:rsidR="00170EF6">
        <w:t>s</w:t>
      </w:r>
      <w:r w:rsidR="00274BC6" w:rsidRPr="00595884">
        <w:t xml:space="preserve">tudies </w:t>
      </w:r>
      <w:r w:rsidR="00384856" w:rsidRPr="00595884">
        <w:t>that were largely peer-reviewed journal articles</w:t>
      </w:r>
      <w:r w:rsidR="00274BC6">
        <w:t>,</w:t>
      </w:r>
      <w:r w:rsidR="00384856" w:rsidRPr="00595884">
        <w:t xml:space="preserve"> </w:t>
      </w:r>
      <w:proofErr w:type="gramStart"/>
      <w:r w:rsidR="00384856" w:rsidRPr="00595884">
        <w:t>and</w:t>
      </w:r>
      <w:r w:rsidR="00274BC6">
        <w:t>;</w:t>
      </w:r>
      <w:proofErr w:type="gramEnd"/>
      <w:r w:rsidR="00384856" w:rsidRPr="00595884">
        <w:t xml:space="preserve"> </w:t>
      </w:r>
    </w:p>
    <w:p w14:paraId="4BDADA7F" w14:textId="28511390" w:rsidR="00384856" w:rsidRPr="00595884" w:rsidRDefault="00274BC6" w:rsidP="00700FDF">
      <w:pPr>
        <w:pStyle w:val="ListParagraph"/>
        <w:numPr>
          <w:ilvl w:val="0"/>
          <w:numId w:val="22"/>
        </w:numPr>
      </w:pPr>
      <w:r>
        <w:t>e</w:t>
      </w:r>
      <w:r w:rsidR="00605892">
        <w:t xml:space="preserve">xisting </w:t>
      </w:r>
      <w:r w:rsidR="00170EF6">
        <w:t>g</w:t>
      </w:r>
      <w:r w:rsidR="00605892" w:rsidRPr="00595884">
        <w:t xml:space="preserve">uidelines </w:t>
      </w:r>
      <w:r w:rsidR="00770659">
        <w:t>that</w:t>
      </w:r>
      <w:r w:rsidRPr="00595884">
        <w:t xml:space="preserve"> were mainly regulatory guidelines or technical guidance publications produced by federal and state agencies in support of regulatory compliance goals</w:t>
      </w:r>
      <w:r w:rsidR="00914038">
        <w:t>.</w:t>
      </w:r>
      <w:r w:rsidRPr="00595884">
        <w:t xml:space="preserve"> </w:t>
      </w:r>
      <w:r w:rsidR="00914038">
        <w:t>S</w:t>
      </w:r>
      <w:r w:rsidRPr="00595884">
        <w:t>uch literature is also commonly included in the classification “</w:t>
      </w:r>
      <w:r w:rsidR="00F2419B">
        <w:t>g</w:t>
      </w:r>
      <w:r w:rsidRPr="00595884">
        <w:t xml:space="preserve">rey </w:t>
      </w:r>
      <w:r w:rsidR="00F2419B">
        <w:t>l</w:t>
      </w:r>
      <w:r w:rsidRPr="00595884">
        <w:t>iterature”, which refers to literature produced by organisations other than conventional academic journal publishers.</w:t>
      </w:r>
      <w:bookmarkEnd w:id="37"/>
      <w:r w:rsidRPr="00595884">
        <w:t xml:space="preserve"> </w:t>
      </w:r>
    </w:p>
    <w:p w14:paraId="4C432DC9" w14:textId="702DAA8D" w:rsidR="006A0DF9" w:rsidRPr="00595884" w:rsidRDefault="00274BC6" w:rsidP="006A0DF9">
      <w:pPr>
        <w:pStyle w:val="Heading4"/>
      </w:pPr>
      <w:bookmarkStart w:id="38" w:name="_Toc106811117"/>
      <w:r>
        <w:t>Existing g</w:t>
      </w:r>
      <w:r w:rsidR="00B25B2A" w:rsidRPr="00595884">
        <w:t>uidelines</w:t>
      </w:r>
      <w:bookmarkEnd w:id="38"/>
    </w:p>
    <w:p w14:paraId="1C7676C3" w14:textId="1FE8424E" w:rsidR="00EC596D" w:rsidRPr="00595884" w:rsidRDefault="00274BC6" w:rsidP="00CD17B4">
      <w:r w:rsidRPr="00595884">
        <w:t>T</w:t>
      </w:r>
      <w:r w:rsidR="009C5429" w:rsidRPr="00595884">
        <w:t xml:space="preserve">he quality assessment criteria for </w:t>
      </w:r>
      <w:r w:rsidR="00D8794C">
        <w:t>existing g</w:t>
      </w:r>
      <w:r w:rsidR="008A58F8" w:rsidRPr="00595884">
        <w:t>uidelines</w:t>
      </w:r>
      <w:r w:rsidR="009C5429" w:rsidRPr="00595884">
        <w:t xml:space="preserve"> (Section </w:t>
      </w:r>
      <w:r w:rsidR="009C5429" w:rsidRPr="00595884">
        <w:fldChar w:fldCharType="begin"/>
      </w:r>
      <w:r w:rsidR="009C5429" w:rsidRPr="00595884">
        <w:instrText xml:space="preserve"> REF _Ref70330021 \r \h </w:instrText>
      </w:r>
      <w:r w:rsidR="009C5429" w:rsidRPr="00595884">
        <w:fldChar w:fldCharType="separate"/>
      </w:r>
      <w:r w:rsidR="003132AF">
        <w:t>2.5.2.1</w:t>
      </w:r>
      <w:r w:rsidR="009C5429" w:rsidRPr="00595884">
        <w:fldChar w:fldCharType="end"/>
      </w:r>
      <w:r w:rsidRPr="00595884">
        <w:t xml:space="preserve">) were different </w:t>
      </w:r>
      <w:r w:rsidR="00605892" w:rsidRPr="00595884">
        <w:t xml:space="preserve">from those </w:t>
      </w:r>
      <w:r w:rsidR="00605892">
        <w:t>for</w:t>
      </w:r>
      <w:r w:rsidR="00605892" w:rsidRPr="00595884">
        <w:t xml:space="preserve"> </w:t>
      </w:r>
      <w:r w:rsidR="00605892">
        <w:t>p</w:t>
      </w:r>
      <w:r w:rsidR="00605892" w:rsidRPr="00595884">
        <w:t xml:space="preserve">rimary </w:t>
      </w:r>
      <w:r w:rsidR="00605892">
        <w:t>s</w:t>
      </w:r>
      <w:r w:rsidR="00605892" w:rsidRPr="00595884">
        <w:t xml:space="preserve">tudies due to the different structure and purposes of each </w:t>
      </w:r>
      <w:r w:rsidRPr="00595884">
        <w:t>class of study.  Grey literature guideline documents are generally structured as larger documents seeking to integrate a wide range of topics in support of national regulatory goals (e.g. US EPA documents) or more general international guidance (e.g. WHO documents)</w:t>
      </w:r>
      <w:r w:rsidR="00607FA0" w:rsidRPr="00595884">
        <w:t>, w</w:t>
      </w:r>
      <w:r w:rsidRPr="00595884">
        <w:t xml:space="preserve">hereas </w:t>
      </w:r>
      <w:r w:rsidR="00E02706">
        <w:t>p</w:t>
      </w:r>
      <w:r w:rsidR="00F03193" w:rsidRPr="00595884">
        <w:t xml:space="preserve">rimary </w:t>
      </w:r>
      <w:r w:rsidR="00E02706">
        <w:t>s</w:t>
      </w:r>
      <w:r w:rsidR="00F03193" w:rsidRPr="00595884">
        <w:t>tudies</w:t>
      </w:r>
      <w:r w:rsidRPr="00595884">
        <w:t xml:space="preserve"> are </w:t>
      </w:r>
      <w:r w:rsidR="004C59DA" w:rsidRPr="00595884">
        <w:t xml:space="preserve">mainly </w:t>
      </w:r>
      <w:r w:rsidRPr="00595884">
        <w:t xml:space="preserve">focused on the results of </w:t>
      </w:r>
      <w:r w:rsidR="004C59DA" w:rsidRPr="00595884">
        <w:t>original</w:t>
      </w:r>
      <w:r w:rsidRPr="00595884">
        <w:t xml:space="preserve"> research undertaken in response to narrowly focused study objectives. </w:t>
      </w:r>
      <w:r w:rsidR="00AB79DB" w:rsidRPr="00595884">
        <w:t xml:space="preserve">For the purposes of this </w:t>
      </w:r>
      <w:r w:rsidR="00270FC0">
        <w:t>evidence evaluation</w:t>
      </w:r>
      <w:r w:rsidR="00270FC0" w:rsidRPr="00595884">
        <w:t xml:space="preserve"> </w:t>
      </w:r>
      <w:r w:rsidR="00AB79DB" w:rsidRPr="00595884">
        <w:t xml:space="preserve">report and corresponding </w:t>
      </w:r>
      <w:r w:rsidR="00270FC0">
        <w:t>technical</w:t>
      </w:r>
      <w:r w:rsidR="00AB79DB" w:rsidRPr="00595884">
        <w:t xml:space="preserve"> report, g</w:t>
      </w:r>
      <w:r w:rsidR="00607FA0" w:rsidRPr="00595884">
        <w:t xml:space="preserve">rey literature should not be confused with the term </w:t>
      </w:r>
      <w:r w:rsidR="002E3AF5" w:rsidRPr="00595884">
        <w:t xml:space="preserve">“systematic review” </w:t>
      </w:r>
      <w:r w:rsidR="00607FA0" w:rsidRPr="00595884">
        <w:t xml:space="preserve">used in the </w:t>
      </w:r>
      <w:r w:rsidR="00E02706">
        <w:t>p</w:t>
      </w:r>
      <w:r w:rsidR="00F03193" w:rsidRPr="00595884">
        <w:t xml:space="preserve">rimary </w:t>
      </w:r>
      <w:r w:rsidR="00E02706">
        <w:t>s</w:t>
      </w:r>
      <w:r w:rsidR="00F03193" w:rsidRPr="00595884">
        <w:t>tudies</w:t>
      </w:r>
      <w:r w:rsidR="00607FA0" w:rsidRPr="00595884">
        <w:t xml:space="preserve"> classification below</w:t>
      </w:r>
      <w:r w:rsidR="008A40F2">
        <w:t>.</w:t>
      </w:r>
      <w:r w:rsidR="00607FA0" w:rsidRPr="00595884">
        <w:t xml:space="preserve"> </w:t>
      </w:r>
      <w:r w:rsidR="008A40F2">
        <w:t>S</w:t>
      </w:r>
      <w:r w:rsidR="00607FA0" w:rsidRPr="00595884">
        <w:t xml:space="preserve">ystematic reviews generally </w:t>
      </w:r>
      <w:r w:rsidR="002E3AF5" w:rsidRPr="00595884">
        <w:t>have a much narrower focus and are published in peer-reviewed journals.  Guidelines are also usually overseen by expert committees</w:t>
      </w:r>
      <w:r w:rsidR="004C59DA" w:rsidRPr="00595884">
        <w:t xml:space="preserve"> convened by national or international authorities</w:t>
      </w:r>
      <w:r w:rsidR="002E3AF5" w:rsidRPr="00595884">
        <w:t xml:space="preserve"> and have many contributing authors, whereas systematic reviews </w:t>
      </w:r>
      <w:r w:rsidR="00AB79DB" w:rsidRPr="00595884">
        <w:t xml:space="preserve">may frequently be </w:t>
      </w:r>
      <w:r w:rsidR="002E3AF5" w:rsidRPr="00595884">
        <w:t xml:space="preserve">carried out by individual researchers or </w:t>
      </w:r>
      <w:r w:rsidR="00AB79DB" w:rsidRPr="00595884">
        <w:t xml:space="preserve">small </w:t>
      </w:r>
      <w:r w:rsidR="002E3AF5" w:rsidRPr="00595884">
        <w:t>groups of researchers.</w:t>
      </w:r>
    </w:p>
    <w:p w14:paraId="3A9A93F0" w14:textId="151C3D9A" w:rsidR="006A0DF9" w:rsidRPr="00595884" w:rsidRDefault="00274BC6" w:rsidP="006A0DF9">
      <w:pPr>
        <w:pStyle w:val="Heading4"/>
      </w:pPr>
      <w:bookmarkStart w:id="39" w:name="_Toc106811118"/>
      <w:r w:rsidRPr="00595884">
        <w:t>Primary studies</w:t>
      </w:r>
      <w:bookmarkEnd w:id="39"/>
    </w:p>
    <w:p w14:paraId="62867A4F" w14:textId="49684DBC" w:rsidR="006A0DF9" w:rsidRPr="00595884" w:rsidRDefault="00274BC6" w:rsidP="006A0DF9">
      <w:r w:rsidRPr="00595884">
        <w:t xml:space="preserve">The quality of each study to be included </w:t>
      </w:r>
      <w:r w:rsidR="00820CF1" w:rsidRPr="00595884">
        <w:t>was</w:t>
      </w:r>
      <w:r w:rsidRPr="00595884">
        <w:t xml:space="preserve"> assessed using </w:t>
      </w:r>
      <w:r w:rsidR="00700316">
        <w:t xml:space="preserve">an appraisal tool based on </w:t>
      </w:r>
      <w:r w:rsidRPr="00595884">
        <w:t>the CASP (</w:t>
      </w:r>
      <w:r w:rsidRPr="00595884">
        <w:fldChar w:fldCharType="begin"/>
      </w:r>
      <w:r w:rsidRPr="00595884">
        <w:instrText xml:space="preserve"> ADDIN ZOTERO_ITEM CSL_CITATION {"citationID":"18mTOVJs","properties":{"custom":"Oxford CTVH, 2020)","formattedCitation":"Oxford CTVH, 2020)","plainCitation":"Oxford CTVH, 2020)","noteIndex":0},"citationItems":[{"id":11707,"uris":["http://zotero.org/users/148142/items/U49379IL"],"uri":["http://zotero.org/users/148142/items/U49379IL"],"itemData":{"id":11707,"type":"webpage","container-title":"Oxford Centre for Triple Value Healthcare Ltd","language":"en-US","note":"source: casp-uk.net","title":"CASP - Critical Appraisal Skills Programme","URL":"https://casp-uk.net/","author":[{"literal":"Oxford CTVH"}],"accessed":{"date-parts":[["2020",6,13]]},"issued":{"date-parts":[["2020"]]}}}],"schema":"https://github.com/citation-style-language/schema/raw/master/csl-citation.json"} </w:instrText>
      </w:r>
      <w:r w:rsidRPr="00595884">
        <w:fldChar w:fldCharType="separate"/>
      </w:r>
      <w:r w:rsidRPr="00595884">
        <w:rPr>
          <w:rFonts w:cs="Arial"/>
        </w:rPr>
        <w:t>Oxford CTVH, 2020)</w:t>
      </w:r>
      <w:r w:rsidRPr="00595884">
        <w:fldChar w:fldCharType="end"/>
      </w:r>
      <w:r>
        <w:rPr>
          <w:rStyle w:val="FootnoteReference"/>
        </w:rPr>
        <w:footnoteReference w:id="1"/>
      </w:r>
      <w:r w:rsidRPr="00595884">
        <w:t xml:space="preserve"> quality assessment protocols for observational studies</w:t>
      </w:r>
      <w:r w:rsidR="00700316">
        <w:t xml:space="preserve"> with an additional risk of bias rating similar to the OHAT Risk-of-Bias Tool (OHAT, 2015)</w:t>
      </w:r>
      <w:r w:rsidRPr="00595884">
        <w:t>.  T</w:t>
      </w:r>
      <w:r w:rsidR="00700316">
        <w:t>o assist in the selection of appropriate CASP tools, t</w:t>
      </w:r>
      <w:r w:rsidRPr="00595884">
        <w:t xml:space="preserve">he studies </w:t>
      </w:r>
      <w:r w:rsidR="00820CF1" w:rsidRPr="00595884">
        <w:t>were</w:t>
      </w:r>
      <w:r w:rsidRPr="00595884">
        <w:t xml:space="preserve"> categorised according to a selected list of CASP study type</w:t>
      </w:r>
      <w:r w:rsidR="00700316">
        <w:t xml:space="preserve"> definition</w:t>
      </w:r>
      <w:r w:rsidRPr="00595884">
        <w:t xml:space="preserve">s </w:t>
      </w:r>
      <w:r w:rsidR="00384856" w:rsidRPr="00595884">
        <w:t xml:space="preserve">based on the </w:t>
      </w:r>
      <w:r w:rsidR="008122FE" w:rsidRPr="00595884">
        <w:t xml:space="preserve">adopted </w:t>
      </w:r>
      <w:r w:rsidR="00710197" w:rsidRPr="00595884">
        <w:t>research protocol</w:t>
      </w:r>
      <w:r w:rsidR="00700316">
        <w:t xml:space="preserve"> (O’Connor, 2020)</w:t>
      </w:r>
      <w:r w:rsidR="00820CF1" w:rsidRPr="00595884">
        <w:t xml:space="preserve">.  </w:t>
      </w:r>
      <w:r w:rsidRPr="00595884">
        <w:t xml:space="preserve">These study categories were used to guide a critical appraisal of study quality and selection for the review.  </w:t>
      </w:r>
    </w:p>
    <w:p w14:paraId="4DF04B2E" w14:textId="54304C09" w:rsidR="006F6992" w:rsidRPr="00595884" w:rsidRDefault="00274BC6" w:rsidP="00700FDF">
      <w:pPr>
        <w:pStyle w:val="ListParagraph"/>
        <w:numPr>
          <w:ilvl w:val="0"/>
          <w:numId w:val="14"/>
        </w:numPr>
        <w:ind w:left="714" w:hanging="357"/>
        <w:contextualSpacing/>
        <w:rPr>
          <w:lang w:val="en-AU"/>
        </w:rPr>
      </w:pPr>
      <w:r w:rsidRPr="00595884">
        <w:rPr>
          <w:lang w:val="en-AU"/>
        </w:rPr>
        <w:t>Systematic review</w:t>
      </w:r>
    </w:p>
    <w:p w14:paraId="1680F443" w14:textId="76331C4E" w:rsidR="006F6992" w:rsidRPr="00595884" w:rsidRDefault="00274BC6" w:rsidP="00700FDF">
      <w:pPr>
        <w:pStyle w:val="ListParagraph"/>
        <w:numPr>
          <w:ilvl w:val="0"/>
          <w:numId w:val="14"/>
        </w:numPr>
        <w:ind w:left="714" w:hanging="357"/>
        <w:contextualSpacing/>
        <w:rPr>
          <w:lang w:val="en-AU"/>
        </w:rPr>
      </w:pPr>
      <w:r w:rsidRPr="00595884">
        <w:rPr>
          <w:lang w:val="en-AU"/>
        </w:rPr>
        <w:t>Qualitative research</w:t>
      </w:r>
    </w:p>
    <w:p w14:paraId="6C276BEE" w14:textId="75CFC722" w:rsidR="006F6992" w:rsidRPr="00595884" w:rsidRDefault="00274BC6" w:rsidP="00700FDF">
      <w:pPr>
        <w:pStyle w:val="ListParagraph"/>
        <w:numPr>
          <w:ilvl w:val="0"/>
          <w:numId w:val="14"/>
        </w:numPr>
        <w:ind w:left="714" w:hanging="357"/>
        <w:contextualSpacing/>
        <w:rPr>
          <w:lang w:val="en-AU"/>
        </w:rPr>
      </w:pPr>
      <w:r w:rsidRPr="00595884">
        <w:rPr>
          <w:lang w:val="en-AU"/>
        </w:rPr>
        <w:t>Case control study</w:t>
      </w:r>
    </w:p>
    <w:p w14:paraId="3F646F24" w14:textId="5ECE66D1" w:rsidR="006F6992" w:rsidRPr="00595884" w:rsidRDefault="00274BC6" w:rsidP="00700FDF">
      <w:pPr>
        <w:pStyle w:val="ListParagraph"/>
        <w:numPr>
          <w:ilvl w:val="0"/>
          <w:numId w:val="14"/>
        </w:numPr>
        <w:ind w:left="714" w:hanging="357"/>
        <w:contextualSpacing/>
        <w:rPr>
          <w:lang w:val="en-AU"/>
        </w:rPr>
      </w:pPr>
      <w:r w:rsidRPr="00595884">
        <w:rPr>
          <w:lang w:val="en-AU"/>
        </w:rPr>
        <w:t>Cohort study</w:t>
      </w:r>
    </w:p>
    <w:p w14:paraId="0B087E4A" w14:textId="5173273E" w:rsidR="006F6992" w:rsidRPr="00595884" w:rsidRDefault="00274BC6" w:rsidP="00700FDF">
      <w:pPr>
        <w:pStyle w:val="ListParagraph"/>
        <w:numPr>
          <w:ilvl w:val="0"/>
          <w:numId w:val="14"/>
        </w:numPr>
        <w:ind w:left="714" w:hanging="357"/>
        <w:contextualSpacing/>
        <w:rPr>
          <w:lang w:val="en-AU"/>
        </w:rPr>
      </w:pPr>
      <w:r w:rsidRPr="00595884">
        <w:rPr>
          <w:lang w:val="en-AU"/>
        </w:rPr>
        <w:t>Diagnostic test study</w:t>
      </w:r>
    </w:p>
    <w:p w14:paraId="5FE197ED" w14:textId="408FFC4F" w:rsidR="006F6992" w:rsidRPr="00595884" w:rsidRDefault="00274BC6" w:rsidP="00700FDF">
      <w:pPr>
        <w:pStyle w:val="ListParagraph"/>
        <w:numPr>
          <w:ilvl w:val="0"/>
          <w:numId w:val="14"/>
        </w:numPr>
        <w:ind w:left="714" w:hanging="357"/>
        <w:contextualSpacing/>
        <w:rPr>
          <w:lang w:val="en-AU"/>
        </w:rPr>
      </w:pPr>
      <w:r w:rsidRPr="00595884">
        <w:rPr>
          <w:lang w:val="en-AU"/>
        </w:rPr>
        <w:t>Randomised controlled trial</w:t>
      </w:r>
    </w:p>
    <w:p w14:paraId="6C8E3E08" w14:textId="73A1B32D" w:rsidR="006F6992" w:rsidRPr="00595884" w:rsidRDefault="00274BC6" w:rsidP="00700FDF">
      <w:pPr>
        <w:pStyle w:val="ListParagraph"/>
        <w:numPr>
          <w:ilvl w:val="0"/>
          <w:numId w:val="14"/>
        </w:numPr>
        <w:ind w:left="714" w:hanging="357"/>
        <w:contextualSpacing/>
        <w:rPr>
          <w:lang w:val="en-AU"/>
        </w:rPr>
      </w:pPr>
      <w:r w:rsidRPr="00595884">
        <w:rPr>
          <w:lang w:val="en-AU"/>
        </w:rPr>
        <w:t>Cross-sectional study (mix of case-control and cohort)</w:t>
      </w:r>
    </w:p>
    <w:p w14:paraId="010E10EF" w14:textId="0AD4F5ED" w:rsidR="006F6992" w:rsidRPr="00595884" w:rsidRDefault="00274BC6" w:rsidP="00700FDF">
      <w:pPr>
        <w:pStyle w:val="ListParagraph"/>
        <w:numPr>
          <w:ilvl w:val="0"/>
          <w:numId w:val="14"/>
        </w:numPr>
        <w:ind w:left="714" w:hanging="357"/>
        <w:contextualSpacing/>
        <w:rPr>
          <w:lang w:val="en-AU"/>
        </w:rPr>
      </w:pPr>
      <w:r w:rsidRPr="00595884">
        <w:rPr>
          <w:lang w:val="en-AU"/>
        </w:rPr>
        <w:t>Quantitative research</w:t>
      </w:r>
    </w:p>
    <w:p w14:paraId="578C443A" w14:textId="23FF0787" w:rsidR="006F6992" w:rsidRPr="00595884" w:rsidRDefault="00274BC6" w:rsidP="006A0DF9">
      <w:r w:rsidRPr="00595884">
        <w:t>See the Technical Report</w:t>
      </w:r>
      <w:r w:rsidR="00700316">
        <w:t xml:space="preserve"> (O’Connor, 202</w:t>
      </w:r>
      <w:r w:rsidR="007345A4">
        <w:t>2</w:t>
      </w:r>
      <w:r w:rsidR="00700316">
        <w:t>)</w:t>
      </w:r>
      <w:r w:rsidRPr="00595884">
        <w:t xml:space="preserve"> for definitions.</w:t>
      </w:r>
    </w:p>
    <w:p w14:paraId="35A45E09" w14:textId="6ED62740" w:rsidR="00F36139" w:rsidRPr="00595884" w:rsidRDefault="00274BC6" w:rsidP="00F36139">
      <w:pPr>
        <w:pStyle w:val="Heading3"/>
      </w:pPr>
      <w:bookmarkStart w:id="40" w:name="_Toc106811119"/>
      <w:r w:rsidRPr="00595884">
        <w:t>Quality assessment (by types)</w:t>
      </w:r>
      <w:bookmarkEnd w:id="40"/>
    </w:p>
    <w:p w14:paraId="67ECA60A" w14:textId="03647B47" w:rsidR="00AB60E5" w:rsidRPr="00595884" w:rsidRDefault="00274BC6" w:rsidP="00AB60E5">
      <w:pPr>
        <w:pStyle w:val="Heading4"/>
      </w:pPr>
      <w:bookmarkStart w:id="41" w:name="_Toc106811120"/>
      <w:bookmarkStart w:id="42" w:name="_Ref70948231"/>
      <w:bookmarkStart w:id="43" w:name="_Ref70330021"/>
      <w:r>
        <w:t>Existing g</w:t>
      </w:r>
      <w:r w:rsidR="009C5429" w:rsidRPr="00595884">
        <w:t>uidelines</w:t>
      </w:r>
      <w:bookmarkEnd w:id="41"/>
      <w:r w:rsidR="009C5429" w:rsidRPr="00595884">
        <w:t xml:space="preserve"> </w:t>
      </w:r>
      <w:bookmarkEnd w:id="42"/>
      <w:bookmarkEnd w:id="43"/>
    </w:p>
    <w:p w14:paraId="20B484E0" w14:textId="417AF7A5" w:rsidR="00F85F33" w:rsidRPr="00595884" w:rsidRDefault="00274BC6" w:rsidP="00EA0B0A">
      <w:bookmarkStart w:id="44" w:name="_Hlk72504738"/>
      <w:r w:rsidRPr="00595884">
        <w:t xml:space="preserve">The methodological quality of </w:t>
      </w:r>
      <w:r w:rsidR="00306C71">
        <w:t xml:space="preserve">existing </w:t>
      </w:r>
      <w:r w:rsidRPr="00595884">
        <w:t xml:space="preserve">guidelines was assessed using </w:t>
      </w:r>
      <w:r w:rsidR="002700C5" w:rsidRPr="00595884">
        <w:t xml:space="preserve">administrative and technical </w:t>
      </w:r>
      <w:r w:rsidR="00456CBB" w:rsidRPr="00595884">
        <w:t xml:space="preserve">criteria </w:t>
      </w:r>
      <w:r w:rsidR="00DF2CC6" w:rsidRPr="00595884">
        <w:t>via a</w:t>
      </w:r>
      <w:r w:rsidR="00DA7C19">
        <w:t xml:space="preserve"> draft</w:t>
      </w:r>
      <w:r w:rsidR="00456CBB" w:rsidRPr="00595884">
        <w:t xml:space="preserve"> assessment tool</w:t>
      </w:r>
      <w:r w:rsidR="00DA7C19">
        <w:t xml:space="preserve"> developed by NHMRC</w:t>
      </w:r>
      <w:r w:rsidR="00456CBB" w:rsidRPr="00595884">
        <w:t xml:space="preserve">. </w:t>
      </w:r>
      <w:r w:rsidRPr="00595884">
        <w:t xml:space="preserve"> The criteria listed in the tool were based on common domains that have been evaluated in several existing tools for assessing guidelines and systematic reviews (e.g. </w:t>
      </w:r>
      <w:hyperlink r:id="rId17" w:history="1">
        <w:r w:rsidRPr="00595884">
          <w:rPr>
            <w:rStyle w:val="Hyperlink"/>
            <w:color w:val="auto"/>
            <w:u w:val="none"/>
          </w:rPr>
          <w:t>AGREE tool</w:t>
        </w:r>
      </w:hyperlink>
      <w:bookmarkEnd w:id="44"/>
      <w:r w:rsidR="00075CEC" w:rsidRPr="00595884">
        <w:rPr>
          <w:rStyle w:val="Hyperlink"/>
          <w:color w:val="auto"/>
          <w:u w:val="none"/>
        </w:rPr>
        <w:t xml:space="preserve">: </w:t>
      </w:r>
      <w:r w:rsidR="00075CEC" w:rsidRPr="00595884">
        <w:rPr>
          <w:rStyle w:val="Hyperlink"/>
          <w:color w:val="auto"/>
          <w:u w:val="none"/>
        </w:rPr>
        <w:fldChar w:fldCharType="begin"/>
      </w:r>
      <w:r w:rsidR="00075CEC" w:rsidRPr="00595884">
        <w:rPr>
          <w:rStyle w:val="Hyperlink"/>
          <w:color w:val="auto"/>
          <w:u w:val="none"/>
        </w:rPr>
        <w:instrText xml:space="preserve"> ADDIN ZOTERO_ITEM CSL_CITATION {"citationID":"mMRCvSgs","properties":{"custom":"Brouwers, Kerkvliet, et al., 2016; AGREE Next Steps Consortium, 2017)","formattedCitation":"Brouwers, Kerkvliet, et al., 2016; AGREE Next Steps Consortium, 2017)","plainCitation":"Brouwers, Kerkvliet, et al., 2016; AGREE Next Steps Consortium, 2017)","noteIndex":0},"citationItems":[{"id":17457,"uris":["http://zotero.org/users/148142/items/GCFRE5L9"],"uri":["http://zotero.org/users/148142/items/GCFRE5L9"],"itemData":{"id":17457,"type":"article-journal","container-title":"BMJ","DOI":"10.1136/bmj.i1152","ISSN":"1756-1833","journalAbbreviation":"BMJ","language":"en","page":"i1152","source":"DOI.org (Crossref)","title":"The AGREE Reporting Checklist: a tool to improve reporting of clinical practice guidelines","title-short":"The AGREE Reporting Checklist","author":[{"family":"Brouwers","given":"Melissa C"},{"family":"Kerkvliet","given":"Kate"},{"family":"Spithoff","given":"Karen"},{"literal":"AGREE Next Steps Consortium"}],"issued":{"date-parts":[["2016",3,8]]}},"label":"page"},{"id":17459,"uris":["http://zotero.org/users/148142/items/SJS9QVZS"],"uri":["http://zotero.org/users/148142/items/SJS9QVZS"],"itemData":{"id":17459,"type":"report","page":"57","title":"The AGREE II Instrument [Electronic version].","URL":"http://www.agreetrust.org.","author":[{"literal":"AGREE Next Steps Consortium"}],"issued":{"date-parts":[["2017"]]}},"label":"page"}],"schema":"https://github.com/citation-style-language/schema/raw/master/csl-citation.json"} </w:instrText>
      </w:r>
      <w:r w:rsidR="00075CEC" w:rsidRPr="00595884">
        <w:rPr>
          <w:rStyle w:val="Hyperlink"/>
          <w:color w:val="auto"/>
          <w:u w:val="none"/>
        </w:rPr>
        <w:fldChar w:fldCharType="separate"/>
      </w:r>
      <w:r w:rsidR="00075CEC" w:rsidRPr="00595884">
        <w:rPr>
          <w:rFonts w:cs="Arial"/>
        </w:rPr>
        <w:t>Brouwers, Kerkvliet, et al., 2016; AGREE Next Steps Consortium, 2017)</w:t>
      </w:r>
      <w:r w:rsidR="00075CEC" w:rsidRPr="00595884">
        <w:rPr>
          <w:rStyle w:val="Hyperlink"/>
          <w:color w:val="auto"/>
          <w:u w:val="none"/>
        </w:rPr>
        <w:fldChar w:fldCharType="end"/>
      </w:r>
      <w:r w:rsidRPr="00595884">
        <w:t>.</w:t>
      </w:r>
      <w:r w:rsidR="00DD143E" w:rsidRPr="00595884">
        <w:t xml:space="preserve">  A form for capturing the data is </w:t>
      </w:r>
      <w:r w:rsidR="001F58A3" w:rsidRPr="00595884">
        <w:t>described</w:t>
      </w:r>
      <w:r w:rsidR="00DD143E" w:rsidRPr="00595884">
        <w:t xml:space="preserve"> in the Technical Report </w:t>
      </w:r>
      <w:r w:rsidR="00DD143E" w:rsidRPr="00595884">
        <w:fldChar w:fldCharType="begin"/>
      </w:r>
      <w:r w:rsidR="001F58A3" w:rsidRPr="00595884">
        <w:instrText xml:space="preserve"> ADDIN ZOTERO_ITEM CSL_CITATION {"citationID":"DvUG62t2","properties":{"formattedCitation":"(O\\uc0\\u8217{}Connor, 2021)","plainCitation":"(O’Connor, 2021)","noteIndex":0},"citationItems":[{"id":17490,"uris":["http://zotero.org/users/148142/items/QUG78YIA"],"uri":["http://zotero.org/users/148142/items/QUG78YIA"],"itemData":{"id":17490,"type":"report","title":"Technical Report for Narrative Reviews in support of NHMRC Recreational Water Quality Guidelines: Chemical Hazards. DRAFT. Ecos Environmental Consulting, May 2021","author":[{"family":"O'Connor","given":"N.A."}],"issued":{"date-parts":[["2021",5]]}}}],"schema":"https://github.com/citation-style-language/schema/raw/master/csl-citation.json"} </w:instrText>
      </w:r>
      <w:r w:rsidR="00DD143E" w:rsidRPr="00595884">
        <w:fldChar w:fldCharType="separate"/>
      </w:r>
      <w:r w:rsidR="001F58A3" w:rsidRPr="00595884">
        <w:rPr>
          <w:rFonts w:cs="Arial"/>
        </w:rPr>
        <w:t>(O’Connor, 202</w:t>
      </w:r>
      <w:r w:rsidR="007345A4">
        <w:rPr>
          <w:rFonts w:cs="Arial"/>
        </w:rPr>
        <w:t>2</w:t>
      </w:r>
      <w:r w:rsidR="001F58A3" w:rsidRPr="00595884">
        <w:rPr>
          <w:rFonts w:cs="Arial"/>
        </w:rPr>
        <w:t>)</w:t>
      </w:r>
      <w:r w:rsidR="00DD143E" w:rsidRPr="00595884">
        <w:fldChar w:fldCharType="end"/>
      </w:r>
      <w:r w:rsidR="00DD143E" w:rsidRPr="00595884">
        <w:t>.</w:t>
      </w:r>
      <w:r w:rsidR="00EA0B0A" w:rsidRPr="00595884">
        <w:t xml:space="preserve">  Based on the responses in the form</w:t>
      </w:r>
      <w:r w:rsidR="00983E21">
        <w:t>,</w:t>
      </w:r>
      <w:r w:rsidR="00EA0B0A" w:rsidRPr="00595884">
        <w:t xml:space="preserve"> a decision was made on whether th</w:t>
      </w:r>
      <w:r w:rsidR="00983E21">
        <w:t>at</w:t>
      </w:r>
      <w:r w:rsidR="00EA0B0A" w:rsidRPr="00595884">
        <w:t xml:space="preserve"> guideline should be included or excluded from the review</w:t>
      </w:r>
      <w:r w:rsidR="000C5C08" w:rsidRPr="00595884">
        <w:t xml:space="preserve"> on quality grounds</w:t>
      </w:r>
      <w:r w:rsidR="00EA0B0A" w:rsidRPr="00595884">
        <w:t>. Due to the paucity of material on chemical hazards in recreational waters the decision on inclusion/exclusion was weighted towards inclusion.</w:t>
      </w:r>
      <w:r w:rsidRPr="00595884">
        <w:t xml:space="preserve"> </w:t>
      </w:r>
    </w:p>
    <w:p w14:paraId="0D5D8AA1" w14:textId="42269A6E" w:rsidR="00EA0B0A" w:rsidRPr="00595884" w:rsidRDefault="00274BC6" w:rsidP="00EA0B0A">
      <w:r w:rsidRPr="00595884">
        <w:t xml:space="preserve">In addition to this formal quality assessment approach, the close inspection of the full text document </w:t>
      </w:r>
      <w:r w:rsidR="006F27EE" w:rsidRPr="00595884">
        <w:t xml:space="preserve">in some cases </w:t>
      </w:r>
      <w:r w:rsidRPr="00595884">
        <w:t xml:space="preserve">indicated that the evidence contained in the document did not satisfactorily contribute to answering the primary and/or secondary research questions.  Where that was the case, the document was classified as “Quality satisfactory but content not relevant (or obsolete)” and excluded on </w:t>
      </w:r>
      <w:r w:rsidR="00983E21">
        <w:t>relevance</w:t>
      </w:r>
      <w:r w:rsidRPr="00595884">
        <w:t>.</w:t>
      </w:r>
    </w:p>
    <w:p w14:paraId="706A91B3" w14:textId="62C18DEE" w:rsidR="00AB60E5" w:rsidRPr="00595884" w:rsidRDefault="00274BC6" w:rsidP="00AB60E5">
      <w:pPr>
        <w:pStyle w:val="Heading4"/>
      </w:pPr>
      <w:bookmarkStart w:id="45" w:name="_Toc106811121"/>
      <w:r w:rsidRPr="00595884">
        <w:t>Primary studies</w:t>
      </w:r>
      <w:bookmarkEnd w:id="45"/>
    </w:p>
    <w:p w14:paraId="7321CB4A" w14:textId="7F7B9736" w:rsidR="00837B63" w:rsidRPr="00595884" w:rsidRDefault="00274BC6" w:rsidP="00AB60E5">
      <w:pPr>
        <w:rPr>
          <w:i/>
          <w:iCs/>
        </w:rPr>
      </w:pPr>
      <w:bookmarkStart w:id="46" w:name="_Hlk43481712"/>
      <w:bookmarkEnd w:id="33"/>
      <w:bookmarkEnd w:id="34"/>
      <w:r w:rsidRPr="00595884">
        <w:rPr>
          <w:i/>
          <w:iCs/>
        </w:rPr>
        <w:t>Critical appraisal of evidenc</w:t>
      </w:r>
      <w:bookmarkEnd w:id="46"/>
      <w:r w:rsidRPr="00595884">
        <w:rPr>
          <w:i/>
          <w:iCs/>
        </w:rPr>
        <w:t>e</w:t>
      </w:r>
    </w:p>
    <w:p w14:paraId="0416A189" w14:textId="0703C133" w:rsidR="006A0DF9" w:rsidRPr="00595884" w:rsidRDefault="00274BC6" w:rsidP="006A0DF9">
      <w:r w:rsidRPr="00595884">
        <w:t>As noted above, the CASP study categories were used to guide a critical appraisal of study quality and selection for the review</w:t>
      </w:r>
    </w:p>
    <w:p w14:paraId="013A82F9" w14:textId="31EF7B65" w:rsidR="009062EA" w:rsidRPr="00595884" w:rsidRDefault="00274BC6" w:rsidP="006A0DF9">
      <w:r w:rsidRPr="00595884">
        <w:t>The CASP protocol considers three broad issues in appraising a study:</w:t>
      </w:r>
    </w:p>
    <w:p w14:paraId="3CBF4ABF" w14:textId="7123477A" w:rsidR="009062EA" w:rsidRPr="00595884" w:rsidRDefault="00274BC6" w:rsidP="00700FDF">
      <w:pPr>
        <w:pStyle w:val="ListParagraph"/>
        <w:numPr>
          <w:ilvl w:val="0"/>
          <w:numId w:val="9"/>
        </w:numPr>
        <w:contextualSpacing/>
        <w:rPr>
          <w:lang w:val="en-AU"/>
        </w:rPr>
      </w:pPr>
      <w:r w:rsidRPr="00595884">
        <w:rPr>
          <w:lang w:val="en-AU"/>
        </w:rPr>
        <w:t>Are the results of the study valid?</w:t>
      </w:r>
    </w:p>
    <w:p w14:paraId="11A35563" w14:textId="717A0FA0" w:rsidR="009062EA" w:rsidRPr="00595884" w:rsidRDefault="00274BC6" w:rsidP="00700FDF">
      <w:pPr>
        <w:pStyle w:val="ListParagraph"/>
        <w:numPr>
          <w:ilvl w:val="0"/>
          <w:numId w:val="9"/>
        </w:numPr>
        <w:contextualSpacing/>
        <w:rPr>
          <w:lang w:val="en-AU"/>
        </w:rPr>
      </w:pPr>
      <w:r w:rsidRPr="00595884">
        <w:rPr>
          <w:lang w:val="en-AU"/>
        </w:rPr>
        <w:t>What are the results?</w:t>
      </w:r>
    </w:p>
    <w:p w14:paraId="420F674B" w14:textId="0F0B4C83" w:rsidR="009062EA" w:rsidRPr="00595884" w:rsidRDefault="00274BC6" w:rsidP="00700FDF">
      <w:pPr>
        <w:pStyle w:val="ListParagraph"/>
        <w:numPr>
          <w:ilvl w:val="0"/>
          <w:numId w:val="9"/>
        </w:numPr>
        <w:contextualSpacing/>
        <w:rPr>
          <w:lang w:val="en-AU"/>
        </w:rPr>
      </w:pPr>
      <w:r w:rsidRPr="00595884">
        <w:rPr>
          <w:lang w:val="en-AU"/>
        </w:rPr>
        <w:t>Will the results help locally?</w:t>
      </w:r>
    </w:p>
    <w:p w14:paraId="156F2645" w14:textId="1D801AE9" w:rsidR="00736954" w:rsidRPr="00595884" w:rsidRDefault="00274BC6" w:rsidP="00DF2CC6">
      <w:r w:rsidRPr="00595884">
        <w:t xml:space="preserve">Depending on the type of study 10 to 13 questions </w:t>
      </w:r>
      <w:r w:rsidR="00DF2CC6" w:rsidRPr="00595884">
        <w:t>were</w:t>
      </w:r>
      <w:r w:rsidRPr="00595884">
        <w:t xml:space="preserve"> posed within the three categories above that are designed to assist the reviewer to consider the issues systematically.</w:t>
      </w:r>
    </w:p>
    <w:p w14:paraId="6D9C83F7" w14:textId="29A511FA" w:rsidR="00DF2CC6" w:rsidRPr="00595884" w:rsidRDefault="00274BC6" w:rsidP="00DF2CC6">
      <w:r w:rsidRPr="00595884">
        <w:t>Primary data studies selected for review were assessed for internal validity, which is also known as “</w:t>
      </w:r>
      <w:r w:rsidR="0011078F">
        <w:t>r</w:t>
      </w:r>
      <w:r w:rsidRPr="00595884">
        <w:t>isk</w:t>
      </w:r>
      <w:r w:rsidR="0011078F">
        <w:t xml:space="preserve"> </w:t>
      </w:r>
      <w:r w:rsidRPr="00595884">
        <w:t>of</w:t>
      </w:r>
      <w:r w:rsidR="0011078F">
        <w:t xml:space="preserve"> </w:t>
      </w:r>
      <w:r w:rsidRPr="00595884">
        <w:t>bias”</w:t>
      </w:r>
      <w:r w:rsidR="00933F59">
        <w:t>,</w:t>
      </w:r>
      <w:r w:rsidRPr="00595884">
        <w:t xml:space="preserve"> with bias classification according to the OHAT </w:t>
      </w:r>
      <w:r w:rsidR="0011078F">
        <w:t>r</w:t>
      </w:r>
      <w:r w:rsidRPr="00595884">
        <w:t>isk</w:t>
      </w:r>
      <w:r w:rsidR="0011078F">
        <w:t xml:space="preserve"> </w:t>
      </w:r>
      <w:r w:rsidRPr="00595884">
        <w:t>of</w:t>
      </w:r>
      <w:r w:rsidR="0011078F">
        <w:t xml:space="preserve"> b</w:t>
      </w:r>
      <w:r w:rsidRPr="00595884">
        <w:t xml:space="preserve">ias </w:t>
      </w:r>
      <w:r w:rsidR="0011078F">
        <w:t>assessment t</w:t>
      </w:r>
      <w:r w:rsidRPr="00595884">
        <w:t xml:space="preserve">ool </w:t>
      </w:r>
      <w:r w:rsidRPr="00595884">
        <w:fldChar w:fldCharType="begin"/>
      </w:r>
      <w:r w:rsidRPr="00595884">
        <w:instrText xml:space="preserve"> ADDIN ZOTERO_ITEM CSL_CITATION {"citationID":"hUp88Fyx","properties":{"formattedCitation":"(OHAT, 2015)","plainCitation":"(OHAT, 2015)","noteIndex":0},"citationItems":[{"id":11710,"uris":["http://zotero.org/users/148142/items/N6FQ6WBC"],"uri":["http://zotero.org/users/148142/items/N6FQ6WBC"],"itemData":{"id":11710,"type":"webpage","title":"Risk of Bias Tool. Office of Health Assessment and Translation (OHAT), U.S. Department of Health and Human Services","URL":"https://ntp.niehs.nih.gov/whatwestudy/assessments/noncancer/riskbias/index.html","author":[{"literal":"OHAT"}],"accessed":{"date-parts":[["2020",6,19]]},"issued":{"date-parts":[["2015",1]]}}}],"schema":"https://github.com/citation-style-language/schema/raw/master/csl-citation.json"} </w:instrText>
      </w:r>
      <w:r w:rsidRPr="00595884">
        <w:fldChar w:fldCharType="separate"/>
      </w:r>
      <w:r w:rsidRPr="00595884">
        <w:rPr>
          <w:rFonts w:cs="Arial"/>
        </w:rPr>
        <w:t>(OHAT, 2015)</w:t>
      </w:r>
      <w:r w:rsidRPr="00595884">
        <w:fldChar w:fldCharType="end"/>
      </w:r>
      <w:r w:rsidRPr="00595884">
        <w:t xml:space="preserve">.  The tool provides a colour-coded visual scheme to summarise </w:t>
      </w:r>
      <w:r w:rsidR="0011078F">
        <w:t>r</w:t>
      </w:r>
      <w:r w:rsidRPr="00595884">
        <w:t>isk</w:t>
      </w:r>
      <w:r w:rsidR="0011078F">
        <w:t xml:space="preserve"> </w:t>
      </w:r>
      <w:r w:rsidRPr="00595884">
        <w:t>of</w:t>
      </w:r>
      <w:r w:rsidR="0011078F">
        <w:t xml:space="preserve"> b</w:t>
      </w:r>
      <w:r w:rsidRPr="00595884">
        <w:t xml:space="preserve">ias </w:t>
      </w:r>
      <w:proofErr w:type="gramStart"/>
      <w:r w:rsidRPr="00595884">
        <w:t>assessments</w:t>
      </w:r>
      <w:proofErr w:type="gramEnd"/>
      <w:r w:rsidRPr="00595884">
        <w:t xml:space="preserve"> and this scheme was applied based on the response to the CASP questions (</w:t>
      </w:r>
      <w:r w:rsidRPr="00595884">
        <w:fldChar w:fldCharType="begin"/>
      </w:r>
      <w:r w:rsidRPr="00595884">
        <w:instrText xml:space="preserve"> REF _Ref70955381 \h </w:instrText>
      </w:r>
      <w:r w:rsidRPr="00595884">
        <w:fldChar w:fldCharType="separate"/>
      </w:r>
      <w:r w:rsidR="003132AF" w:rsidRPr="00595884">
        <w:t xml:space="preserve">Table </w:t>
      </w:r>
      <w:r w:rsidR="003132AF">
        <w:rPr>
          <w:noProof/>
        </w:rPr>
        <w:t>2</w:t>
      </w:r>
      <w:r w:rsidR="003132AF">
        <w:noBreakHyphen/>
      </w:r>
      <w:r w:rsidR="003132AF">
        <w:rPr>
          <w:noProof/>
        </w:rPr>
        <w:t>2</w:t>
      </w:r>
      <w:r w:rsidRPr="00595884">
        <w:fldChar w:fldCharType="end"/>
      </w:r>
      <w:r w:rsidRPr="00595884">
        <w:t xml:space="preserve">).  </w:t>
      </w:r>
    </w:p>
    <w:p w14:paraId="287F79E4" w14:textId="7EF27951" w:rsidR="00DF2CC6" w:rsidRPr="00595884" w:rsidRDefault="00274BC6" w:rsidP="00F85F33">
      <w:pPr>
        <w:pStyle w:val="Caption"/>
        <w:pageBreakBefore/>
      </w:pPr>
      <w:bookmarkStart w:id="47" w:name="_Ref70955381"/>
      <w:bookmarkStart w:id="48" w:name="_Toc106811164"/>
      <w:r w:rsidRPr="00595884">
        <w:t xml:space="preserve">Table </w:t>
      </w:r>
      <w:r w:rsidR="003132AF">
        <w:fldChar w:fldCharType="begin"/>
      </w:r>
      <w:r w:rsidR="003132AF">
        <w:instrText xml:space="preserve"> STYLEREF 1 \s </w:instrText>
      </w:r>
      <w:r w:rsidR="003132AF">
        <w:fldChar w:fldCharType="separate"/>
      </w:r>
      <w:r w:rsidR="003132AF">
        <w:rPr>
          <w:noProof/>
        </w:rPr>
        <w:t>2</w:t>
      </w:r>
      <w:r w:rsidR="003132AF">
        <w:rPr>
          <w:noProof/>
        </w:rPr>
        <w:fldChar w:fldCharType="end"/>
      </w:r>
      <w:r w:rsidR="00CE064A">
        <w:noBreakHyphen/>
      </w:r>
      <w:r w:rsidR="003132AF">
        <w:fldChar w:fldCharType="begin"/>
      </w:r>
      <w:r w:rsidR="003132AF">
        <w:instrText xml:space="preserve"> SEQ Table \* ARABIC \s 1 </w:instrText>
      </w:r>
      <w:r w:rsidR="003132AF">
        <w:fldChar w:fldCharType="separate"/>
      </w:r>
      <w:r w:rsidR="003132AF">
        <w:rPr>
          <w:noProof/>
        </w:rPr>
        <w:t>2</w:t>
      </w:r>
      <w:r w:rsidR="003132AF">
        <w:rPr>
          <w:noProof/>
        </w:rPr>
        <w:fldChar w:fldCharType="end"/>
      </w:r>
      <w:bookmarkEnd w:id="47"/>
      <w:r w:rsidRPr="00595884">
        <w:t xml:space="preserve">. OHAT </w:t>
      </w:r>
      <w:r w:rsidR="0011078F">
        <w:t>r</w:t>
      </w:r>
      <w:r w:rsidRPr="00595884">
        <w:t>isk</w:t>
      </w:r>
      <w:r w:rsidR="0011078F">
        <w:t xml:space="preserve"> </w:t>
      </w:r>
      <w:r w:rsidRPr="00595884">
        <w:t>of</w:t>
      </w:r>
      <w:r w:rsidR="0011078F">
        <w:t xml:space="preserve"> b</w:t>
      </w:r>
      <w:r w:rsidRPr="00595884">
        <w:t>ias scheme categories</w:t>
      </w:r>
      <w:r w:rsidR="00700316">
        <w:t xml:space="preserve"> (OHAT, 2015)</w:t>
      </w:r>
      <w:bookmarkEnd w:id="48"/>
    </w:p>
    <w:tbl>
      <w:tblPr>
        <w:tblStyle w:val="EcosleftTableStyle"/>
        <w:tblW w:w="0" w:type="auto"/>
        <w:tblLook w:val="04A0" w:firstRow="1" w:lastRow="0" w:firstColumn="1" w:lastColumn="0" w:noHBand="0" w:noVBand="1"/>
      </w:tblPr>
      <w:tblGrid>
        <w:gridCol w:w="771"/>
        <w:gridCol w:w="6802"/>
      </w:tblGrid>
      <w:tr w:rsidR="004254E5" w14:paraId="66C9A4A1" w14:textId="77777777" w:rsidTr="004254E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04" w:type="dxa"/>
          </w:tcPr>
          <w:p w14:paraId="3D73EDAE" w14:textId="77777777" w:rsidR="00DF2CC6" w:rsidRPr="00595884" w:rsidRDefault="00274BC6" w:rsidP="003C0A46">
            <w:pPr>
              <w:spacing w:before="60" w:after="60" w:line="240" w:lineRule="auto"/>
              <w:rPr>
                <w:rFonts w:asciiTheme="minorHAnsi" w:hAnsiTheme="minorHAnsi" w:cstheme="minorHAnsi"/>
                <w:noProof/>
                <w:sz w:val="18"/>
                <w:szCs w:val="28"/>
              </w:rPr>
            </w:pPr>
            <w:r w:rsidRPr="00595884">
              <w:rPr>
                <w:rFonts w:asciiTheme="minorHAnsi" w:hAnsiTheme="minorHAnsi" w:cstheme="minorHAnsi"/>
                <w:noProof/>
                <w:sz w:val="18"/>
                <w:szCs w:val="28"/>
              </w:rPr>
              <w:t>Symbol</w:t>
            </w:r>
          </w:p>
        </w:tc>
        <w:tc>
          <w:tcPr>
            <w:tcW w:w="6802" w:type="dxa"/>
          </w:tcPr>
          <w:p w14:paraId="2371FB7D" w14:textId="77777777" w:rsidR="00DF2CC6" w:rsidRPr="00595884" w:rsidRDefault="00274BC6" w:rsidP="003C0A46">
            <w:pPr>
              <w:spacing w:before="60" w:after="6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noProof/>
                <w:sz w:val="18"/>
                <w:szCs w:val="28"/>
                <w:lang w:bidi="en-US"/>
              </w:rPr>
            </w:pPr>
            <w:r w:rsidRPr="00595884">
              <w:rPr>
                <w:rFonts w:asciiTheme="minorHAnsi" w:hAnsiTheme="minorHAnsi" w:cstheme="minorHAnsi"/>
                <w:noProof/>
                <w:sz w:val="18"/>
                <w:szCs w:val="28"/>
                <w:lang w:bidi="en-US"/>
              </w:rPr>
              <w:t>Description</w:t>
            </w:r>
          </w:p>
        </w:tc>
      </w:tr>
      <w:tr w:rsidR="004254E5" w14:paraId="4A63DB48" w14:textId="77777777" w:rsidTr="004254E5">
        <w:tc>
          <w:tcPr>
            <w:cnfStyle w:val="001000000000" w:firstRow="0" w:lastRow="0" w:firstColumn="1" w:lastColumn="0" w:oddVBand="0" w:evenVBand="0" w:oddHBand="0" w:evenHBand="0" w:firstRowFirstColumn="0" w:firstRowLastColumn="0" w:lastRowFirstColumn="0" w:lastRowLastColumn="0"/>
            <w:tcW w:w="704" w:type="dxa"/>
            <w:vMerge w:val="restart"/>
            <w:shd w:val="clear" w:color="auto" w:fill="008000"/>
          </w:tcPr>
          <w:p w14:paraId="60BD937F" w14:textId="77777777" w:rsidR="00DF2CC6" w:rsidRPr="00595884" w:rsidRDefault="00274BC6" w:rsidP="003C0A46">
            <w:pPr>
              <w:spacing w:before="20" w:after="20" w:line="240" w:lineRule="auto"/>
              <w:jc w:val="center"/>
              <w:rPr>
                <w:rFonts w:asciiTheme="minorHAnsi" w:hAnsiTheme="minorHAnsi" w:cstheme="minorHAnsi"/>
                <w:b/>
                <w:bCs/>
                <w:noProof/>
                <w:sz w:val="28"/>
                <w:szCs w:val="28"/>
              </w:rPr>
            </w:pPr>
            <w:r w:rsidRPr="00595884">
              <w:rPr>
                <w:rFonts w:asciiTheme="minorHAnsi" w:hAnsiTheme="minorHAnsi" w:cstheme="minorHAnsi"/>
                <w:b/>
                <w:bCs/>
                <w:noProof/>
                <w:color w:val="FFFFFF" w:themeColor="background1"/>
                <w:sz w:val="28"/>
                <w:szCs w:val="28"/>
              </w:rPr>
              <w:t>++</w:t>
            </w:r>
          </w:p>
        </w:tc>
        <w:tc>
          <w:tcPr>
            <w:tcW w:w="6802" w:type="dxa"/>
          </w:tcPr>
          <w:p w14:paraId="63D05543" w14:textId="77777777" w:rsidR="00DF2CC6" w:rsidRPr="00595884" w:rsidRDefault="00274BC6" w:rsidP="003C0A46">
            <w:pPr>
              <w:spacing w:before="20" w:after="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bidi="en-US"/>
              </w:rPr>
            </w:pPr>
            <w:proofErr w:type="gramStart"/>
            <w:r w:rsidRPr="00595884">
              <w:rPr>
                <w:rFonts w:asciiTheme="minorHAnsi" w:hAnsiTheme="minorHAnsi" w:cstheme="minorHAnsi"/>
                <w:b/>
                <w:i/>
                <w:lang w:bidi="en-US"/>
              </w:rPr>
              <w:t>Definitely Low</w:t>
            </w:r>
            <w:proofErr w:type="gramEnd"/>
            <w:r w:rsidRPr="00595884">
              <w:rPr>
                <w:rFonts w:asciiTheme="minorHAnsi" w:hAnsiTheme="minorHAnsi" w:cstheme="minorHAnsi"/>
                <w:b/>
                <w:i/>
                <w:lang w:bidi="en-US"/>
              </w:rPr>
              <w:t xml:space="preserve"> </w:t>
            </w:r>
            <w:r w:rsidRPr="00595884">
              <w:rPr>
                <w:rFonts w:asciiTheme="minorHAnsi" w:hAnsiTheme="minorHAnsi" w:cstheme="minorHAnsi"/>
                <w:i/>
                <w:lang w:bidi="en-US"/>
              </w:rPr>
              <w:t>risk of bias</w:t>
            </w:r>
            <w:r w:rsidRPr="00595884">
              <w:rPr>
                <w:rFonts w:asciiTheme="minorHAnsi" w:hAnsiTheme="minorHAnsi" w:cstheme="minorHAnsi"/>
                <w:lang w:bidi="en-US"/>
              </w:rPr>
              <w:t>:</w:t>
            </w:r>
          </w:p>
        </w:tc>
      </w:tr>
      <w:tr w:rsidR="004254E5" w14:paraId="36067151" w14:textId="77777777" w:rsidTr="004254E5">
        <w:tc>
          <w:tcPr>
            <w:cnfStyle w:val="001000000000" w:firstRow="0" w:lastRow="0" w:firstColumn="1" w:lastColumn="0" w:oddVBand="0" w:evenVBand="0" w:oddHBand="0" w:evenHBand="0" w:firstRowFirstColumn="0" w:firstRowLastColumn="0" w:lastRowFirstColumn="0" w:lastRowLastColumn="0"/>
            <w:tcW w:w="704" w:type="dxa"/>
            <w:vMerge/>
            <w:shd w:val="clear" w:color="auto" w:fill="008000"/>
          </w:tcPr>
          <w:p w14:paraId="73E0413B" w14:textId="77777777" w:rsidR="00DF2CC6" w:rsidRPr="00595884" w:rsidRDefault="00DF2CC6" w:rsidP="003C0A46">
            <w:pPr>
              <w:spacing w:before="20" w:after="20" w:line="240" w:lineRule="auto"/>
              <w:jc w:val="center"/>
              <w:rPr>
                <w:rFonts w:asciiTheme="minorHAnsi" w:hAnsiTheme="minorHAnsi" w:cstheme="minorHAnsi"/>
                <w:sz w:val="28"/>
                <w:szCs w:val="28"/>
                <w:lang w:bidi="en-US"/>
              </w:rPr>
            </w:pPr>
          </w:p>
        </w:tc>
        <w:tc>
          <w:tcPr>
            <w:tcW w:w="6802" w:type="dxa"/>
          </w:tcPr>
          <w:p w14:paraId="7D3359BC" w14:textId="1852EAD3" w:rsidR="00DF2CC6" w:rsidRPr="00595884" w:rsidRDefault="00274BC6" w:rsidP="003C0A46">
            <w:pPr>
              <w:spacing w:before="20" w:after="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bidi="en-US"/>
              </w:rPr>
            </w:pPr>
            <w:r w:rsidRPr="00595884">
              <w:rPr>
                <w:rFonts w:asciiTheme="minorHAnsi" w:hAnsiTheme="minorHAnsi" w:cstheme="minorHAnsi"/>
                <w:lang w:bidi="en-US"/>
              </w:rPr>
              <w:t>There is direct evidence of low risk</w:t>
            </w:r>
            <w:r w:rsidR="0011078F">
              <w:rPr>
                <w:rFonts w:asciiTheme="minorHAnsi" w:hAnsiTheme="minorHAnsi" w:cstheme="minorHAnsi"/>
                <w:lang w:bidi="en-US"/>
              </w:rPr>
              <w:t xml:space="preserve"> </w:t>
            </w:r>
            <w:r w:rsidRPr="00595884">
              <w:rPr>
                <w:rFonts w:asciiTheme="minorHAnsi" w:hAnsiTheme="minorHAnsi" w:cstheme="minorHAnsi"/>
                <w:lang w:bidi="en-US"/>
              </w:rPr>
              <w:t>of</w:t>
            </w:r>
            <w:r w:rsidR="0011078F">
              <w:rPr>
                <w:rFonts w:asciiTheme="minorHAnsi" w:hAnsiTheme="minorHAnsi" w:cstheme="minorHAnsi"/>
                <w:lang w:bidi="en-US"/>
              </w:rPr>
              <w:t xml:space="preserve"> </w:t>
            </w:r>
            <w:r w:rsidRPr="00595884">
              <w:rPr>
                <w:rFonts w:asciiTheme="minorHAnsi" w:hAnsiTheme="minorHAnsi" w:cstheme="minorHAnsi"/>
                <w:lang w:bidi="en-US"/>
              </w:rPr>
              <w:t xml:space="preserve">bias practices. </w:t>
            </w:r>
            <w:r w:rsidRPr="00595884">
              <w:rPr>
                <w:rFonts w:asciiTheme="minorHAnsi" w:hAnsiTheme="minorHAnsi" w:cstheme="minorHAnsi"/>
                <w:lang w:bidi="en-US"/>
              </w:rPr>
              <w:br/>
              <w:t>May include specific examples of relevant low risk</w:t>
            </w:r>
            <w:r w:rsidR="0011078F">
              <w:rPr>
                <w:rFonts w:asciiTheme="minorHAnsi" w:hAnsiTheme="minorHAnsi" w:cstheme="minorHAnsi"/>
                <w:lang w:bidi="en-US"/>
              </w:rPr>
              <w:t xml:space="preserve"> </w:t>
            </w:r>
            <w:r w:rsidRPr="00595884">
              <w:rPr>
                <w:rFonts w:asciiTheme="minorHAnsi" w:hAnsiTheme="minorHAnsi" w:cstheme="minorHAnsi"/>
                <w:lang w:bidi="en-US"/>
              </w:rPr>
              <w:t>of</w:t>
            </w:r>
            <w:r w:rsidR="0011078F">
              <w:rPr>
                <w:rFonts w:asciiTheme="minorHAnsi" w:hAnsiTheme="minorHAnsi" w:cstheme="minorHAnsi"/>
                <w:lang w:bidi="en-US"/>
              </w:rPr>
              <w:t xml:space="preserve"> </w:t>
            </w:r>
            <w:r w:rsidRPr="00595884">
              <w:rPr>
                <w:rFonts w:asciiTheme="minorHAnsi" w:hAnsiTheme="minorHAnsi" w:cstheme="minorHAnsi"/>
                <w:lang w:bidi="en-US"/>
              </w:rPr>
              <w:t>bias practices.</w:t>
            </w:r>
          </w:p>
        </w:tc>
      </w:tr>
      <w:tr w:rsidR="004254E5" w14:paraId="5BDC8131" w14:textId="77777777" w:rsidTr="004254E5">
        <w:tc>
          <w:tcPr>
            <w:cnfStyle w:val="001000000000" w:firstRow="0" w:lastRow="0" w:firstColumn="1" w:lastColumn="0" w:oddVBand="0" w:evenVBand="0" w:oddHBand="0" w:evenHBand="0" w:firstRowFirstColumn="0" w:firstRowLastColumn="0" w:lastRowFirstColumn="0" w:lastRowLastColumn="0"/>
            <w:tcW w:w="704" w:type="dxa"/>
            <w:vMerge w:val="restart"/>
            <w:shd w:val="clear" w:color="auto" w:fill="9BBB59" w:themeFill="accent3"/>
          </w:tcPr>
          <w:p w14:paraId="3035F92F" w14:textId="77777777" w:rsidR="00DF2CC6" w:rsidRPr="00595884" w:rsidRDefault="00274BC6" w:rsidP="003C0A46">
            <w:pPr>
              <w:spacing w:before="20" w:after="20" w:line="240" w:lineRule="auto"/>
              <w:jc w:val="center"/>
              <w:rPr>
                <w:rFonts w:asciiTheme="minorHAnsi" w:hAnsiTheme="minorHAnsi" w:cstheme="minorHAnsi"/>
                <w:b/>
                <w:sz w:val="28"/>
                <w:szCs w:val="28"/>
                <w:lang w:bidi="en-US"/>
              </w:rPr>
            </w:pPr>
            <w:r w:rsidRPr="00595884">
              <w:rPr>
                <w:rFonts w:asciiTheme="minorHAnsi" w:hAnsiTheme="minorHAnsi" w:cstheme="minorHAnsi"/>
                <w:b/>
                <w:sz w:val="28"/>
                <w:szCs w:val="28"/>
                <w:lang w:bidi="en-US"/>
              </w:rPr>
              <w:t>+</w:t>
            </w:r>
          </w:p>
        </w:tc>
        <w:tc>
          <w:tcPr>
            <w:tcW w:w="6802" w:type="dxa"/>
          </w:tcPr>
          <w:p w14:paraId="21A541DD" w14:textId="77777777" w:rsidR="00DF2CC6" w:rsidRPr="00595884" w:rsidRDefault="00274BC6" w:rsidP="003C0A46">
            <w:pPr>
              <w:spacing w:before="20" w:after="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bidi="en-US"/>
              </w:rPr>
            </w:pPr>
            <w:r w:rsidRPr="00595884">
              <w:rPr>
                <w:rFonts w:asciiTheme="minorHAnsi" w:hAnsiTheme="minorHAnsi" w:cstheme="minorHAnsi"/>
                <w:b/>
                <w:i/>
                <w:lang w:bidi="en-US"/>
              </w:rPr>
              <w:t xml:space="preserve">Probably Low </w:t>
            </w:r>
            <w:r w:rsidRPr="00595884">
              <w:rPr>
                <w:rFonts w:asciiTheme="minorHAnsi" w:hAnsiTheme="minorHAnsi" w:cstheme="minorHAnsi"/>
                <w:i/>
                <w:lang w:bidi="en-US"/>
              </w:rPr>
              <w:t>risk of bias</w:t>
            </w:r>
            <w:r w:rsidRPr="00595884">
              <w:rPr>
                <w:rFonts w:asciiTheme="minorHAnsi" w:hAnsiTheme="minorHAnsi" w:cstheme="minorHAnsi"/>
                <w:lang w:bidi="en-US"/>
              </w:rPr>
              <w:t>:</w:t>
            </w:r>
          </w:p>
        </w:tc>
      </w:tr>
      <w:tr w:rsidR="004254E5" w14:paraId="7211CF49" w14:textId="77777777" w:rsidTr="004254E5">
        <w:tc>
          <w:tcPr>
            <w:cnfStyle w:val="001000000000" w:firstRow="0" w:lastRow="0" w:firstColumn="1" w:lastColumn="0" w:oddVBand="0" w:evenVBand="0" w:oddHBand="0" w:evenHBand="0" w:firstRowFirstColumn="0" w:firstRowLastColumn="0" w:lastRowFirstColumn="0" w:lastRowLastColumn="0"/>
            <w:tcW w:w="704" w:type="dxa"/>
            <w:vMerge/>
            <w:shd w:val="clear" w:color="auto" w:fill="9BBB59" w:themeFill="accent3"/>
          </w:tcPr>
          <w:p w14:paraId="355520B3" w14:textId="77777777" w:rsidR="00DF2CC6" w:rsidRPr="00595884" w:rsidRDefault="00DF2CC6" w:rsidP="003C0A46">
            <w:pPr>
              <w:spacing w:before="20" w:after="20" w:line="240" w:lineRule="auto"/>
              <w:jc w:val="center"/>
              <w:rPr>
                <w:rFonts w:asciiTheme="minorHAnsi" w:hAnsiTheme="minorHAnsi" w:cstheme="minorHAnsi"/>
                <w:noProof/>
                <w:sz w:val="28"/>
                <w:szCs w:val="28"/>
              </w:rPr>
            </w:pPr>
          </w:p>
        </w:tc>
        <w:tc>
          <w:tcPr>
            <w:tcW w:w="6802" w:type="dxa"/>
          </w:tcPr>
          <w:p w14:paraId="1DD43C16" w14:textId="3CCD2787" w:rsidR="00DF2CC6" w:rsidRPr="00595884" w:rsidRDefault="00274BC6" w:rsidP="003C0A46">
            <w:pPr>
              <w:spacing w:before="20" w:after="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bidi="en-US"/>
              </w:rPr>
            </w:pPr>
            <w:r w:rsidRPr="00595884">
              <w:rPr>
                <w:rFonts w:asciiTheme="minorHAnsi" w:hAnsiTheme="minorHAnsi" w:cstheme="minorHAnsi"/>
                <w:lang w:bidi="en-US"/>
              </w:rPr>
              <w:t>There is indirect evidence of low risk</w:t>
            </w:r>
            <w:r w:rsidR="0011078F">
              <w:rPr>
                <w:rFonts w:asciiTheme="minorHAnsi" w:hAnsiTheme="minorHAnsi" w:cstheme="minorHAnsi"/>
                <w:lang w:bidi="en-US"/>
              </w:rPr>
              <w:t xml:space="preserve"> </w:t>
            </w:r>
            <w:r w:rsidRPr="00595884">
              <w:rPr>
                <w:rFonts w:asciiTheme="minorHAnsi" w:hAnsiTheme="minorHAnsi" w:cstheme="minorHAnsi"/>
                <w:lang w:bidi="en-US"/>
              </w:rPr>
              <w:t>of</w:t>
            </w:r>
            <w:r w:rsidR="0011078F">
              <w:rPr>
                <w:rFonts w:asciiTheme="minorHAnsi" w:hAnsiTheme="minorHAnsi" w:cstheme="minorHAnsi"/>
                <w:lang w:bidi="en-US"/>
              </w:rPr>
              <w:t xml:space="preserve"> </w:t>
            </w:r>
            <w:r w:rsidRPr="00595884">
              <w:rPr>
                <w:rFonts w:asciiTheme="minorHAnsi" w:hAnsiTheme="minorHAnsi" w:cstheme="minorHAnsi"/>
                <w:lang w:bidi="en-US"/>
              </w:rPr>
              <w:t xml:space="preserve">bias practices </w:t>
            </w:r>
            <w:r w:rsidRPr="00595884">
              <w:rPr>
                <w:rFonts w:asciiTheme="minorHAnsi" w:hAnsiTheme="minorHAnsi" w:cstheme="minorHAnsi"/>
                <w:b/>
                <w:lang w:bidi="en-US"/>
              </w:rPr>
              <w:t xml:space="preserve">OR </w:t>
            </w:r>
            <w:r w:rsidRPr="00595884">
              <w:rPr>
                <w:rFonts w:asciiTheme="minorHAnsi" w:hAnsiTheme="minorHAnsi" w:cstheme="minorHAnsi"/>
                <w:lang w:bidi="en-US"/>
              </w:rPr>
              <w:t>it is deemed that deviations from low risk</w:t>
            </w:r>
            <w:r w:rsidR="0011078F">
              <w:rPr>
                <w:rFonts w:asciiTheme="minorHAnsi" w:hAnsiTheme="minorHAnsi" w:cstheme="minorHAnsi"/>
                <w:lang w:bidi="en-US"/>
              </w:rPr>
              <w:t xml:space="preserve"> </w:t>
            </w:r>
            <w:r w:rsidRPr="00595884">
              <w:rPr>
                <w:rFonts w:asciiTheme="minorHAnsi" w:hAnsiTheme="minorHAnsi" w:cstheme="minorHAnsi"/>
                <w:lang w:bidi="en-US"/>
              </w:rPr>
              <w:t>of</w:t>
            </w:r>
            <w:r w:rsidR="0011078F">
              <w:rPr>
                <w:rFonts w:asciiTheme="minorHAnsi" w:hAnsiTheme="minorHAnsi" w:cstheme="minorHAnsi"/>
                <w:lang w:bidi="en-US"/>
              </w:rPr>
              <w:t xml:space="preserve"> </w:t>
            </w:r>
            <w:r w:rsidRPr="00595884">
              <w:rPr>
                <w:rFonts w:asciiTheme="minorHAnsi" w:hAnsiTheme="minorHAnsi" w:cstheme="minorHAnsi"/>
                <w:lang w:bidi="en-US"/>
              </w:rPr>
              <w:t xml:space="preserve">bias practices for these criteria during the study would not appreciably bias results, </w:t>
            </w:r>
            <w:r w:rsidRPr="00595884">
              <w:rPr>
                <w:rFonts w:asciiTheme="minorHAnsi" w:hAnsiTheme="minorHAnsi" w:cstheme="minorHAnsi"/>
                <w:u w:val="single"/>
                <w:lang w:bidi="en-US"/>
              </w:rPr>
              <w:t>including consideration of direction and magnitude of bias</w:t>
            </w:r>
            <w:r w:rsidRPr="00595884">
              <w:rPr>
                <w:rFonts w:asciiTheme="minorHAnsi" w:hAnsiTheme="minorHAnsi" w:cstheme="minorHAnsi"/>
                <w:lang w:bidi="en-US"/>
              </w:rPr>
              <w:t>.</w:t>
            </w:r>
          </w:p>
        </w:tc>
      </w:tr>
      <w:tr w:rsidR="004254E5" w14:paraId="739ACF27" w14:textId="77777777" w:rsidTr="004254E5">
        <w:tc>
          <w:tcPr>
            <w:cnfStyle w:val="001000000000" w:firstRow="0" w:lastRow="0" w:firstColumn="1" w:lastColumn="0" w:oddVBand="0" w:evenVBand="0" w:oddHBand="0" w:evenHBand="0" w:firstRowFirstColumn="0" w:firstRowLastColumn="0" w:lastRowFirstColumn="0" w:lastRowLastColumn="0"/>
            <w:tcW w:w="704" w:type="dxa"/>
            <w:vMerge w:val="restart"/>
            <w:shd w:val="clear" w:color="auto" w:fill="F2DBDB" w:themeFill="accent2" w:themeFillTint="33"/>
          </w:tcPr>
          <w:p w14:paraId="304A25AC" w14:textId="77777777" w:rsidR="00DF2CC6" w:rsidRPr="00595884" w:rsidRDefault="00274BC6" w:rsidP="003C0A46">
            <w:pPr>
              <w:pStyle w:val="ListParagraph"/>
              <w:spacing w:before="20" w:after="20" w:line="240" w:lineRule="auto"/>
              <w:ind w:left="0"/>
              <w:jc w:val="center"/>
              <w:rPr>
                <w:rFonts w:asciiTheme="minorHAnsi" w:hAnsiTheme="minorHAnsi" w:cstheme="minorHAnsi"/>
                <w:b/>
                <w:sz w:val="28"/>
                <w:szCs w:val="28"/>
                <w:lang w:val="en-AU" w:bidi="en-US"/>
              </w:rPr>
            </w:pPr>
            <w:r w:rsidRPr="00595884">
              <w:rPr>
                <w:rFonts w:asciiTheme="minorHAnsi" w:hAnsiTheme="minorHAnsi" w:cstheme="minorHAnsi"/>
                <w:b/>
                <w:sz w:val="28"/>
                <w:szCs w:val="28"/>
                <w:lang w:val="en-AU" w:bidi="en-US"/>
              </w:rPr>
              <w:t>-</w:t>
            </w:r>
          </w:p>
        </w:tc>
        <w:tc>
          <w:tcPr>
            <w:tcW w:w="6802" w:type="dxa"/>
          </w:tcPr>
          <w:p w14:paraId="2793FE98" w14:textId="77777777" w:rsidR="00DF2CC6" w:rsidRPr="00595884" w:rsidRDefault="00274BC6" w:rsidP="003C0A46">
            <w:pPr>
              <w:spacing w:before="20" w:after="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bidi="en-US"/>
              </w:rPr>
            </w:pPr>
            <w:r w:rsidRPr="00595884">
              <w:rPr>
                <w:rFonts w:asciiTheme="minorHAnsi" w:hAnsiTheme="minorHAnsi" w:cstheme="minorHAnsi"/>
                <w:b/>
                <w:i/>
                <w:lang w:bidi="en-US"/>
              </w:rPr>
              <w:t xml:space="preserve">Probably High </w:t>
            </w:r>
            <w:r w:rsidRPr="00595884">
              <w:rPr>
                <w:rFonts w:asciiTheme="minorHAnsi" w:hAnsiTheme="minorHAnsi" w:cstheme="minorHAnsi"/>
                <w:i/>
                <w:lang w:bidi="en-US"/>
              </w:rPr>
              <w:t>risk of bias</w:t>
            </w:r>
            <w:r w:rsidRPr="00595884">
              <w:rPr>
                <w:rFonts w:asciiTheme="minorHAnsi" w:hAnsiTheme="minorHAnsi" w:cstheme="minorHAnsi"/>
                <w:lang w:bidi="en-US"/>
              </w:rPr>
              <w:t>:</w:t>
            </w:r>
          </w:p>
        </w:tc>
      </w:tr>
      <w:tr w:rsidR="004254E5" w14:paraId="51FC0620" w14:textId="77777777" w:rsidTr="004254E5">
        <w:tc>
          <w:tcPr>
            <w:cnfStyle w:val="001000000000" w:firstRow="0" w:lastRow="0" w:firstColumn="1" w:lastColumn="0" w:oddVBand="0" w:evenVBand="0" w:oddHBand="0" w:evenHBand="0" w:firstRowFirstColumn="0" w:firstRowLastColumn="0" w:lastRowFirstColumn="0" w:lastRowLastColumn="0"/>
            <w:tcW w:w="704" w:type="dxa"/>
            <w:vMerge/>
            <w:shd w:val="clear" w:color="auto" w:fill="F2DBDB" w:themeFill="accent2" w:themeFillTint="33"/>
          </w:tcPr>
          <w:p w14:paraId="150A0561" w14:textId="77777777" w:rsidR="00DF2CC6" w:rsidRPr="00595884" w:rsidRDefault="00DF2CC6" w:rsidP="003C0A46">
            <w:pPr>
              <w:spacing w:before="20" w:after="20" w:line="240" w:lineRule="auto"/>
              <w:jc w:val="center"/>
              <w:rPr>
                <w:rFonts w:asciiTheme="minorHAnsi" w:hAnsiTheme="minorHAnsi" w:cstheme="minorHAnsi"/>
                <w:sz w:val="28"/>
                <w:szCs w:val="28"/>
                <w:lang w:bidi="en-US"/>
              </w:rPr>
            </w:pPr>
          </w:p>
        </w:tc>
        <w:tc>
          <w:tcPr>
            <w:tcW w:w="6802" w:type="dxa"/>
          </w:tcPr>
          <w:p w14:paraId="3C7D179B" w14:textId="298B43FA" w:rsidR="00DF2CC6" w:rsidRPr="00595884" w:rsidRDefault="00274BC6" w:rsidP="003C0A46">
            <w:pPr>
              <w:spacing w:before="20" w:after="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bidi="en-US"/>
              </w:rPr>
            </w:pPr>
            <w:r w:rsidRPr="00595884">
              <w:rPr>
                <w:rFonts w:asciiTheme="minorHAnsi" w:hAnsiTheme="minorHAnsi" w:cstheme="minorHAnsi"/>
                <w:lang w:bidi="en-US"/>
              </w:rPr>
              <w:t>There is indirect evidence of high risk</w:t>
            </w:r>
            <w:r w:rsidR="0011078F">
              <w:rPr>
                <w:rFonts w:asciiTheme="minorHAnsi" w:hAnsiTheme="minorHAnsi" w:cstheme="minorHAnsi"/>
                <w:lang w:bidi="en-US"/>
              </w:rPr>
              <w:t xml:space="preserve"> </w:t>
            </w:r>
            <w:r w:rsidRPr="00595884">
              <w:rPr>
                <w:rFonts w:asciiTheme="minorHAnsi" w:hAnsiTheme="minorHAnsi" w:cstheme="minorHAnsi"/>
                <w:lang w:bidi="en-US"/>
              </w:rPr>
              <w:t>of</w:t>
            </w:r>
            <w:r w:rsidR="0011078F">
              <w:rPr>
                <w:rFonts w:asciiTheme="minorHAnsi" w:hAnsiTheme="minorHAnsi" w:cstheme="minorHAnsi"/>
                <w:lang w:bidi="en-US"/>
              </w:rPr>
              <w:t xml:space="preserve"> </w:t>
            </w:r>
            <w:r w:rsidRPr="00595884">
              <w:rPr>
                <w:rFonts w:asciiTheme="minorHAnsi" w:hAnsiTheme="minorHAnsi" w:cstheme="minorHAnsi"/>
                <w:lang w:bidi="en-US"/>
              </w:rPr>
              <w:t>bias practices</w:t>
            </w:r>
          </w:p>
          <w:p w14:paraId="25FF6615" w14:textId="5BF1600B" w:rsidR="00DF2CC6" w:rsidRPr="00595884" w:rsidRDefault="00274BC6" w:rsidP="003C0A46">
            <w:pPr>
              <w:spacing w:before="20" w:after="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bidi="en-US"/>
              </w:rPr>
            </w:pPr>
            <w:r w:rsidRPr="00595884">
              <w:rPr>
                <w:rFonts w:asciiTheme="minorHAnsi" w:hAnsiTheme="minorHAnsi" w:cstheme="minorHAnsi"/>
                <w:lang w:bidi="en-US"/>
              </w:rPr>
              <w:t>If there is insufficient information provided about relevant risk</w:t>
            </w:r>
            <w:r w:rsidR="0011078F">
              <w:rPr>
                <w:rFonts w:asciiTheme="minorHAnsi" w:hAnsiTheme="minorHAnsi" w:cstheme="minorHAnsi"/>
                <w:lang w:bidi="en-US"/>
              </w:rPr>
              <w:t xml:space="preserve"> </w:t>
            </w:r>
            <w:r w:rsidRPr="00595884">
              <w:rPr>
                <w:rFonts w:asciiTheme="minorHAnsi" w:hAnsiTheme="minorHAnsi" w:cstheme="minorHAnsi"/>
                <w:lang w:bidi="en-US"/>
              </w:rPr>
              <w:t>of</w:t>
            </w:r>
            <w:r w:rsidR="0011078F">
              <w:rPr>
                <w:rFonts w:asciiTheme="minorHAnsi" w:hAnsiTheme="minorHAnsi" w:cstheme="minorHAnsi"/>
                <w:lang w:bidi="en-US"/>
              </w:rPr>
              <w:t xml:space="preserve"> </w:t>
            </w:r>
            <w:r w:rsidRPr="00595884">
              <w:rPr>
                <w:rFonts w:asciiTheme="minorHAnsi" w:hAnsiTheme="minorHAnsi" w:cstheme="minorHAnsi"/>
                <w:lang w:bidi="en-US"/>
              </w:rPr>
              <w:t>bias practices, “not reported” or “NR” may be used instead of the minus symbol “</w:t>
            </w:r>
            <w:proofErr w:type="gramStart"/>
            <w:r w:rsidRPr="00595884">
              <w:rPr>
                <w:rFonts w:asciiTheme="minorHAnsi" w:hAnsiTheme="minorHAnsi" w:cstheme="minorHAnsi"/>
                <w:lang w:bidi="en-US"/>
              </w:rPr>
              <w:t>-“</w:t>
            </w:r>
            <w:proofErr w:type="gramEnd"/>
            <w:r w:rsidRPr="00595884">
              <w:rPr>
                <w:rFonts w:asciiTheme="minorHAnsi" w:hAnsiTheme="minorHAnsi" w:cstheme="minorHAnsi"/>
                <w:lang w:bidi="en-US"/>
              </w:rPr>
              <w:t>.</w:t>
            </w:r>
          </w:p>
        </w:tc>
      </w:tr>
      <w:tr w:rsidR="004254E5" w14:paraId="51508B12" w14:textId="77777777" w:rsidTr="004254E5">
        <w:tc>
          <w:tcPr>
            <w:cnfStyle w:val="001000000000" w:firstRow="0" w:lastRow="0" w:firstColumn="1" w:lastColumn="0" w:oddVBand="0" w:evenVBand="0" w:oddHBand="0" w:evenHBand="0" w:firstRowFirstColumn="0" w:firstRowLastColumn="0" w:lastRowFirstColumn="0" w:lastRowLastColumn="0"/>
            <w:tcW w:w="704" w:type="dxa"/>
            <w:vMerge w:val="restart"/>
            <w:shd w:val="clear" w:color="auto" w:fill="CC3300"/>
          </w:tcPr>
          <w:p w14:paraId="4C83D2F0" w14:textId="77777777" w:rsidR="00DF2CC6" w:rsidRPr="00595884" w:rsidRDefault="00274BC6" w:rsidP="003C0A46">
            <w:pPr>
              <w:spacing w:before="20" w:after="20" w:line="240" w:lineRule="auto"/>
              <w:jc w:val="center"/>
              <w:rPr>
                <w:rFonts w:asciiTheme="minorHAnsi" w:hAnsiTheme="minorHAnsi" w:cstheme="minorHAnsi"/>
                <w:noProof/>
                <w:sz w:val="28"/>
                <w:szCs w:val="28"/>
              </w:rPr>
            </w:pPr>
            <w:r w:rsidRPr="00595884">
              <w:rPr>
                <w:rFonts w:asciiTheme="minorHAnsi" w:hAnsiTheme="minorHAnsi" w:cstheme="minorHAnsi"/>
                <w:noProof/>
                <w:color w:val="FFFFFF" w:themeColor="background1"/>
                <w:sz w:val="28"/>
                <w:szCs w:val="28"/>
              </w:rPr>
              <w:t>--</w:t>
            </w:r>
          </w:p>
        </w:tc>
        <w:tc>
          <w:tcPr>
            <w:tcW w:w="6802" w:type="dxa"/>
          </w:tcPr>
          <w:p w14:paraId="78402ECE" w14:textId="77777777" w:rsidR="00DF2CC6" w:rsidRPr="00595884" w:rsidRDefault="00274BC6" w:rsidP="003C0A46">
            <w:pPr>
              <w:keepNext/>
              <w:spacing w:before="20" w:after="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bidi="en-US"/>
              </w:rPr>
            </w:pPr>
            <w:proofErr w:type="gramStart"/>
            <w:r w:rsidRPr="00595884">
              <w:rPr>
                <w:rFonts w:asciiTheme="minorHAnsi" w:hAnsiTheme="minorHAnsi" w:cstheme="minorHAnsi"/>
                <w:b/>
                <w:i/>
                <w:lang w:bidi="en-US"/>
              </w:rPr>
              <w:t>Definitely High</w:t>
            </w:r>
            <w:proofErr w:type="gramEnd"/>
            <w:r w:rsidRPr="00595884">
              <w:rPr>
                <w:rFonts w:asciiTheme="minorHAnsi" w:hAnsiTheme="minorHAnsi" w:cstheme="minorHAnsi"/>
                <w:b/>
                <w:i/>
                <w:lang w:bidi="en-US"/>
              </w:rPr>
              <w:t xml:space="preserve"> </w:t>
            </w:r>
            <w:r w:rsidRPr="00595884">
              <w:rPr>
                <w:rFonts w:asciiTheme="minorHAnsi" w:hAnsiTheme="minorHAnsi" w:cstheme="minorHAnsi"/>
                <w:i/>
                <w:lang w:bidi="en-US"/>
              </w:rPr>
              <w:t>risk of bias</w:t>
            </w:r>
            <w:r w:rsidRPr="00595884">
              <w:rPr>
                <w:rFonts w:asciiTheme="minorHAnsi" w:hAnsiTheme="minorHAnsi" w:cstheme="minorHAnsi"/>
                <w:lang w:bidi="en-US"/>
              </w:rPr>
              <w:t>:</w:t>
            </w:r>
          </w:p>
        </w:tc>
      </w:tr>
      <w:tr w:rsidR="004254E5" w14:paraId="1A5DBE32" w14:textId="77777777" w:rsidTr="004254E5">
        <w:tc>
          <w:tcPr>
            <w:cnfStyle w:val="001000000000" w:firstRow="0" w:lastRow="0" w:firstColumn="1" w:lastColumn="0" w:oddVBand="0" w:evenVBand="0" w:oddHBand="0" w:evenHBand="0" w:firstRowFirstColumn="0" w:firstRowLastColumn="0" w:lastRowFirstColumn="0" w:lastRowLastColumn="0"/>
            <w:tcW w:w="704" w:type="dxa"/>
            <w:vMerge/>
            <w:shd w:val="clear" w:color="auto" w:fill="CC3300"/>
          </w:tcPr>
          <w:p w14:paraId="19F423A8" w14:textId="77777777" w:rsidR="00DF2CC6" w:rsidRPr="00595884" w:rsidRDefault="00DF2CC6" w:rsidP="003C0A46">
            <w:pPr>
              <w:spacing w:before="20" w:after="20" w:line="240" w:lineRule="auto"/>
              <w:rPr>
                <w:rFonts w:asciiTheme="minorHAnsi" w:hAnsiTheme="minorHAnsi" w:cstheme="minorHAnsi"/>
                <w:lang w:bidi="en-US"/>
              </w:rPr>
            </w:pPr>
          </w:p>
        </w:tc>
        <w:tc>
          <w:tcPr>
            <w:tcW w:w="6802" w:type="dxa"/>
          </w:tcPr>
          <w:p w14:paraId="4608B002" w14:textId="1F864EAD" w:rsidR="00DF2CC6" w:rsidRPr="00595884" w:rsidRDefault="00274BC6" w:rsidP="003C0A46">
            <w:pPr>
              <w:spacing w:before="20" w:after="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bidi="en-US"/>
              </w:rPr>
            </w:pPr>
            <w:r w:rsidRPr="00595884">
              <w:rPr>
                <w:rFonts w:asciiTheme="minorHAnsi" w:hAnsiTheme="minorHAnsi" w:cstheme="minorHAnsi"/>
                <w:lang w:bidi="en-US"/>
              </w:rPr>
              <w:t>There is direct evidence of high risk</w:t>
            </w:r>
            <w:r w:rsidR="0011078F">
              <w:rPr>
                <w:rFonts w:asciiTheme="minorHAnsi" w:hAnsiTheme="minorHAnsi" w:cstheme="minorHAnsi"/>
                <w:lang w:bidi="en-US"/>
              </w:rPr>
              <w:t xml:space="preserve"> </w:t>
            </w:r>
            <w:r w:rsidRPr="00595884">
              <w:rPr>
                <w:rFonts w:asciiTheme="minorHAnsi" w:hAnsiTheme="minorHAnsi" w:cstheme="minorHAnsi"/>
                <w:lang w:bidi="en-US"/>
              </w:rPr>
              <w:t>of</w:t>
            </w:r>
            <w:r w:rsidR="0011078F">
              <w:rPr>
                <w:rFonts w:asciiTheme="minorHAnsi" w:hAnsiTheme="minorHAnsi" w:cstheme="minorHAnsi"/>
                <w:lang w:bidi="en-US"/>
              </w:rPr>
              <w:t xml:space="preserve"> </w:t>
            </w:r>
            <w:r w:rsidRPr="00595884">
              <w:rPr>
                <w:rFonts w:asciiTheme="minorHAnsi" w:hAnsiTheme="minorHAnsi" w:cstheme="minorHAnsi"/>
                <w:lang w:bidi="en-US"/>
              </w:rPr>
              <w:t>bias practices.</w:t>
            </w:r>
          </w:p>
          <w:p w14:paraId="56551D9C" w14:textId="51E1522C" w:rsidR="00DF2CC6" w:rsidRPr="00595884" w:rsidRDefault="00274BC6" w:rsidP="003C0A46">
            <w:pPr>
              <w:spacing w:before="20" w:after="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bidi="en-US"/>
              </w:rPr>
            </w:pPr>
            <w:r w:rsidRPr="00595884">
              <w:rPr>
                <w:rFonts w:asciiTheme="minorHAnsi" w:hAnsiTheme="minorHAnsi" w:cstheme="minorHAnsi"/>
                <w:lang w:bidi="en-US"/>
              </w:rPr>
              <w:t>May include specific examples of relevant high risk</w:t>
            </w:r>
            <w:r w:rsidR="0011078F">
              <w:rPr>
                <w:rFonts w:asciiTheme="minorHAnsi" w:hAnsiTheme="minorHAnsi" w:cstheme="minorHAnsi"/>
                <w:lang w:bidi="en-US"/>
              </w:rPr>
              <w:t xml:space="preserve"> </w:t>
            </w:r>
            <w:r w:rsidRPr="00595884">
              <w:rPr>
                <w:rFonts w:asciiTheme="minorHAnsi" w:hAnsiTheme="minorHAnsi" w:cstheme="minorHAnsi"/>
                <w:lang w:bidi="en-US"/>
              </w:rPr>
              <w:t>of</w:t>
            </w:r>
            <w:r w:rsidR="0011078F">
              <w:rPr>
                <w:rFonts w:asciiTheme="minorHAnsi" w:hAnsiTheme="minorHAnsi" w:cstheme="minorHAnsi"/>
                <w:lang w:bidi="en-US"/>
              </w:rPr>
              <w:t xml:space="preserve"> </w:t>
            </w:r>
            <w:r w:rsidRPr="00595884">
              <w:rPr>
                <w:rFonts w:asciiTheme="minorHAnsi" w:hAnsiTheme="minorHAnsi" w:cstheme="minorHAnsi"/>
                <w:lang w:bidi="en-US"/>
              </w:rPr>
              <w:t>bias practices.</w:t>
            </w:r>
          </w:p>
        </w:tc>
      </w:tr>
    </w:tbl>
    <w:p w14:paraId="7FB7E54D" w14:textId="7985379F" w:rsidR="00305708" w:rsidRDefault="00274BC6" w:rsidP="00DF2CC6">
      <w:r w:rsidRPr="00595884">
        <w:fldChar w:fldCharType="begin"/>
      </w:r>
      <w:r w:rsidRPr="00595884">
        <w:instrText xml:space="preserve"> ADDIN ZOTERO_ITEM CSL_CITATION {"citationID":"9gVbIeNA","properties":{"custom":"OHAT (2015)","formattedCitation":"OHAT (2015)","plainCitation":"OHAT (2015)","noteIndex":0},"citationItems":[{"id":11710,"uris":["http://zotero.org/users/148142/items/N6FQ6WBC"],"uri":["http://zotero.org/users/148142/items/N6FQ6WBC"],"itemData":{"id":11710,"type":"webpage","title":"Risk of Bias Tool. Office of Health Assessment and Translation (OHAT), U.S. Department of Health and Human Services","URL":"https://ntp.niehs.nih.gov/whatwestudy/assessments/noncancer/riskbias/index.html","author":[{"literal":"OHAT"}],"accessed":{"date-parts":[["2020",6,19]]},"issued":{"date-parts":[["2015",1]]}}}],"schema":"https://github.com/citation-style-language/schema/raw/master/csl-citation.json"} </w:instrText>
      </w:r>
      <w:r w:rsidRPr="00595884">
        <w:fldChar w:fldCharType="separate"/>
      </w:r>
      <w:r w:rsidRPr="00595884">
        <w:rPr>
          <w:rFonts w:cs="Arial"/>
        </w:rPr>
        <w:t>OHAT (2015)</w:t>
      </w:r>
      <w:r w:rsidRPr="00595884">
        <w:fldChar w:fldCharType="end"/>
      </w:r>
      <w:r w:rsidRPr="00595884">
        <w:t xml:space="preserve"> provides </w:t>
      </w:r>
      <w:r w:rsidR="003C6529" w:rsidRPr="00595884">
        <w:t xml:space="preserve">rigorous protocols </w:t>
      </w:r>
      <w:r w:rsidRPr="00595884">
        <w:t xml:space="preserve">that </w:t>
      </w:r>
      <w:r w:rsidR="003C6529" w:rsidRPr="00595884">
        <w:t xml:space="preserve">can be applied to </w:t>
      </w:r>
      <w:r w:rsidR="00AF35D0" w:rsidRPr="00595884">
        <w:t>case control studies, cohort studies, diagnostic test studies, randomised controlled trials, and cross</w:t>
      </w:r>
      <w:r w:rsidR="003C6529" w:rsidRPr="00595884">
        <w:t>-sectional stud</w:t>
      </w:r>
      <w:r w:rsidR="00AF35D0" w:rsidRPr="00595884">
        <w:t xml:space="preserve">ies. </w:t>
      </w:r>
      <w:r w:rsidRPr="00595884">
        <w:t xml:space="preserve">For these study types it was originally planned to </w:t>
      </w:r>
      <w:r w:rsidR="003C6529" w:rsidRPr="00595884">
        <w:t xml:space="preserve">apply the OHAT </w:t>
      </w:r>
      <w:r w:rsidR="0011078F">
        <w:t>r</w:t>
      </w:r>
      <w:r w:rsidR="00EE5B09" w:rsidRPr="00595884">
        <w:t>isk</w:t>
      </w:r>
      <w:r w:rsidR="0011078F">
        <w:t xml:space="preserve"> </w:t>
      </w:r>
      <w:r w:rsidR="00EE5B09" w:rsidRPr="00595884">
        <w:t>of</w:t>
      </w:r>
      <w:r w:rsidR="0011078F">
        <w:t xml:space="preserve"> b</w:t>
      </w:r>
      <w:r w:rsidR="00EE5B09" w:rsidRPr="00595884">
        <w:t xml:space="preserve">ias </w:t>
      </w:r>
      <w:r w:rsidR="0011078F">
        <w:t>t</w:t>
      </w:r>
      <w:r w:rsidR="00EE5B09" w:rsidRPr="00595884">
        <w:t>oo</w:t>
      </w:r>
      <w:r w:rsidR="003C6529" w:rsidRPr="00595884">
        <w:t>l</w:t>
      </w:r>
      <w:r w:rsidR="00EE5B09" w:rsidRPr="00595884">
        <w:t xml:space="preserve"> </w:t>
      </w:r>
      <w:r w:rsidR="0062791D" w:rsidRPr="00595884">
        <w:fldChar w:fldCharType="begin"/>
      </w:r>
      <w:r w:rsidR="00421B68" w:rsidRPr="00595884">
        <w:instrText xml:space="preserve"> ADDIN ZOTERO_ITEM CSL_CITATION {"citationID":"wsqSL7oz","properties":{"formattedCitation":"(OHAT, 2015)","plainCitation":"(OHAT, 2015)","noteIndex":0},"citationItems":[{"id":11710,"uris":["http://zotero.org/users/148142/items/N6FQ6WBC"],"uri":["http://zotero.org/users/148142/items/N6FQ6WBC"],"itemData":{"id":11710,"type":"webpage","title":"Risk of Bias Tool. Office of Health Assessment and Translation (OHAT), U.S. Department of Health and Human Services","URL":"https://ntp.niehs.nih.gov/whatwestudy/assessments/noncancer/riskbias/index.html","author":[{"literal":"OHAT"}],"accessed":{"date-parts":[["2020",6,19]]},"issued":{"date-parts":[["2015",1]]}}}],"schema":"https://github.com/citation-style-language/schema/raw/master/csl-citation.json"} </w:instrText>
      </w:r>
      <w:r w:rsidR="0062791D" w:rsidRPr="00595884">
        <w:fldChar w:fldCharType="separate"/>
      </w:r>
      <w:r w:rsidR="0062791D" w:rsidRPr="00595884">
        <w:rPr>
          <w:rFonts w:cs="Arial"/>
        </w:rPr>
        <w:t>(OHAT, 2015)</w:t>
      </w:r>
      <w:r w:rsidR="0062791D" w:rsidRPr="00595884">
        <w:fldChar w:fldCharType="end"/>
      </w:r>
      <w:r w:rsidR="0062791D" w:rsidRPr="00595884">
        <w:t xml:space="preserve"> and to develop similar risk of bias assessment criteria for the remaining categories of systematic reviews, qualitative and quantitative studies.  However,</w:t>
      </w:r>
      <w:r w:rsidR="00700316">
        <w:t xml:space="preserve"> it was determined that the OHAT tool was not suitable for </w:t>
      </w:r>
      <w:r>
        <w:t>assessing t</w:t>
      </w:r>
      <w:r w:rsidR="0062791D" w:rsidRPr="00595884">
        <w:t xml:space="preserve">he </w:t>
      </w:r>
      <w:r>
        <w:t>limited</w:t>
      </w:r>
      <w:r w:rsidRPr="00595884">
        <w:t xml:space="preserve"> </w:t>
      </w:r>
      <w:r w:rsidR="0062791D" w:rsidRPr="00595884">
        <w:t>shortlisted studies remaining after the screening process</w:t>
      </w:r>
      <w:r w:rsidR="008B14CA" w:rsidRPr="00595884">
        <w:t xml:space="preserve">.  Consequently, </w:t>
      </w:r>
      <w:r w:rsidR="007C694A" w:rsidRPr="00595884">
        <w:t>the CASP critical appraisal</w:t>
      </w:r>
      <w:r>
        <w:t xml:space="preserve"> tools were</w:t>
      </w:r>
      <w:r w:rsidR="007C694A" w:rsidRPr="00595884">
        <w:t xml:space="preserve"> used to conduct </w:t>
      </w:r>
      <w:r>
        <w:t>quality</w:t>
      </w:r>
      <w:r w:rsidR="007C694A" w:rsidRPr="00595884">
        <w:t xml:space="preserve"> assessment</w:t>
      </w:r>
      <w:r>
        <w:t>s</w:t>
      </w:r>
      <w:r w:rsidR="007C694A" w:rsidRPr="00595884">
        <w:t xml:space="preserve"> for </w:t>
      </w:r>
      <w:r w:rsidR="008B14CA" w:rsidRPr="00595884">
        <w:t xml:space="preserve">qualitative research studies </w:t>
      </w:r>
      <w:r w:rsidR="007C694A" w:rsidRPr="00595884">
        <w:t xml:space="preserve">because </w:t>
      </w:r>
      <w:r>
        <w:t>they were simpler and more efficient to use systematically across different study types. While not completely overlapping, the CASP tools</w:t>
      </w:r>
      <w:r w:rsidR="007C694A" w:rsidRPr="00595884">
        <w:t xml:space="preserve"> appl</w:t>
      </w:r>
      <w:r>
        <w:t>y</w:t>
      </w:r>
      <w:r w:rsidR="007C694A" w:rsidRPr="00595884">
        <w:t xml:space="preserve"> similar questions </w:t>
      </w:r>
      <w:r>
        <w:t xml:space="preserve">relating to some of the key OHAT risk of bias domains for evaluating </w:t>
      </w:r>
      <w:r w:rsidR="007C694A" w:rsidRPr="00595884">
        <w:t xml:space="preserve">the </w:t>
      </w:r>
      <w:r>
        <w:t xml:space="preserve">internal </w:t>
      </w:r>
      <w:r w:rsidR="007C694A" w:rsidRPr="00595884">
        <w:t xml:space="preserve">validity of </w:t>
      </w:r>
      <w:r>
        <w:t>a primary</w:t>
      </w:r>
      <w:r w:rsidRPr="00595884">
        <w:t xml:space="preserve"> </w:t>
      </w:r>
      <w:r w:rsidR="007C694A" w:rsidRPr="00595884">
        <w:t xml:space="preserve">study and the quality of its </w:t>
      </w:r>
      <w:r>
        <w:t xml:space="preserve">research </w:t>
      </w:r>
      <w:r w:rsidR="007C694A" w:rsidRPr="00595884">
        <w:t>findings.</w:t>
      </w:r>
    </w:p>
    <w:p w14:paraId="53B48A82" w14:textId="06B3D75C" w:rsidR="00C81042" w:rsidRPr="00595884" w:rsidRDefault="00305708" w:rsidP="00DF2CC6">
      <w:r>
        <w:t xml:space="preserve">The OHAT tool provided a colour-coded visual scheme to summarise the risk of bias assessments and was applied based on the response to the CASP question. </w:t>
      </w:r>
      <w:r w:rsidRPr="0018113C">
        <w:t>The combination of the two critical appraisal tools allowed for a reasonable assessment of study quality within the resources available for the review.</w:t>
      </w:r>
    </w:p>
    <w:p w14:paraId="3EEAACE1" w14:textId="6A29908C" w:rsidR="00AF35D0" w:rsidRPr="00595884" w:rsidRDefault="00274BC6" w:rsidP="00AF35D0">
      <w:r w:rsidRPr="00595884">
        <w:t xml:space="preserve">Once a determination of risk of bias for each domain was made, a visual summary of the risk of bias ratings for the included studies </w:t>
      </w:r>
      <w:r w:rsidR="00DF2CC6" w:rsidRPr="00595884">
        <w:t>w</w:t>
      </w:r>
      <w:r w:rsidRPr="00595884">
        <w:t>as prepared and used to determine overall risk of bias across the body of evidence.</w:t>
      </w:r>
    </w:p>
    <w:p w14:paraId="53594BA9" w14:textId="77777777" w:rsidR="00BA6F16" w:rsidRPr="00595884" w:rsidRDefault="00BA6F16" w:rsidP="00AF35D0"/>
    <w:p w14:paraId="3DA4E5EA" w14:textId="5BF01A34" w:rsidR="00486DEC" w:rsidRPr="00595884" w:rsidRDefault="00274BC6" w:rsidP="00D95B6A">
      <w:pPr>
        <w:pStyle w:val="Heading2"/>
      </w:pPr>
      <w:bookmarkStart w:id="49" w:name="_Toc106811122"/>
      <w:bookmarkStart w:id="50" w:name="_Ref48299132"/>
      <w:bookmarkStart w:id="51" w:name="_Toc48299169"/>
      <w:r w:rsidRPr="00595884">
        <w:t xml:space="preserve">Data </w:t>
      </w:r>
      <w:r w:rsidR="00F97FB8">
        <w:t>E</w:t>
      </w:r>
      <w:r w:rsidRPr="00595884">
        <w:t>xtraction</w:t>
      </w:r>
      <w:bookmarkEnd w:id="49"/>
    </w:p>
    <w:p w14:paraId="3CC63D13" w14:textId="605FC57F" w:rsidR="007477BA" w:rsidRPr="00595884" w:rsidRDefault="00274BC6" w:rsidP="007477BA">
      <w:r w:rsidRPr="00595884">
        <w:t>Data were extracted from individual studies using standardised data extraction forms designed for each class of literature. Samples of the data extraction forms are presented in the Technical Report</w:t>
      </w:r>
      <w:r w:rsidR="00305708">
        <w:t xml:space="preserve"> (O’Connor, 202</w:t>
      </w:r>
      <w:r w:rsidR="007345A4">
        <w:t>2</w:t>
      </w:r>
      <w:r w:rsidR="00305708">
        <w:t>)</w:t>
      </w:r>
      <w:r w:rsidRPr="00595884">
        <w:t>.</w:t>
      </w:r>
    </w:p>
    <w:p w14:paraId="5623939C" w14:textId="77777777" w:rsidR="00BA6F16" w:rsidRPr="00595884" w:rsidRDefault="00BA6F16" w:rsidP="007477BA"/>
    <w:p w14:paraId="6226E3FB" w14:textId="5AC71815" w:rsidR="00C81042" w:rsidRPr="00595884" w:rsidRDefault="00274BC6" w:rsidP="00F85F33">
      <w:pPr>
        <w:pStyle w:val="Heading2"/>
        <w:pageBreakBefore/>
      </w:pPr>
      <w:bookmarkStart w:id="52" w:name="_Toc106811123"/>
      <w:bookmarkStart w:id="53" w:name="_Hlk71714886"/>
      <w:bookmarkStart w:id="54" w:name="_Hlk71902846"/>
      <w:r w:rsidRPr="00595884">
        <w:t>Process for Assessing the Body of Evidence</w:t>
      </w:r>
      <w:bookmarkEnd w:id="50"/>
      <w:bookmarkEnd w:id="51"/>
      <w:bookmarkEnd w:id="52"/>
    </w:p>
    <w:p w14:paraId="39095326" w14:textId="2150FFF2" w:rsidR="004B5665" w:rsidRPr="00595884" w:rsidRDefault="00274BC6" w:rsidP="00911633">
      <w:pPr>
        <w:keepNext/>
        <w:rPr>
          <w:i/>
          <w:iCs/>
        </w:rPr>
      </w:pPr>
      <w:r w:rsidRPr="00595884">
        <w:rPr>
          <w:i/>
          <w:iCs/>
        </w:rPr>
        <w:t>Overview</w:t>
      </w:r>
    </w:p>
    <w:p w14:paraId="782966E7" w14:textId="3C599CFE" w:rsidR="00F535B1" w:rsidRPr="00595884" w:rsidRDefault="00274BC6" w:rsidP="005D07BC">
      <w:bookmarkStart w:id="55" w:name="_Hlk71714978"/>
      <w:r w:rsidRPr="00595884">
        <w:t>The evidence collected and appraised for each research question was grouped by study type and outcome where possible and summarised in an Evidence Summary table that assigned the level of certainty (or confidence) in that body of evidence.</w:t>
      </w:r>
      <w:r w:rsidR="00C22D0C" w:rsidRPr="00595884">
        <w:t xml:space="preserve">  </w:t>
      </w:r>
      <w:bookmarkEnd w:id="53"/>
      <w:r w:rsidRPr="00595884">
        <w:t xml:space="preserve">Due to the different nature and quality of evidence between </w:t>
      </w:r>
      <w:r w:rsidR="00D76DFB">
        <w:t>existing g</w:t>
      </w:r>
      <w:r w:rsidR="00D85C0C" w:rsidRPr="00595884">
        <w:t xml:space="preserve">uidelines and </w:t>
      </w:r>
      <w:r w:rsidR="00D76DFB">
        <w:t>p</w:t>
      </w:r>
      <w:r w:rsidR="00D85C0C" w:rsidRPr="00595884">
        <w:t xml:space="preserve">rimary </w:t>
      </w:r>
      <w:r w:rsidR="006C73DE">
        <w:t>s</w:t>
      </w:r>
      <w:r w:rsidR="00D85C0C" w:rsidRPr="00595884">
        <w:t xml:space="preserve">tudies </w:t>
      </w:r>
      <w:r w:rsidRPr="00595884">
        <w:t xml:space="preserve">different approaches were required to review and evaluate the body of evidence for each </w:t>
      </w:r>
      <w:r w:rsidR="00614A0B" w:rsidRPr="00595884">
        <w:t>class</w:t>
      </w:r>
      <w:r w:rsidRPr="00595884">
        <w:t xml:space="preserve"> of literature.  </w:t>
      </w:r>
      <w:bookmarkEnd w:id="55"/>
      <w:r w:rsidR="00614A0B" w:rsidRPr="00595884">
        <w:t>The assessment methodology for each literature class is described in the following sections.</w:t>
      </w:r>
    </w:p>
    <w:p w14:paraId="57FDD678" w14:textId="0A04C86D" w:rsidR="00232391" w:rsidRPr="00595884" w:rsidRDefault="00274BC6" w:rsidP="00232391">
      <w:pPr>
        <w:pStyle w:val="Heading3"/>
      </w:pPr>
      <w:bookmarkStart w:id="56" w:name="_Toc71638747"/>
      <w:bookmarkStart w:id="57" w:name="_Toc106811124"/>
      <w:r w:rsidRPr="00595884">
        <w:t xml:space="preserve">Assessment of the body of evidence – </w:t>
      </w:r>
      <w:r w:rsidR="00E02706">
        <w:t>p</w:t>
      </w:r>
      <w:r w:rsidR="00F03193" w:rsidRPr="00595884">
        <w:t xml:space="preserve">rimary </w:t>
      </w:r>
      <w:r w:rsidR="00E02706">
        <w:t>s</w:t>
      </w:r>
      <w:r w:rsidR="00F03193" w:rsidRPr="00595884">
        <w:t>tudies</w:t>
      </w:r>
      <w:bookmarkEnd w:id="56"/>
      <w:bookmarkEnd w:id="57"/>
    </w:p>
    <w:p w14:paraId="4019AF62" w14:textId="646E9423" w:rsidR="00232391" w:rsidRPr="00595884" w:rsidRDefault="00274BC6" w:rsidP="00232391">
      <w:r w:rsidRPr="00595884">
        <w:t xml:space="preserve">A process described by </w:t>
      </w:r>
      <w:r w:rsidRPr="00595884">
        <w:fldChar w:fldCharType="begin"/>
      </w:r>
      <w:r w:rsidRPr="00595884">
        <w:instrText xml:space="preserve"> ADDIN ZOTERO_ITEM CSL_CITATION {"citationID":"TOVGTOqA","properties":{"custom":"Ryan and Hill (2016)","formattedCitation":"Ryan and Hill (2016)","plainCitation":"Ryan and Hill (2016)","noteIndex":0},"citationItems":[{"id":17461,"uris":["http://zotero.org/users/148142/items/KM6SMR4D"],"uri":["http://zotero.org/users/148142/items/KM6SMR4D"],"itemData":{"id":17461,"type":"report","title":"How to GRADE the quality of the evidence. Cochrane Consumers and Communication Group. Version 3.0 December 2016","URL":"http://cccrg.cochrane.org/author-resources","author":[{"family":"Ryan","given":"R"},{"family":"Hill","given":"S"}],"issued":{"date-parts":[["2016"]]}}}],"schema":"https://github.com/citation-style-language/schema/raw/master/csl-citation.json"} </w:instrText>
      </w:r>
      <w:r w:rsidRPr="00595884">
        <w:fldChar w:fldCharType="separate"/>
      </w:r>
      <w:r w:rsidRPr="00595884">
        <w:rPr>
          <w:rFonts w:cs="Arial"/>
        </w:rPr>
        <w:t>Ryan and Hill (2016)</w:t>
      </w:r>
      <w:r w:rsidRPr="00595884">
        <w:fldChar w:fldCharType="end"/>
      </w:r>
      <w:r w:rsidRPr="00595884">
        <w:t xml:space="preserve"> based on the OHAT approach to using the GRADE system (developed by </w:t>
      </w:r>
      <w:r w:rsidRPr="00595884">
        <w:fldChar w:fldCharType="begin"/>
      </w:r>
      <w:r w:rsidRPr="00595884">
        <w:instrText xml:space="preserve"> ADDIN ZOTERO_ITEM CSL_CITATION {"citationID":"yyx0all7","properties":{"custom":"Guyatt, Oxman, et al., 2011)","formattedCitation":"Guyatt, Oxman, et al., 2011)","plainCitation":"Guyatt, Oxman, et al., 2011)","noteIndex":0},"citationItems":[{"id":17467,"uris":["http://zotero.org/users/148142/items/6IX5XNJP"],"uri":["http://zotero.org/users/148142/items/6IX5XNJP"],"itemData":{"id":17467,"type":"article-journal","container-title":"Journal of Clinical Epidemiology","DOI":"10.1016/j.jclinepi.2010.04.026","ISSN":"08954356","issue":"4","journalAbbreviation":"Journal of Clinical Epidemiology","language":"en","page":"383-394","source":"DOI.org (Crossref)","title":"GRADE guidelines: 1. Introduction—GRADE evidence profiles and summary of findings tables","title-short":"GRADE guidelines","volume":"64","author":[{"family":"Guyatt","given":"Gordon"},{"family":"Oxman","given":"Andrew D."},{"family":"Akl","given":"Elie A."},{"family":"Kunz","given":"Regina"},{"family":"Vist","given":"Gunn"},{"family":"Brozek","given":"Jan"},{"family":"Norris","given":"Susan"},{"family":"Falck-Ytter","given":"Yngve"},{"family":"Glasziou","given":"Paul"},{"family":"deBeer","given":"Hans"}],"issued":{"date-parts":[["2011",4]]}}}],"schema":"https://github.com/citation-style-language/schema/raw/master/csl-citation.json"} </w:instrText>
      </w:r>
      <w:r w:rsidRPr="00595884">
        <w:fldChar w:fldCharType="separate"/>
      </w:r>
      <w:r w:rsidRPr="00595884">
        <w:rPr>
          <w:rFonts w:cs="Arial"/>
        </w:rPr>
        <w:t>Guyatt, Oxman, et al., 2011)</w:t>
      </w:r>
      <w:r w:rsidRPr="00595884">
        <w:fldChar w:fldCharType="end"/>
      </w:r>
      <w:r w:rsidRPr="00595884">
        <w:t xml:space="preserve"> was used to assess the certainty of the body of evidence from </w:t>
      </w:r>
      <w:r w:rsidR="00E02706">
        <w:t>p</w:t>
      </w:r>
      <w:r w:rsidR="00F03193" w:rsidRPr="00595884">
        <w:t xml:space="preserve">rimary </w:t>
      </w:r>
      <w:r w:rsidR="00E02706">
        <w:t>s</w:t>
      </w:r>
      <w:r w:rsidR="00F03193" w:rsidRPr="00595884">
        <w:t>tudies</w:t>
      </w:r>
      <w:r w:rsidRPr="00595884">
        <w:t>. Evidence streams for each research question were tabulated together by outcome</w:t>
      </w:r>
      <w:r w:rsidR="00983E21">
        <w:t>,</w:t>
      </w:r>
      <w:r w:rsidRPr="00595884">
        <w:t xml:space="preserve"> where possible. The domains used to assess certainty in the GRADE framework were applied to the body of evidence, after which an overall certainty rating was then assigned to each evidence stream.  The domains are:</w:t>
      </w:r>
    </w:p>
    <w:p w14:paraId="346A0AC2" w14:textId="77777777" w:rsidR="00232391" w:rsidRPr="00595884" w:rsidRDefault="00274BC6" w:rsidP="00700FDF">
      <w:pPr>
        <w:pStyle w:val="ListParagraph"/>
        <w:numPr>
          <w:ilvl w:val="0"/>
          <w:numId w:val="11"/>
        </w:numPr>
        <w:ind w:left="714" w:hanging="357"/>
        <w:contextualSpacing/>
        <w:rPr>
          <w:lang w:val="en-AU"/>
        </w:rPr>
      </w:pPr>
      <w:r w:rsidRPr="00595884">
        <w:rPr>
          <w:lang w:val="en-AU"/>
        </w:rPr>
        <w:t xml:space="preserve">Overall risk of bias across </w:t>
      </w:r>
      <w:proofErr w:type="gramStart"/>
      <w:r w:rsidRPr="00595884">
        <w:rPr>
          <w:lang w:val="en-AU"/>
        </w:rPr>
        <w:t>studies;</w:t>
      </w:r>
      <w:proofErr w:type="gramEnd"/>
    </w:p>
    <w:p w14:paraId="632B8B3E" w14:textId="77777777" w:rsidR="00232391" w:rsidRPr="00595884" w:rsidRDefault="00274BC6" w:rsidP="00700FDF">
      <w:pPr>
        <w:pStyle w:val="ListParagraph"/>
        <w:numPr>
          <w:ilvl w:val="0"/>
          <w:numId w:val="11"/>
        </w:numPr>
        <w:ind w:left="714" w:hanging="357"/>
        <w:contextualSpacing/>
        <w:rPr>
          <w:lang w:val="en-AU"/>
        </w:rPr>
      </w:pPr>
      <w:r w:rsidRPr="00595884">
        <w:rPr>
          <w:lang w:val="en-AU"/>
        </w:rPr>
        <w:t xml:space="preserve">Unexplained </w:t>
      </w:r>
      <w:proofErr w:type="gramStart"/>
      <w:r w:rsidRPr="00595884">
        <w:rPr>
          <w:lang w:val="en-AU"/>
        </w:rPr>
        <w:t>inconsistency;</w:t>
      </w:r>
      <w:proofErr w:type="gramEnd"/>
    </w:p>
    <w:p w14:paraId="1889B067" w14:textId="77777777" w:rsidR="00232391" w:rsidRPr="00595884" w:rsidRDefault="00274BC6" w:rsidP="00700FDF">
      <w:pPr>
        <w:pStyle w:val="ListParagraph"/>
        <w:numPr>
          <w:ilvl w:val="0"/>
          <w:numId w:val="11"/>
        </w:numPr>
        <w:ind w:left="714" w:hanging="357"/>
        <w:contextualSpacing/>
        <w:rPr>
          <w:lang w:val="en-AU"/>
        </w:rPr>
      </w:pPr>
      <w:proofErr w:type="gramStart"/>
      <w:r w:rsidRPr="00595884">
        <w:rPr>
          <w:lang w:val="en-AU"/>
        </w:rPr>
        <w:t>Imprecision;</w:t>
      </w:r>
      <w:proofErr w:type="gramEnd"/>
    </w:p>
    <w:p w14:paraId="754121F4" w14:textId="77777777" w:rsidR="00232391" w:rsidRPr="00595884" w:rsidRDefault="00274BC6" w:rsidP="00700FDF">
      <w:pPr>
        <w:pStyle w:val="ListParagraph"/>
        <w:numPr>
          <w:ilvl w:val="0"/>
          <w:numId w:val="11"/>
        </w:numPr>
        <w:ind w:left="714" w:hanging="357"/>
        <w:contextualSpacing/>
        <w:rPr>
          <w:lang w:val="en-AU"/>
        </w:rPr>
      </w:pPr>
      <w:r w:rsidRPr="00595884">
        <w:rPr>
          <w:lang w:val="en-AU"/>
        </w:rPr>
        <w:t>Indirectness; and</w:t>
      </w:r>
    </w:p>
    <w:p w14:paraId="5EC072DE" w14:textId="77777777" w:rsidR="00232391" w:rsidRPr="00595884" w:rsidRDefault="00274BC6" w:rsidP="00700FDF">
      <w:pPr>
        <w:pStyle w:val="ListParagraph"/>
        <w:numPr>
          <w:ilvl w:val="0"/>
          <w:numId w:val="11"/>
        </w:numPr>
        <w:ind w:left="714" w:hanging="357"/>
        <w:contextualSpacing/>
        <w:rPr>
          <w:lang w:val="en-AU"/>
        </w:rPr>
      </w:pPr>
      <w:r w:rsidRPr="00595884">
        <w:rPr>
          <w:lang w:val="en-AU"/>
        </w:rPr>
        <w:t xml:space="preserve">Publication bias. </w:t>
      </w:r>
    </w:p>
    <w:p w14:paraId="180397C7" w14:textId="4845E31B" w:rsidR="00232391" w:rsidRPr="00595884" w:rsidRDefault="00274BC6" w:rsidP="00232391">
      <w:r w:rsidRPr="00595884">
        <w:t xml:space="preserve">Each evidence stream was assigned an initial certainty rating based on the form shown in </w:t>
      </w:r>
      <w:r w:rsidRPr="00595884">
        <w:fldChar w:fldCharType="begin"/>
      </w:r>
      <w:r w:rsidRPr="00595884">
        <w:instrText xml:space="preserve"> REF _Ref70435464 \h </w:instrText>
      </w:r>
      <w:r w:rsidRPr="00595884">
        <w:fldChar w:fldCharType="separate"/>
      </w:r>
      <w:r w:rsidR="003132AF" w:rsidRPr="00595884">
        <w:t xml:space="preserve">Table </w:t>
      </w:r>
      <w:r w:rsidR="003132AF">
        <w:rPr>
          <w:noProof/>
        </w:rPr>
        <w:t>2</w:t>
      </w:r>
      <w:r w:rsidR="003132AF">
        <w:noBreakHyphen/>
      </w:r>
      <w:r w:rsidR="003132AF">
        <w:rPr>
          <w:noProof/>
        </w:rPr>
        <w:t>3</w:t>
      </w:r>
      <w:r w:rsidRPr="00595884">
        <w:fldChar w:fldCharType="end"/>
      </w:r>
      <w:r w:rsidR="00983E21">
        <w:t>,</w:t>
      </w:r>
      <w:r w:rsidRPr="00595884">
        <w:t xml:space="preserve"> which is based on guidance from the OHAT </w:t>
      </w:r>
      <w:r w:rsidR="00040A41">
        <w:t>H</w:t>
      </w:r>
      <w:r w:rsidRPr="00595884">
        <w:t xml:space="preserve">andbook </w:t>
      </w:r>
      <w:r w:rsidRPr="00595884">
        <w:fldChar w:fldCharType="begin"/>
      </w:r>
      <w:r w:rsidRPr="00595884">
        <w:instrText xml:space="preserve"> ADDIN ZOTERO_ITEM CSL_CITATION {"citationID":"2btffxPX","properties":{"formattedCitation":"(OHAT, 2019)","plainCitation":"(OHAT, 2019)","noteIndex":0},"citationItems":[{"id":11791,"uris":["http://zotero.org/users/148142/items/QNVMZ3M2"],"uri":["http://zotero.org/users/148142/items/QNVMZ3M2"],"itemData":{"id":11791,"type":"report","page":"101","publisher":"Office of Health Assessment and Translation (OHAT), US Department of Health and Human Services","title":"Handbook for Conducting a Literature-Based Health Assessment Using OHAT Approach for Systematic Review and Evidence Integration","URL":"https://ntp.niehs.nih.gov/go/ohathandbook","author":[{"literal":"OHAT"}],"issued":{"date-parts":[["2019",3,4]]}}}],"schema":"https://github.com/citation-style-language/schema/raw/master/csl-citation.json"} </w:instrText>
      </w:r>
      <w:r w:rsidRPr="00595884">
        <w:fldChar w:fldCharType="separate"/>
      </w:r>
      <w:r w:rsidRPr="00595884">
        <w:rPr>
          <w:rFonts w:cs="Arial"/>
        </w:rPr>
        <w:t>(OHAT, 2019)</w:t>
      </w:r>
      <w:r w:rsidRPr="00595884">
        <w:fldChar w:fldCharType="end"/>
      </w:r>
      <w:r w:rsidRPr="00595884">
        <w:t>. For example, evidence from randomised controlled trials could initially be graded as high certainty and evidence from qualitative studies could be initially graded as low certainty.</w:t>
      </w:r>
    </w:p>
    <w:p w14:paraId="5CE25AB3" w14:textId="741CAF9E" w:rsidR="00232391" w:rsidRPr="00595884" w:rsidRDefault="00274BC6" w:rsidP="00F85F33">
      <w:pPr>
        <w:pStyle w:val="Caption"/>
        <w:pageBreakBefore/>
      </w:pPr>
      <w:bookmarkStart w:id="58" w:name="_Ref70435464"/>
      <w:bookmarkStart w:id="59" w:name="_Toc71638843"/>
      <w:bookmarkStart w:id="60" w:name="_Toc106811165"/>
      <w:r w:rsidRPr="00595884">
        <w:t xml:space="preserve">Table </w:t>
      </w:r>
      <w:r w:rsidR="003132AF">
        <w:fldChar w:fldCharType="begin"/>
      </w:r>
      <w:r w:rsidR="003132AF">
        <w:instrText xml:space="preserve"> STYLEREF 1 \s </w:instrText>
      </w:r>
      <w:r w:rsidR="003132AF">
        <w:fldChar w:fldCharType="separate"/>
      </w:r>
      <w:r w:rsidR="003132AF">
        <w:rPr>
          <w:noProof/>
        </w:rPr>
        <w:t>2</w:t>
      </w:r>
      <w:r w:rsidR="003132AF">
        <w:rPr>
          <w:noProof/>
        </w:rPr>
        <w:fldChar w:fldCharType="end"/>
      </w:r>
      <w:r w:rsidR="00CE064A">
        <w:noBreakHyphen/>
      </w:r>
      <w:r w:rsidR="003132AF">
        <w:fldChar w:fldCharType="begin"/>
      </w:r>
      <w:r w:rsidR="003132AF">
        <w:instrText xml:space="preserve"> SEQ Table \* ARABIC \s 1 </w:instrText>
      </w:r>
      <w:r w:rsidR="003132AF">
        <w:fldChar w:fldCharType="separate"/>
      </w:r>
      <w:r w:rsidR="003132AF">
        <w:rPr>
          <w:noProof/>
        </w:rPr>
        <w:t>3</w:t>
      </w:r>
      <w:r w:rsidR="003132AF">
        <w:rPr>
          <w:noProof/>
        </w:rPr>
        <w:fldChar w:fldCharType="end"/>
      </w:r>
      <w:bookmarkEnd w:id="58"/>
      <w:r w:rsidRPr="00595884">
        <w:t xml:space="preserve">. Summary of findings – body of evidence form (adapted from OHAT </w:t>
      </w:r>
      <w:r w:rsidR="003829EB">
        <w:t>H</w:t>
      </w:r>
      <w:r w:rsidRPr="00595884">
        <w:t xml:space="preserve">andbook </w:t>
      </w:r>
      <w:r w:rsidRPr="00595884">
        <w:fldChar w:fldCharType="begin"/>
      </w:r>
      <w:r w:rsidRPr="00595884">
        <w:instrText xml:space="preserve"> ADDIN ZOTERO_ITEM CSL_CITATION {"citationID":"ORFUn8Is","properties":{"custom":"(OHAT 2019)","formattedCitation":"(OHAT 2019)","plainCitation":"(OHAT 2019)","noteIndex":0},"citationItems":[{"id":11791,"uris":["http://zotero.org/users/148142/items/QNVMZ3M2"],"uri":["http://zotero.org/users/148142/items/QNVMZ3M2"],"itemData":{"id":11791,"type":"report","page":"101","publisher":"Office of Health Assessment and Translation (OHAT), US Department of Health and Human Services","title":"Handbook for Conducting a Literature-Based Health Assessment Using OHAT Approach for Systematic Review and Evidence Integration","URL":"https://ntp.niehs.nih.gov/go/ohathandbook","author":[{"literal":"OHAT"}],"issued":{"date-parts":[["2019",3,4]]}}}],"schema":"https://github.com/citation-style-language/schema/raw/master/csl-citation.json"} </w:instrText>
      </w:r>
      <w:r w:rsidRPr="00595884">
        <w:fldChar w:fldCharType="separate"/>
      </w:r>
      <w:r w:rsidRPr="00595884">
        <w:rPr>
          <w:rFonts w:cs="Arial"/>
        </w:rPr>
        <w:t>(OHAT 2019)</w:t>
      </w:r>
      <w:r w:rsidRPr="00595884">
        <w:fldChar w:fldCharType="end"/>
      </w:r>
      <w:r w:rsidRPr="00595884">
        <w:t xml:space="preserve"> and transposed to fit page).</w:t>
      </w:r>
      <w:bookmarkEnd w:id="59"/>
      <w:bookmarkEnd w:id="60"/>
    </w:p>
    <w:tbl>
      <w:tblPr>
        <w:tblW w:w="5750" w:type="pct"/>
        <w:tblInd w:w="-567" w:type="dxa"/>
        <w:tblLook w:val="04A0" w:firstRow="1" w:lastRow="0" w:firstColumn="1" w:lastColumn="0" w:noHBand="0" w:noVBand="1"/>
      </w:tblPr>
      <w:tblGrid>
        <w:gridCol w:w="1267"/>
        <w:gridCol w:w="1280"/>
        <w:gridCol w:w="2412"/>
        <w:gridCol w:w="1274"/>
        <w:gridCol w:w="640"/>
        <w:gridCol w:w="640"/>
        <w:gridCol w:w="640"/>
        <w:gridCol w:w="636"/>
      </w:tblGrid>
      <w:tr w:rsidR="004254E5" w14:paraId="607605B9" w14:textId="77777777" w:rsidTr="003C0A46">
        <w:trPr>
          <w:tblHeader/>
        </w:trPr>
        <w:tc>
          <w:tcPr>
            <w:tcW w:w="721" w:type="pct"/>
            <w:vMerge w:val="restart"/>
            <w:tcBorders>
              <w:top w:val="single" w:sz="4" w:space="0" w:color="B5DDDC"/>
              <w:left w:val="single" w:sz="4" w:space="0" w:color="B5DDDC"/>
              <w:right w:val="single" w:sz="4" w:space="0" w:color="B5DDDC"/>
            </w:tcBorders>
            <w:shd w:val="clear" w:color="000000" w:fill="B5DDDC"/>
            <w:vAlign w:val="center"/>
            <w:hideMark/>
          </w:tcPr>
          <w:p w14:paraId="72BE61B6" w14:textId="77777777" w:rsidR="00232391" w:rsidRPr="00595884" w:rsidRDefault="00274BC6" w:rsidP="003C0A46">
            <w:pPr>
              <w:spacing w:before="0" w:after="0" w:line="240" w:lineRule="auto"/>
              <w:rPr>
                <w:rFonts w:ascii="Calibri" w:hAnsi="Calibri" w:cs="Calibri"/>
                <w:b/>
                <w:bCs/>
                <w:color w:val="008000"/>
                <w:sz w:val="16"/>
                <w:szCs w:val="16"/>
              </w:rPr>
            </w:pPr>
            <w:r w:rsidRPr="00595884">
              <w:rPr>
                <w:rFonts w:ascii="Calibri" w:hAnsi="Calibri" w:cs="Calibri"/>
                <w:b/>
                <w:bCs/>
                <w:color w:val="008000"/>
                <w:sz w:val="16"/>
                <w:szCs w:val="16"/>
              </w:rPr>
              <w:t> Item</w:t>
            </w:r>
          </w:p>
        </w:tc>
        <w:tc>
          <w:tcPr>
            <w:tcW w:w="728" w:type="pct"/>
            <w:vMerge w:val="restart"/>
            <w:tcBorders>
              <w:top w:val="single" w:sz="4" w:space="0" w:color="B5DDDC"/>
              <w:left w:val="nil"/>
              <w:right w:val="single" w:sz="4" w:space="0" w:color="B5DDDC"/>
            </w:tcBorders>
            <w:shd w:val="clear" w:color="000000" w:fill="B5DDDC"/>
            <w:vAlign w:val="center"/>
            <w:hideMark/>
          </w:tcPr>
          <w:p w14:paraId="0CB77769" w14:textId="77777777" w:rsidR="00232391" w:rsidRPr="00595884" w:rsidRDefault="00274BC6" w:rsidP="003C0A46">
            <w:pPr>
              <w:spacing w:before="0" w:after="0" w:line="240" w:lineRule="auto"/>
              <w:rPr>
                <w:rFonts w:ascii="Calibri" w:hAnsi="Calibri" w:cs="Calibri"/>
                <w:b/>
                <w:bCs/>
                <w:color w:val="008000"/>
                <w:sz w:val="16"/>
                <w:szCs w:val="16"/>
              </w:rPr>
            </w:pPr>
            <w:r w:rsidRPr="00595884">
              <w:rPr>
                <w:rFonts w:ascii="Calibri" w:hAnsi="Calibri" w:cs="Calibri"/>
                <w:b/>
                <w:bCs/>
                <w:color w:val="008000"/>
                <w:sz w:val="16"/>
                <w:szCs w:val="16"/>
              </w:rPr>
              <w:t>Classification</w:t>
            </w:r>
          </w:p>
        </w:tc>
        <w:tc>
          <w:tcPr>
            <w:tcW w:w="1372" w:type="pct"/>
            <w:vMerge w:val="restart"/>
            <w:tcBorders>
              <w:top w:val="single" w:sz="4" w:space="0" w:color="B5DDDC"/>
              <w:left w:val="nil"/>
              <w:right w:val="single" w:sz="4" w:space="0" w:color="B5DDDC"/>
            </w:tcBorders>
            <w:shd w:val="clear" w:color="000000" w:fill="B5DDDC"/>
            <w:vAlign w:val="center"/>
            <w:hideMark/>
          </w:tcPr>
          <w:p w14:paraId="756CA705" w14:textId="77777777" w:rsidR="00232391" w:rsidRPr="00595884" w:rsidRDefault="00274BC6" w:rsidP="003C0A46">
            <w:pPr>
              <w:spacing w:before="0" w:after="0" w:line="240" w:lineRule="auto"/>
              <w:rPr>
                <w:rFonts w:ascii="Calibri" w:hAnsi="Calibri" w:cs="Calibri"/>
                <w:b/>
                <w:bCs/>
                <w:color w:val="008000"/>
                <w:sz w:val="16"/>
                <w:szCs w:val="16"/>
              </w:rPr>
            </w:pPr>
            <w:r w:rsidRPr="00595884">
              <w:rPr>
                <w:rFonts w:ascii="Calibri" w:hAnsi="Calibri" w:cs="Calibri"/>
                <w:b/>
                <w:bCs/>
                <w:color w:val="008000"/>
                <w:sz w:val="16"/>
                <w:szCs w:val="16"/>
              </w:rPr>
              <w:t>Description</w:t>
            </w:r>
          </w:p>
        </w:tc>
        <w:tc>
          <w:tcPr>
            <w:tcW w:w="725" w:type="pct"/>
            <w:vMerge w:val="restart"/>
            <w:tcBorders>
              <w:top w:val="single" w:sz="4" w:space="0" w:color="B5DDDC"/>
              <w:left w:val="nil"/>
              <w:right w:val="single" w:sz="4" w:space="0" w:color="B5DDDC"/>
            </w:tcBorders>
            <w:shd w:val="clear" w:color="000000" w:fill="B5DDDC"/>
            <w:vAlign w:val="center"/>
            <w:hideMark/>
          </w:tcPr>
          <w:p w14:paraId="64506DA4" w14:textId="77777777" w:rsidR="00232391" w:rsidRPr="00595884" w:rsidRDefault="00274BC6" w:rsidP="003C0A46">
            <w:pPr>
              <w:spacing w:before="0" w:after="0" w:line="240" w:lineRule="auto"/>
              <w:rPr>
                <w:rFonts w:ascii="Calibri" w:hAnsi="Calibri" w:cs="Calibri"/>
                <w:b/>
                <w:bCs/>
                <w:color w:val="008000"/>
                <w:sz w:val="16"/>
                <w:szCs w:val="16"/>
              </w:rPr>
            </w:pPr>
            <w:r w:rsidRPr="00595884">
              <w:rPr>
                <w:rFonts w:ascii="Calibri" w:hAnsi="Calibri" w:cs="Calibri"/>
                <w:b/>
                <w:bCs/>
                <w:color w:val="008000"/>
                <w:sz w:val="16"/>
                <w:szCs w:val="16"/>
              </w:rPr>
              <w:t>Research question</w:t>
            </w:r>
          </w:p>
        </w:tc>
        <w:tc>
          <w:tcPr>
            <w:tcW w:w="728" w:type="pct"/>
            <w:gridSpan w:val="2"/>
            <w:tcBorders>
              <w:top w:val="single" w:sz="4" w:space="0" w:color="B5DDDC"/>
              <w:left w:val="nil"/>
              <w:bottom w:val="single" w:sz="4" w:space="0" w:color="B5DDDC"/>
              <w:right w:val="single" w:sz="4" w:space="0" w:color="B5DDDC"/>
            </w:tcBorders>
            <w:shd w:val="clear" w:color="000000" w:fill="B5DDDC"/>
            <w:vAlign w:val="center"/>
            <w:hideMark/>
          </w:tcPr>
          <w:p w14:paraId="7C8B0C1C" w14:textId="77777777" w:rsidR="00232391" w:rsidRPr="00595884" w:rsidRDefault="00274BC6" w:rsidP="003C0A46">
            <w:pPr>
              <w:spacing w:before="0" w:after="0" w:line="240" w:lineRule="auto"/>
              <w:jc w:val="center"/>
              <w:rPr>
                <w:rFonts w:ascii="Calibri" w:hAnsi="Calibri" w:cs="Calibri"/>
                <w:b/>
                <w:bCs/>
                <w:color w:val="008000"/>
                <w:sz w:val="16"/>
                <w:szCs w:val="16"/>
              </w:rPr>
            </w:pPr>
            <w:r w:rsidRPr="00595884">
              <w:rPr>
                <w:rFonts w:ascii="Calibri" w:hAnsi="Calibri" w:cs="Calibri"/>
                <w:b/>
                <w:bCs/>
                <w:color w:val="008000"/>
                <w:sz w:val="16"/>
                <w:szCs w:val="16"/>
              </w:rPr>
              <w:t xml:space="preserve">Outcome </w:t>
            </w:r>
            <w:proofErr w:type="gramStart"/>
            <w:r w:rsidRPr="00595884">
              <w:rPr>
                <w:rFonts w:ascii="Calibri" w:hAnsi="Calibri" w:cs="Calibri"/>
                <w:b/>
                <w:bCs/>
                <w:color w:val="008000"/>
                <w:sz w:val="16"/>
                <w:szCs w:val="16"/>
              </w:rPr>
              <w:t>1.*</w:t>
            </w:r>
            <w:proofErr w:type="gramEnd"/>
          </w:p>
        </w:tc>
        <w:tc>
          <w:tcPr>
            <w:tcW w:w="726" w:type="pct"/>
            <w:gridSpan w:val="2"/>
            <w:tcBorders>
              <w:top w:val="single" w:sz="4" w:space="0" w:color="B5DDDC"/>
              <w:left w:val="nil"/>
              <w:bottom w:val="single" w:sz="4" w:space="0" w:color="B5DDDC"/>
              <w:right w:val="single" w:sz="4" w:space="0" w:color="B5DDDC"/>
            </w:tcBorders>
            <w:shd w:val="clear" w:color="000000" w:fill="B5DDDC"/>
            <w:vAlign w:val="center"/>
            <w:hideMark/>
          </w:tcPr>
          <w:p w14:paraId="7D5C7EB6" w14:textId="77777777" w:rsidR="00232391" w:rsidRPr="00595884" w:rsidRDefault="00274BC6" w:rsidP="003C0A46">
            <w:pPr>
              <w:spacing w:before="0" w:after="0" w:line="240" w:lineRule="auto"/>
              <w:jc w:val="center"/>
              <w:rPr>
                <w:rFonts w:ascii="Calibri" w:hAnsi="Calibri" w:cs="Calibri"/>
                <w:b/>
                <w:bCs/>
                <w:color w:val="008000"/>
                <w:sz w:val="16"/>
                <w:szCs w:val="16"/>
              </w:rPr>
            </w:pPr>
            <w:r w:rsidRPr="00595884">
              <w:rPr>
                <w:rFonts w:ascii="Calibri" w:hAnsi="Calibri" w:cs="Calibri"/>
                <w:b/>
                <w:bCs/>
                <w:color w:val="008000"/>
                <w:sz w:val="16"/>
                <w:szCs w:val="16"/>
              </w:rPr>
              <w:t>Outcome 2. etc.</w:t>
            </w:r>
          </w:p>
        </w:tc>
      </w:tr>
      <w:tr w:rsidR="004254E5" w14:paraId="2A20ACED" w14:textId="77777777" w:rsidTr="003C0A46">
        <w:trPr>
          <w:tblHeader/>
        </w:trPr>
        <w:tc>
          <w:tcPr>
            <w:tcW w:w="721" w:type="pct"/>
            <w:vMerge/>
            <w:tcBorders>
              <w:left w:val="single" w:sz="4" w:space="0" w:color="B5DDDC"/>
              <w:right w:val="single" w:sz="4" w:space="0" w:color="B5DDDC"/>
            </w:tcBorders>
            <w:shd w:val="clear" w:color="000000" w:fill="B5DDDC"/>
            <w:vAlign w:val="center"/>
            <w:hideMark/>
          </w:tcPr>
          <w:p w14:paraId="2AC682EB" w14:textId="77777777" w:rsidR="00232391" w:rsidRPr="00595884" w:rsidRDefault="00232391" w:rsidP="003C0A46">
            <w:pPr>
              <w:spacing w:before="0" w:after="0" w:line="240" w:lineRule="auto"/>
              <w:rPr>
                <w:rFonts w:ascii="Calibri" w:hAnsi="Calibri" w:cs="Calibri"/>
                <w:b/>
                <w:bCs/>
                <w:color w:val="008000"/>
                <w:sz w:val="16"/>
                <w:szCs w:val="16"/>
              </w:rPr>
            </w:pPr>
          </w:p>
        </w:tc>
        <w:tc>
          <w:tcPr>
            <w:tcW w:w="728" w:type="pct"/>
            <w:vMerge/>
            <w:tcBorders>
              <w:left w:val="nil"/>
              <w:right w:val="single" w:sz="4" w:space="0" w:color="B5DDDC"/>
            </w:tcBorders>
            <w:shd w:val="clear" w:color="000000" w:fill="B5DDDC"/>
            <w:vAlign w:val="center"/>
            <w:hideMark/>
          </w:tcPr>
          <w:p w14:paraId="1C993CC0" w14:textId="77777777" w:rsidR="00232391" w:rsidRPr="00595884" w:rsidRDefault="00232391" w:rsidP="003C0A46">
            <w:pPr>
              <w:spacing w:before="0" w:after="0" w:line="240" w:lineRule="auto"/>
              <w:rPr>
                <w:rFonts w:ascii="Calibri" w:hAnsi="Calibri" w:cs="Calibri"/>
                <w:b/>
                <w:bCs/>
                <w:color w:val="008000"/>
                <w:sz w:val="16"/>
                <w:szCs w:val="16"/>
              </w:rPr>
            </w:pPr>
          </w:p>
        </w:tc>
        <w:tc>
          <w:tcPr>
            <w:tcW w:w="1372" w:type="pct"/>
            <w:vMerge/>
            <w:tcBorders>
              <w:left w:val="nil"/>
              <w:right w:val="single" w:sz="4" w:space="0" w:color="B5DDDC"/>
            </w:tcBorders>
            <w:shd w:val="clear" w:color="000000" w:fill="B5DDDC"/>
            <w:vAlign w:val="center"/>
            <w:hideMark/>
          </w:tcPr>
          <w:p w14:paraId="3DBC6140" w14:textId="77777777" w:rsidR="00232391" w:rsidRPr="00595884" w:rsidRDefault="00232391" w:rsidP="003C0A46">
            <w:pPr>
              <w:spacing w:before="0" w:after="0" w:line="240" w:lineRule="auto"/>
              <w:rPr>
                <w:rFonts w:ascii="Calibri" w:hAnsi="Calibri" w:cs="Calibri"/>
                <w:b/>
                <w:bCs/>
                <w:color w:val="008000"/>
                <w:sz w:val="16"/>
                <w:szCs w:val="16"/>
              </w:rPr>
            </w:pPr>
          </w:p>
        </w:tc>
        <w:tc>
          <w:tcPr>
            <w:tcW w:w="725" w:type="pct"/>
            <w:vMerge/>
            <w:tcBorders>
              <w:left w:val="nil"/>
              <w:right w:val="single" w:sz="4" w:space="0" w:color="B5DDDC"/>
            </w:tcBorders>
            <w:shd w:val="clear" w:color="000000" w:fill="B5DDDC"/>
            <w:vAlign w:val="center"/>
            <w:hideMark/>
          </w:tcPr>
          <w:p w14:paraId="7EEBA35F" w14:textId="77777777" w:rsidR="00232391" w:rsidRPr="00595884" w:rsidRDefault="00232391" w:rsidP="003C0A46">
            <w:pPr>
              <w:spacing w:before="0" w:after="0" w:line="240" w:lineRule="auto"/>
              <w:rPr>
                <w:rFonts w:ascii="Calibri" w:hAnsi="Calibri" w:cs="Calibri"/>
                <w:b/>
                <w:bCs/>
                <w:color w:val="008000"/>
                <w:sz w:val="16"/>
                <w:szCs w:val="16"/>
              </w:rPr>
            </w:pPr>
          </w:p>
        </w:tc>
        <w:tc>
          <w:tcPr>
            <w:tcW w:w="728" w:type="pct"/>
            <w:gridSpan w:val="2"/>
            <w:tcBorders>
              <w:top w:val="nil"/>
              <w:left w:val="nil"/>
              <w:bottom w:val="single" w:sz="4" w:space="0" w:color="B5DDDC"/>
              <w:right w:val="single" w:sz="4" w:space="0" w:color="B5DDDC"/>
            </w:tcBorders>
            <w:shd w:val="clear" w:color="000000" w:fill="B5DDDC"/>
            <w:vAlign w:val="center"/>
            <w:hideMark/>
          </w:tcPr>
          <w:p w14:paraId="30E76C86" w14:textId="77777777" w:rsidR="00232391" w:rsidRPr="00595884" w:rsidRDefault="00274BC6" w:rsidP="003C0A46">
            <w:pPr>
              <w:spacing w:before="0" w:after="0" w:line="240" w:lineRule="auto"/>
              <w:jc w:val="center"/>
              <w:rPr>
                <w:rFonts w:ascii="Calibri" w:hAnsi="Calibri" w:cs="Calibri"/>
                <w:b/>
                <w:bCs/>
                <w:color w:val="008000"/>
                <w:sz w:val="16"/>
                <w:szCs w:val="16"/>
              </w:rPr>
            </w:pPr>
            <w:r w:rsidRPr="00595884">
              <w:rPr>
                <w:rFonts w:ascii="Calibri" w:hAnsi="Calibri" w:cs="Calibri"/>
                <w:b/>
                <w:bCs/>
                <w:color w:val="008000"/>
                <w:sz w:val="16"/>
                <w:szCs w:val="16"/>
              </w:rPr>
              <w:t>Study Type **</w:t>
            </w:r>
          </w:p>
        </w:tc>
        <w:tc>
          <w:tcPr>
            <w:tcW w:w="726" w:type="pct"/>
            <w:gridSpan w:val="2"/>
            <w:tcBorders>
              <w:top w:val="nil"/>
              <w:left w:val="nil"/>
              <w:bottom w:val="single" w:sz="4" w:space="0" w:color="B5DDDC"/>
              <w:right w:val="single" w:sz="4" w:space="0" w:color="B5DDDC"/>
            </w:tcBorders>
            <w:shd w:val="clear" w:color="000000" w:fill="B5DDDC"/>
            <w:vAlign w:val="center"/>
            <w:hideMark/>
          </w:tcPr>
          <w:p w14:paraId="393B11A5" w14:textId="77777777" w:rsidR="00232391" w:rsidRPr="00595884" w:rsidRDefault="00274BC6" w:rsidP="003C0A46">
            <w:pPr>
              <w:spacing w:before="0" w:after="0" w:line="240" w:lineRule="auto"/>
              <w:jc w:val="center"/>
              <w:rPr>
                <w:rFonts w:ascii="Calibri" w:hAnsi="Calibri" w:cs="Calibri"/>
                <w:b/>
                <w:bCs/>
                <w:color w:val="008000"/>
                <w:sz w:val="16"/>
                <w:szCs w:val="16"/>
              </w:rPr>
            </w:pPr>
            <w:r w:rsidRPr="00595884">
              <w:rPr>
                <w:rFonts w:ascii="Calibri" w:hAnsi="Calibri" w:cs="Calibri"/>
                <w:b/>
                <w:bCs/>
                <w:color w:val="008000"/>
                <w:sz w:val="16"/>
                <w:szCs w:val="16"/>
              </w:rPr>
              <w:t>Study Type</w:t>
            </w:r>
          </w:p>
        </w:tc>
      </w:tr>
      <w:tr w:rsidR="004254E5" w14:paraId="7AA48C58" w14:textId="77777777" w:rsidTr="003C0A46">
        <w:trPr>
          <w:tblHeader/>
        </w:trPr>
        <w:tc>
          <w:tcPr>
            <w:tcW w:w="721" w:type="pct"/>
            <w:vMerge/>
            <w:tcBorders>
              <w:left w:val="single" w:sz="4" w:space="0" w:color="B5DDDC"/>
              <w:bottom w:val="single" w:sz="4" w:space="0" w:color="B5DDDC"/>
              <w:right w:val="single" w:sz="4" w:space="0" w:color="B5DDDC"/>
            </w:tcBorders>
            <w:shd w:val="clear" w:color="000000" w:fill="B5DDDC"/>
            <w:vAlign w:val="center"/>
          </w:tcPr>
          <w:p w14:paraId="4296CC9A" w14:textId="77777777" w:rsidR="00232391" w:rsidRPr="00595884" w:rsidRDefault="00232391" w:rsidP="003C0A46">
            <w:pPr>
              <w:spacing w:before="0" w:after="0" w:line="240" w:lineRule="auto"/>
              <w:rPr>
                <w:rFonts w:ascii="Calibri" w:hAnsi="Calibri" w:cs="Calibri"/>
                <w:b/>
                <w:bCs/>
                <w:color w:val="008000"/>
                <w:sz w:val="16"/>
                <w:szCs w:val="16"/>
              </w:rPr>
            </w:pPr>
          </w:p>
        </w:tc>
        <w:tc>
          <w:tcPr>
            <w:tcW w:w="728" w:type="pct"/>
            <w:vMerge/>
            <w:tcBorders>
              <w:left w:val="nil"/>
              <w:bottom w:val="single" w:sz="4" w:space="0" w:color="B5DDDC"/>
              <w:right w:val="single" w:sz="4" w:space="0" w:color="B5DDDC"/>
            </w:tcBorders>
            <w:shd w:val="clear" w:color="000000" w:fill="B5DDDC"/>
            <w:vAlign w:val="center"/>
          </w:tcPr>
          <w:p w14:paraId="2E33F4E1" w14:textId="77777777" w:rsidR="00232391" w:rsidRPr="00595884" w:rsidRDefault="00232391" w:rsidP="003C0A46">
            <w:pPr>
              <w:spacing w:before="0" w:after="0" w:line="240" w:lineRule="auto"/>
              <w:rPr>
                <w:rFonts w:ascii="Calibri" w:hAnsi="Calibri" w:cs="Calibri"/>
                <w:b/>
                <w:bCs/>
                <w:color w:val="008000"/>
                <w:sz w:val="16"/>
                <w:szCs w:val="16"/>
              </w:rPr>
            </w:pPr>
          </w:p>
        </w:tc>
        <w:tc>
          <w:tcPr>
            <w:tcW w:w="1372" w:type="pct"/>
            <w:vMerge/>
            <w:tcBorders>
              <w:left w:val="nil"/>
              <w:bottom w:val="single" w:sz="4" w:space="0" w:color="B5DDDC"/>
              <w:right w:val="single" w:sz="4" w:space="0" w:color="B5DDDC"/>
            </w:tcBorders>
            <w:shd w:val="clear" w:color="000000" w:fill="B5DDDC"/>
            <w:vAlign w:val="center"/>
          </w:tcPr>
          <w:p w14:paraId="1A4639C7" w14:textId="77777777" w:rsidR="00232391" w:rsidRPr="00595884" w:rsidRDefault="00232391" w:rsidP="003C0A46">
            <w:pPr>
              <w:spacing w:before="0" w:after="0" w:line="240" w:lineRule="auto"/>
              <w:rPr>
                <w:rFonts w:ascii="Calibri" w:hAnsi="Calibri" w:cs="Calibri"/>
                <w:b/>
                <w:bCs/>
                <w:color w:val="008000"/>
                <w:sz w:val="16"/>
                <w:szCs w:val="16"/>
              </w:rPr>
            </w:pPr>
          </w:p>
        </w:tc>
        <w:tc>
          <w:tcPr>
            <w:tcW w:w="725" w:type="pct"/>
            <w:vMerge/>
            <w:tcBorders>
              <w:left w:val="nil"/>
              <w:bottom w:val="single" w:sz="4" w:space="0" w:color="B5DDDC"/>
              <w:right w:val="single" w:sz="4" w:space="0" w:color="B5DDDC"/>
            </w:tcBorders>
            <w:shd w:val="clear" w:color="000000" w:fill="B5DDDC"/>
            <w:vAlign w:val="center"/>
          </w:tcPr>
          <w:p w14:paraId="13233933" w14:textId="77777777" w:rsidR="00232391" w:rsidRPr="00595884" w:rsidRDefault="00232391" w:rsidP="003C0A46">
            <w:pPr>
              <w:spacing w:before="0" w:after="0" w:line="240" w:lineRule="auto"/>
              <w:rPr>
                <w:rFonts w:ascii="Calibri" w:hAnsi="Calibri" w:cs="Calibri"/>
                <w:b/>
                <w:bCs/>
                <w:color w:val="008000"/>
                <w:sz w:val="16"/>
                <w:szCs w:val="16"/>
              </w:rPr>
            </w:pPr>
          </w:p>
        </w:tc>
        <w:tc>
          <w:tcPr>
            <w:tcW w:w="364" w:type="pct"/>
            <w:tcBorders>
              <w:top w:val="nil"/>
              <w:left w:val="nil"/>
              <w:bottom w:val="single" w:sz="4" w:space="0" w:color="B5DDDC"/>
              <w:right w:val="single" w:sz="4" w:space="0" w:color="B5DDDC"/>
            </w:tcBorders>
            <w:shd w:val="clear" w:color="000000" w:fill="B5DDDC"/>
            <w:vAlign w:val="center"/>
          </w:tcPr>
          <w:p w14:paraId="49560BF4" w14:textId="77777777" w:rsidR="00232391" w:rsidRPr="00595884" w:rsidRDefault="00274BC6" w:rsidP="003C0A46">
            <w:pPr>
              <w:spacing w:before="0" w:after="0" w:line="240" w:lineRule="auto"/>
              <w:jc w:val="center"/>
              <w:rPr>
                <w:rFonts w:ascii="Calibri" w:hAnsi="Calibri" w:cs="Calibri"/>
                <w:b/>
                <w:bCs/>
                <w:color w:val="008000"/>
                <w:sz w:val="16"/>
                <w:szCs w:val="16"/>
              </w:rPr>
            </w:pPr>
            <w:r w:rsidRPr="00595884">
              <w:rPr>
                <w:rFonts w:ascii="Calibri" w:hAnsi="Calibri" w:cs="Calibri"/>
                <w:b/>
                <w:bCs/>
                <w:color w:val="008000"/>
                <w:sz w:val="16"/>
                <w:szCs w:val="16"/>
              </w:rPr>
              <w:t>1</w:t>
            </w:r>
          </w:p>
        </w:tc>
        <w:tc>
          <w:tcPr>
            <w:tcW w:w="364" w:type="pct"/>
            <w:tcBorders>
              <w:top w:val="nil"/>
              <w:left w:val="nil"/>
              <w:bottom w:val="single" w:sz="4" w:space="0" w:color="B5DDDC"/>
              <w:right w:val="single" w:sz="4" w:space="0" w:color="B5DDDC"/>
            </w:tcBorders>
            <w:shd w:val="clear" w:color="000000" w:fill="B5DDDC"/>
            <w:vAlign w:val="center"/>
          </w:tcPr>
          <w:p w14:paraId="051572D9" w14:textId="77777777" w:rsidR="00232391" w:rsidRPr="00595884" w:rsidRDefault="00274BC6" w:rsidP="003C0A46">
            <w:pPr>
              <w:spacing w:before="0" w:after="0" w:line="240" w:lineRule="auto"/>
              <w:jc w:val="center"/>
              <w:rPr>
                <w:rFonts w:ascii="Calibri" w:hAnsi="Calibri" w:cs="Calibri"/>
                <w:b/>
                <w:bCs/>
                <w:color w:val="008000"/>
                <w:sz w:val="16"/>
                <w:szCs w:val="16"/>
              </w:rPr>
            </w:pPr>
            <w:r w:rsidRPr="00595884">
              <w:rPr>
                <w:rFonts w:ascii="Calibri" w:hAnsi="Calibri" w:cs="Calibri"/>
                <w:b/>
                <w:bCs/>
                <w:color w:val="008000"/>
                <w:sz w:val="16"/>
                <w:szCs w:val="16"/>
              </w:rPr>
              <w:t>2</w:t>
            </w:r>
          </w:p>
        </w:tc>
        <w:tc>
          <w:tcPr>
            <w:tcW w:w="364" w:type="pct"/>
            <w:tcBorders>
              <w:top w:val="nil"/>
              <w:left w:val="nil"/>
              <w:bottom w:val="single" w:sz="4" w:space="0" w:color="B5DDDC"/>
              <w:right w:val="single" w:sz="4" w:space="0" w:color="B5DDDC"/>
            </w:tcBorders>
            <w:shd w:val="clear" w:color="000000" w:fill="B5DDDC"/>
            <w:vAlign w:val="center"/>
          </w:tcPr>
          <w:p w14:paraId="22E3B531" w14:textId="77777777" w:rsidR="00232391" w:rsidRPr="00595884" w:rsidRDefault="00274BC6" w:rsidP="003C0A46">
            <w:pPr>
              <w:spacing w:before="0" w:after="0" w:line="240" w:lineRule="auto"/>
              <w:jc w:val="center"/>
              <w:rPr>
                <w:rFonts w:ascii="Calibri" w:hAnsi="Calibri" w:cs="Calibri"/>
                <w:b/>
                <w:bCs/>
                <w:color w:val="008000"/>
                <w:sz w:val="16"/>
                <w:szCs w:val="16"/>
              </w:rPr>
            </w:pPr>
            <w:r w:rsidRPr="00595884">
              <w:rPr>
                <w:rFonts w:ascii="Calibri" w:hAnsi="Calibri" w:cs="Calibri"/>
                <w:b/>
                <w:bCs/>
                <w:color w:val="008000"/>
                <w:sz w:val="16"/>
                <w:szCs w:val="16"/>
              </w:rPr>
              <w:t>1</w:t>
            </w:r>
          </w:p>
        </w:tc>
        <w:tc>
          <w:tcPr>
            <w:tcW w:w="362" w:type="pct"/>
            <w:tcBorders>
              <w:top w:val="nil"/>
              <w:left w:val="nil"/>
              <w:bottom w:val="single" w:sz="4" w:space="0" w:color="B5DDDC"/>
              <w:right w:val="single" w:sz="4" w:space="0" w:color="B5DDDC"/>
            </w:tcBorders>
            <w:shd w:val="clear" w:color="000000" w:fill="B5DDDC"/>
            <w:vAlign w:val="center"/>
          </w:tcPr>
          <w:p w14:paraId="14AAE1C9" w14:textId="77777777" w:rsidR="00232391" w:rsidRPr="00595884" w:rsidRDefault="00274BC6" w:rsidP="003C0A46">
            <w:pPr>
              <w:spacing w:before="0" w:after="0" w:line="240" w:lineRule="auto"/>
              <w:jc w:val="center"/>
              <w:rPr>
                <w:rFonts w:ascii="Calibri" w:hAnsi="Calibri" w:cs="Calibri"/>
                <w:b/>
                <w:bCs/>
                <w:color w:val="008000"/>
                <w:sz w:val="16"/>
                <w:szCs w:val="16"/>
              </w:rPr>
            </w:pPr>
            <w:r w:rsidRPr="00595884">
              <w:rPr>
                <w:rFonts w:ascii="Calibri" w:hAnsi="Calibri" w:cs="Calibri"/>
                <w:b/>
                <w:bCs/>
                <w:color w:val="008000"/>
                <w:sz w:val="16"/>
                <w:szCs w:val="16"/>
              </w:rPr>
              <w:t>2</w:t>
            </w:r>
          </w:p>
        </w:tc>
      </w:tr>
      <w:tr w:rsidR="004254E5" w14:paraId="7E3E694A" w14:textId="77777777" w:rsidTr="003C0A46">
        <w:tc>
          <w:tcPr>
            <w:tcW w:w="721" w:type="pct"/>
            <w:tcBorders>
              <w:top w:val="nil"/>
              <w:left w:val="single" w:sz="4" w:space="0" w:color="B5DDDC"/>
              <w:bottom w:val="single" w:sz="4" w:space="0" w:color="B5DDDC"/>
              <w:right w:val="single" w:sz="4" w:space="0" w:color="B5DDDC"/>
            </w:tcBorders>
            <w:shd w:val="clear" w:color="000000" w:fill="D6EAEB"/>
            <w:vAlign w:val="center"/>
            <w:hideMark/>
          </w:tcPr>
          <w:p w14:paraId="15A9123E" w14:textId="77777777" w:rsidR="00232391" w:rsidRPr="00595884" w:rsidRDefault="00274BC6" w:rsidP="003C0A46">
            <w:pPr>
              <w:spacing w:before="0" w:after="0" w:line="240" w:lineRule="auto"/>
              <w:rPr>
                <w:rFonts w:ascii="Calibri" w:hAnsi="Calibri" w:cs="Calibri"/>
                <w:color w:val="000000"/>
                <w:sz w:val="16"/>
                <w:szCs w:val="16"/>
              </w:rPr>
            </w:pPr>
            <w:r w:rsidRPr="00595884">
              <w:rPr>
                <w:rFonts w:ascii="Calibri" w:hAnsi="Calibri" w:cs="Calibri"/>
                <w:color w:val="000000"/>
                <w:sz w:val="16"/>
                <w:szCs w:val="16"/>
              </w:rPr>
              <w:t>Body of evidence</w:t>
            </w:r>
          </w:p>
        </w:tc>
        <w:tc>
          <w:tcPr>
            <w:tcW w:w="728" w:type="pct"/>
            <w:tcBorders>
              <w:top w:val="nil"/>
              <w:left w:val="nil"/>
              <w:bottom w:val="single" w:sz="4" w:space="0" w:color="B5DDDC"/>
              <w:right w:val="single" w:sz="4" w:space="0" w:color="B5DDDC"/>
            </w:tcBorders>
            <w:vAlign w:val="center"/>
            <w:hideMark/>
          </w:tcPr>
          <w:p w14:paraId="122D9B2F" w14:textId="77777777" w:rsidR="00232391" w:rsidRPr="00595884" w:rsidRDefault="00274BC6" w:rsidP="003C0A46">
            <w:pPr>
              <w:spacing w:before="0" w:after="0" w:line="240" w:lineRule="auto"/>
              <w:rPr>
                <w:rFonts w:ascii="Calibri" w:hAnsi="Calibri" w:cs="Calibri"/>
                <w:i/>
                <w:iCs/>
                <w:color w:val="000000"/>
                <w:sz w:val="16"/>
                <w:szCs w:val="16"/>
              </w:rPr>
            </w:pPr>
            <w:r w:rsidRPr="00595884">
              <w:rPr>
                <w:rFonts w:ascii="Calibri" w:hAnsi="Calibri" w:cs="Calibri"/>
                <w:i/>
                <w:iCs/>
                <w:color w:val="000000"/>
                <w:sz w:val="16"/>
                <w:szCs w:val="16"/>
              </w:rPr>
              <w:t xml:space="preserve">Evidence </w:t>
            </w:r>
            <w:proofErr w:type="gramStart"/>
            <w:r w:rsidRPr="00595884">
              <w:rPr>
                <w:rFonts w:ascii="Calibri" w:hAnsi="Calibri" w:cs="Calibri"/>
                <w:i/>
                <w:iCs/>
                <w:color w:val="000000"/>
                <w:sz w:val="16"/>
                <w:szCs w:val="16"/>
              </w:rPr>
              <w:t>stream</w:t>
            </w:r>
            <w:proofErr w:type="gramEnd"/>
            <w:r w:rsidRPr="00595884">
              <w:rPr>
                <w:rFonts w:ascii="Calibri" w:hAnsi="Calibri" w:cs="Calibri"/>
                <w:i/>
                <w:iCs/>
                <w:color w:val="000000"/>
                <w:sz w:val="16"/>
                <w:szCs w:val="16"/>
              </w:rPr>
              <w:t xml:space="preserve"> or study type</w:t>
            </w:r>
          </w:p>
        </w:tc>
        <w:tc>
          <w:tcPr>
            <w:tcW w:w="1372" w:type="pct"/>
            <w:tcBorders>
              <w:top w:val="nil"/>
              <w:left w:val="nil"/>
              <w:bottom w:val="single" w:sz="4" w:space="0" w:color="B5DDDC"/>
              <w:right w:val="single" w:sz="4" w:space="0" w:color="B5DDDC"/>
            </w:tcBorders>
            <w:vAlign w:val="center"/>
            <w:hideMark/>
          </w:tcPr>
          <w:p w14:paraId="7AA71890" w14:textId="77777777" w:rsidR="00232391" w:rsidRPr="00595884" w:rsidRDefault="00274BC6" w:rsidP="003C0A46">
            <w:pPr>
              <w:spacing w:before="0" w:after="0" w:line="240" w:lineRule="auto"/>
              <w:rPr>
                <w:rFonts w:ascii="Calibri" w:hAnsi="Calibri" w:cs="Calibri"/>
                <w:i/>
                <w:iCs/>
                <w:color w:val="000000"/>
                <w:sz w:val="16"/>
                <w:szCs w:val="16"/>
              </w:rPr>
            </w:pPr>
            <w:r w:rsidRPr="00595884">
              <w:rPr>
                <w:rFonts w:ascii="Calibri" w:hAnsi="Calibri" w:cs="Calibri"/>
                <w:i/>
                <w:iCs/>
                <w:color w:val="000000"/>
                <w:sz w:val="16"/>
                <w:szCs w:val="16"/>
              </w:rPr>
              <w:t>(# studies) initial certainty rating</w:t>
            </w:r>
          </w:p>
        </w:tc>
        <w:tc>
          <w:tcPr>
            <w:tcW w:w="725" w:type="pct"/>
            <w:vMerge w:val="restart"/>
            <w:tcBorders>
              <w:top w:val="nil"/>
              <w:left w:val="single" w:sz="4" w:space="0" w:color="B5DDDC"/>
              <w:right w:val="single" w:sz="4" w:space="0" w:color="B5DDDC"/>
            </w:tcBorders>
            <w:shd w:val="clear" w:color="000000" w:fill="D6EAEB"/>
            <w:vAlign w:val="center"/>
            <w:hideMark/>
          </w:tcPr>
          <w:p w14:paraId="776638E1" w14:textId="77777777" w:rsidR="00232391" w:rsidRPr="00595884" w:rsidRDefault="00274BC6" w:rsidP="003C0A46">
            <w:pPr>
              <w:spacing w:before="0" w:after="0" w:line="240" w:lineRule="auto"/>
              <w:rPr>
                <w:rFonts w:ascii="Calibri" w:hAnsi="Calibri" w:cs="Calibri"/>
                <w:color w:val="000000"/>
                <w:sz w:val="16"/>
                <w:szCs w:val="16"/>
              </w:rPr>
            </w:pPr>
            <w:r w:rsidRPr="00595884">
              <w:rPr>
                <w:rFonts w:ascii="Calibri" w:hAnsi="Calibri" w:cs="Calibri"/>
                <w:color w:val="000000"/>
                <w:sz w:val="16"/>
                <w:szCs w:val="16"/>
              </w:rPr>
              <w:t>Research question: e.g. Are exposures to the hazards outlined in the PECO Table likely to give rise to any significant human health risks given that chemical concentrations in recreational waters are generally low?</w:t>
            </w:r>
          </w:p>
        </w:tc>
        <w:tc>
          <w:tcPr>
            <w:tcW w:w="364" w:type="pct"/>
            <w:tcBorders>
              <w:top w:val="nil"/>
              <w:left w:val="nil"/>
              <w:bottom w:val="single" w:sz="4" w:space="0" w:color="B5DDDC"/>
              <w:right w:val="single" w:sz="4" w:space="0" w:color="B5DDDC"/>
            </w:tcBorders>
            <w:noWrap/>
            <w:vAlign w:val="center"/>
            <w:hideMark/>
          </w:tcPr>
          <w:p w14:paraId="27A11796" w14:textId="77777777" w:rsidR="00232391" w:rsidRPr="00595884" w:rsidRDefault="00232391" w:rsidP="003C0A46">
            <w:pPr>
              <w:spacing w:before="0" w:after="0" w:line="240" w:lineRule="auto"/>
              <w:jc w:val="center"/>
              <w:rPr>
                <w:rFonts w:ascii="Calibri" w:hAnsi="Calibri" w:cs="Calibri"/>
                <w:color w:val="000000"/>
                <w:sz w:val="16"/>
                <w:szCs w:val="16"/>
              </w:rPr>
            </w:pPr>
          </w:p>
        </w:tc>
        <w:tc>
          <w:tcPr>
            <w:tcW w:w="364" w:type="pct"/>
            <w:tcBorders>
              <w:top w:val="nil"/>
              <w:left w:val="nil"/>
              <w:bottom w:val="single" w:sz="4" w:space="0" w:color="B5DDDC"/>
              <w:right w:val="single" w:sz="4" w:space="0" w:color="B5DDDC"/>
            </w:tcBorders>
            <w:noWrap/>
            <w:vAlign w:val="center"/>
            <w:hideMark/>
          </w:tcPr>
          <w:p w14:paraId="6A12951B" w14:textId="77777777" w:rsidR="00232391" w:rsidRPr="00595884" w:rsidRDefault="00232391" w:rsidP="003C0A46">
            <w:pPr>
              <w:spacing w:before="0" w:after="0" w:line="240" w:lineRule="auto"/>
              <w:jc w:val="center"/>
              <w:rPr>
                <w:rFonts w:ascii="Calibri" w:hAnsi="Calibri" w:cs="Calibri"/>
                <w:color w:val="000000"/>
                <w:sz w:val="16"/>
                <w:szCs w:val="16"/>
              </w:rPr>
            </w:pPr>
          </w:p>
        </w:tc>
        <w:tc>
          <w:tcPr>
            <w:tcW w:w="364" w:type="pct"/>
            <w:tcBorders>
              <w:top w:val="nil"/>
              <w:left w:val="nil"/>
              <w:bottom w:val="single" w:sz="4" w:space="0" w:color="B5DDDC"/>
              <w:right w:val="single" w:sz="4" w:space="0" w:color="B5DDDC"/>
            </w:tcBorders>
            <w:vAlign w:val="center"/>
            <w:hideMark/>
          </w:tcPr>
          <w:p w14:paraId="65EF0ED0" w14:textId="77777777" w:rsidR="00232391" w:rsidRPr="00595884" w:rsidRDefault="00232391" w:rsidP="003C0A46">
            <w:pPr>
              <w:spacing w:before="0" w:after="0" w:line="240" w:lineRule="auto"/>
              <w:jc w:val="center"/>
              <w:rPr>
                <w:rFonts w:ascii="Calibri" w:hAnsi="Calibri" w:cs="Calibri"/>
                <w:color w:val="000000"/>
                <w:sz w:val="16"/>
                <w:szCs w:val="16"/>
              </w:rPr>
            </w:pPr>
          </w:p>
        </w:tc>
        <w:tc>
          <w:tcPr>
            <w:tcW w:w="362" w:type="pct"/>
            <w:tcBorders>
              <w:top w:val="nil"/>
              <w:left w:val="nil"/>
              <w:bottom w:val="single" w:sz="4" w:space="0" w:color="B5DDDC"/>
              <w:right w:val="single" w:sz="4" w:space="0" w:color="B5DDDC"/>
            </w:tcBorders>
            <w:vAlign w:val="center"/>
            <w:hideMark/>
          </w:tcPr>
          <w:p w14:paraId="1F1831E2" w14:textId="77777777" w:rsidR="00232391" w:rsidRPr="00595884" w:rsidRDefault="00232391" w:rsidP="003C0A46">
            <w:pPr>
              <w:spacing w:before="0" w:after="0" w:line="240" w:lineRule="auto"/>
              <w:jc w:val="center"/>
              <w:rPr>
                <w:rFonts w:ascii="Calibri" w:hAnsi="Calibri" w:cs="Calibri"/>
                <w:color w:val="000000"/>
                <w:sz w:val="16"/>
                <w:szCs w:val="16"/>
              </w:rPr>
            </w:pPr>
          </w:p>
        </w:tc>
      </w:tr>
      <w:tr w:rsidR="004254E5" w14:paraId="20ED47DA" w14:textId="77777777" w:rsidTr="003C0A46">
        <w:tc>
          <w:tcPr>
            <w:tcW w:w="721" w:type="pct"/>
            <w:tcBorders>
              <w:top w:val="nil"/>
              <w:left w:val="single" w:sz="4" w:space="0" w:color="B5DDDC"/>
              <w:bottom w:val="single" w:sz="4" w:space="0" w:color="B5DDDC"/>
              <w:right w:val="single" w:sz="4" w:space="0" w:color="B5DDDC"/>
            </w:tcBorders>
            <w:shd w:val="clear" w:color="000000" w:fill="D6EAEB"/>
            <w:vAlign w:val="center"/>
            <w:hideMark/>
          </w:tcPr>
          <w:p w14:paraId="3B5A32F2" w14:textId="77777777" w:rsidR="00232391" w:rsidRPr="00595884" w:rsidRDefault="00274BC6" w:rsidP="003C0A46">
            <w:pPr>
              <w:spacing w:before="0" w:after="0" w:line="240" w:lineRule="auto"/>
              <w:rPr>
                <w:rFonts w:ascii="Calibri" w:hAnsi="Calibri" w:cs="Calibri"/>
                <w:color w:val="000000"/>
                <w:sz w:val="16"/>
                <w:szCs w:val="16"/>
              </w:rPr>
            </w:pPr>
            <w:r w:rsidRPr="00595884">
              <w:rPr>
                <w:rFonts w:ascii="Calibri" w:hAnsi="Calibri" w:cs="Calibri"/>
                <w:color w:val="000000"/>
                <w:sz w:val="16"/>
                <w:szCs w:val="16"/>
              </w:rPr>
              <w:t>Risk of bias</w:t>
            </w:r>
          </w:p>
        </w:tc>
        <w:tc>
          <w:tcPr>
            <w:tcW w:w="728" w:type="pct"/>
            <w:tcBorders>
              <w:top w:val="nil"/>
              <w:left w:val="nil"/>
              <w:bottom w:val="single" w:sz="4" w:space="0" w:color="B5DDDC"/>
              <w:right w:val="single" w:sz="4" w:space="0" w:color="B5DDDC"/>
            </w:tcBorders>
            <w:vAlign w:val="center"/>
            <w:hideMark/>
          </w:tcPr>
          <w:p w14:paraId="0E613985" w14:textId="77777777" w:rsidR="00232391" w:rsidRPr="00595884" w:rsidRDefault="00274BC6" w:rsidP="003C0A46">
            <w:pPr>
              <w:spacing w:before="0" w:after="0" w:line="240" w:lineRule="auto"/>
              <w:rPr>
                <w:rFonts w:ascii="Calibri" w:hAnsi="Calibri" w:cs="Calibri"/>
                <w:i/>
                <w:iCs/>
                <w:color w:val="000000"/>
                <w:sz w:val="16"/>
                <w:szCs w:val="16"/>
              </w:rPr>
            </w:pPr>
            <w:r w:rsidRPr="00595884">
              <w:rPr>
                <w:rFonts w:ascii="Calibri" w:hAnsi="Calibri" w:cs="Calibri"/>
                <w:i/>
                <w:iCs/>
                <w:color w:val="000000"/>
                <w:sz w:val="16"/>
                <w:szCs w:val="16"/>
              </w:rPr>
              <w:t>Serious, not serious, unknown</w:t>
            </w:r>
          </w:p>
        </w:tc>
        <w:tc>
          <w:tcPr>
            <w:tcW w:w="1372" w:type="pct"/>
            <w:tcBorders>
              <w:top w:val="nil"/>
              <w:left w:val="nil"/>
              <w:bottom w:val="single" w:sz="4" w:space="0" w:color="B5DDDC"/>
              <w:right w:val="single" w:sz="4" w:space="0" w:color="B5DDDC"/>
            </w:tcBorders>
            <w:vAlign w:val="center"/>
            <w:hideMark/>
          </w:tcPr>
          <w:p w14:paraId="42E8615B" w14:textId="77777777" w:rsidR="00232391" w:rsidRPr="00595884" w:rsidRDefault="00274BC6" w:rsidP="003C0A46">
            <w:pPr>
              <w:spacing w:before="0" w:after="0" w:line="240" w:lineRule="auto"/>
              <w:rPr>
                <w:rFonts w:ascii="Calibri" w:hAnsi="Calibri" w:cs="Calibri"/>
                <w:color w:val="000000"/>
                <w:sz w:val="16"/>
                <w:szCs w:val="16"/>
              </w:rPr>
            </w:pPr>
            <w:r w:rsidRPr="00595884">
              <w:rPr>
                <w:rFonts w:ascii="Calibri" w:hAnsi="Calibri" w:cs="Calibri"/>
                <w:color w:val="000000"/>
                <w:sz w:val="16"/>
                <w:szCs w:val="16"/>
              </w:rPr>
              <w:t>Describe trends, key questions, issues</w:t>
            </w:r>
          </w:p>
        </w:tc>
        <w:tc>
          <w:tcPr>
            <w:tcW w:w="725" w:type="pct"/>
            <w:vMerge/>
            <w:tcBorders>
              <w:left w:val="single" w:sz="4" w:space="0" w:color="B5DDDC"/>
              <w:right w:val="single" w:sz="4" w:space="0" w:color="B5DDDC"/>
            </w:tcBorders>
            <w:vAlign w:val="center"/>
            <w:hideMark/>
          </w:tcPr>
          <w:p w14:paraId="67EBC92E" w14:textId="77777777" w:rsidR="00232391" w:rsidRPr="00595884" w:rsidRDefault="00232391" w:rsidP="003C0A46">
            <w:pPr>
              <w:spacing w:before="0" w:after="0" w:line="240" w:lineRule="auto"/>
              <w:rPr>
                <w:rFonts w:ascii="Calibri" w:hAnsi="Calibri" w:cs="Calibri"/>
                <w:b/>
                <w:bCs/>
                <w:color w:val="000000"/>
                <w:sz w:val="16"/>
                <w:szCs w:val="16"/>
              </w:rPr>
            </w:pPr>
          </w:p>
        </w:tc>
        <w:tc>
          <w:tcPr>
            <w:tcW w:w="364" w:type="pct"/>
            <w:tcBorders>
              <w:top w:val="nil"/>
              <w:left w:val="nil"/>
              <w:bottom w:val="single" w:sz="4" w:space="0" w:color="B5DDDC"/>
              <w:right w:val="single" w:sz="4" w:space="0" w:color="B5DDDC"/>
            </w:tcBorders>
            <w:noWrap/>
            <w:vAlign w:val="center"/>
            <w:hideMark/>
          </w:tcPr>
          <w:p w14:paraId="5B91E3D8" w14:textId="77777777" w:rsidR="00232391" w:rsidRPr="00595884" w:rsidRDefault="00232391" w:rsidP="003C0A46">
            <w:pPr>
              <w:spacing w:before="0" w:after="0" w:line="240" w:lineRule="auto"/>
              <w:jc w:val="center"/>
              <w:rPr>
                <w:rFonts w:ascii="Calibri" w:hAnsi="Calibri" w:cs="Calibri"/>
                <w:color w:val="000000"/>
                <w:sz w:val="16"/>
                <w:szCs w:val="16"/>
              </w:rPr>
            </w:pPr>
          </w:p>
        </w:tc>
        <w:tc>
          <w:tcPr>
            <w:tcW w:w="364" w:type="pct"/>
            <w:tcBorders>
              <w:top w:val="nil"/>
              <w:left w:val="nil"/>
              <w:bottom w:val="single" w:sz="4" w:space="0" w:color="B5DDDC"/>
              <w:right w:val="single" w:sz="4" w:space="0" w:color="B5DDDC"/>
            </w:tcBorders>
            <w:vAlign w:val="center"/>
            <w:hideMark/>
          </w:tcPr>
          <w:p w14:paraId="06DEB229" w14:textId="77777777" w:rsidR="00232391" w:rsidRPr="00595884" w:rsidRDefault="00232391" w:rsidP="003C0A46">
            <w:pPr>
              <w:spacing w:before="0" w:after="0" w:line="240" w:lineRule="auto"/>
              <w:jc w:val="center"/>
              <w:rPr>
                <w:rFonts w:ascii="Calibri" w:hAnsi="Calibri" w:cs="Calibri"/>
                <w:color w:val="000000"/>
                <w:sz w:val="16"/>
                <w:szCs w:val="16"/>
              </w:rPr>
            </w:pPr>
          </w:p>
        </w:tc>
        <w:tc>
          <w:tcPr>
            <w:tcW w:w="364" w:type="pct"/>
            <w:tcBorders>
              <w:top w:val="nil"/>
              <w:left w:val="nil"/>
              <w:bottom w:val="single" w:sz="4" w:space="0" w:color="B5DDDC"/>
              <w:right w:val="single" w:sz="4" w:space="0" w:color="B5DDDC"/>
            </w:tcBorders>
            <w:vAlign w:val="center"/>
            <w:hideMark/>
          </w:tcPr>
          <w:p w14:paraId="28657675" w14:textId="77777777" w:rsidR="00232391" w:rsidRPr="00595884" w:rsidRDefault="00232391" w:rsidP="003C0A46">
            <w:pPr>
              <w:spacing w:before="0" w:after="0" w:line="240" w:lineRule="auto"/>
              <w:jc w:val="center"/>
              <w:rPr>
                <w:rFonts w:ascii="Calibri" w:hAnsi="Calibri" w:cs="Calibri"/>
                <w:color w:val="000000"/>
                <w:sz w:val="16"/>
                <w:szCs w:val="16"/>
              </w:rPr>
            </w:pPr>
          </w:p>
        </w:tc>
        <w:tc>
          <w:tcPr>
            <w:tcW w:w="362" w:type="pct"/>
            <w:tcBorders>
              <w:top w:val="nil"/>
              <w:left w:val="nil"/>
              <w:bottom w:val="single" w:sz="4" w:space="0" w:color="B5DDDC"/>
              <w:right w:val="single" w:sz="4" w:space="0" w:color="B5DDDC"/>
            </w:tcBorders>
            <w:vAlign w:val="center"/>
            <w:hideMark/>
          </w:tcPr>
          <w:p w14:paraId="577E3CBF" w14:textId="77777777" w:rsidR="00232391" w:rsidRPr="00595884" w:rsidRDefault="00232391" w:rsidP="003C0A46">
            <w:pPr>
              <w:spacing w:before="0" w:after="0" w:line="240" w:lineRule="auto"/>
              <w:jc w:val="center"/>
              <w:rPr>
                <w:rFonts w:ascii="Calibri" w:hAnsi="Calibri" w:cs="Calibri"/>
                <w:color w:val="000000"/>
                <w:sz w:val="16"/>
                <w:szCs w:val="16"/>
              </w:rPr>
            </w:pPr>
          </w:p>
        </w:tc>
      </w:tr>
      <w:tr w:rsidR="004254E5" w14:paraId="591E86C9" w14:textId="77777777" w:rsidTr="003C0A46">
        <w:tc>
          <w:tcPr>
            <w:tcW w:w="721" w:type="pct"/>
            <w:tcBorders>
              <w:top w:val="nil"/>
              <w:left w:val="single" w:sz="4" w:space="0" w:color="B5DDDC"/>
              <w:bottom w:val="single" w:sz="4" w:space="0" w:color="B5DDDC"/>
              <w:right w:val="single" w:sz="4" w:space="0" w:color="B5DDDC"/>
            </w:tcBorders>
            <w:shd w:val="clear" w:color="000000" w:fill="D6EAEB"/>
            <w:vAlign w:val="center"/>
            <w:hideMark/>
          </w:tcPr>
          <w:p w14:paraId="49EA2F37" w14:textId="77777777" w:rsidR="00232391" w:rsidRPr="00595884" w:rsidRDefault="00274BC6" w:rsidP="003C0A46">
            <w:pPr>
              <w:spacing w:before="0" w:after="0" w:line="240" w:lineRule="auto"/>
              <w:rPr>
                <w:rFonts w:ascii="Calibri" w:hAnsi="Calibri" w:cs="Calibri"/>
                <w:color w:val="000000"/>
                <w:sz w:val="16"/>
                <w:szCs w:val="16"/>
              </w:rPr>
            </w:pPr>
            <w:r w:rsidRPr="00595884">
              <w:rPr>
                <w:rFonts w:ascii="Calibri" w:hAnsi="Calibri" w:cs="Calibri"/>
                <w:color w:val="000000"/>
                <w:sz w:val="16"/>
                <w:szCs w:val="16"/>
              </w:rPr>
              <w:t>Unexplained inconsistency</w:t>
            </w:r>
          </w:p>
        </w:tc>
        <w:tc>
          <w:tcPr>
            <w:tcW w:w="728" w:type="pct"/>
            <w:tcBorders>
              <w:top w:val="nil"/>
              <w:left w:val="nil"/>
              <w:bottom w:val="single" w:sz="4" w:space="0" w:color="B5DDDC"/>
              <w:right w:val="single" w:sz="4" w:space="0" w:color="B5DDDC"/>
            </w:tcBorders>
            <w:vAlign w:val="center"/>
            <w:hideMark/>
          </w:tcPr>
          <w:p w14:paraId="38223396" w14:textId="77777777" w:rsidR="00232391" w:rsidRPr="00595884" w:rsidRDefault="00274BC6" w:rsidP="003C0A46">
            <w:pPr>
              <w:spacing w:before="0" w:after="0" w:line="240" w:lineRule="auto"/>
              <w:rPr>
                <w:rFonts w:ascii="Calibri" w:hAnsi="Calibri" w:cs="Calibri"/>
                <w:i/>
                <w:iCs/>
                <w:color w:val="000000"/>
                <w:sz w:val="16"/>
                <w:szCs w:val="16"/>
              </w:rPr>
            </w:pPr>
            <w:r w:rsidRPr="00595884">
              <w:rPr>
                <w:rFonts w:ascii="Calibri" w:hAnsi="Calibri" w:cs="Calibri"/>
                <w:i/>
                <w:iCs/>
                <w:color w:val="000000"/>
                <w:sz w:val="16"/>
                <w:szCs w:val="16"/>
              </w:rPr>
              <w:t>Serious, not serious, not applicable</w:t>
            </w:r>
          </w:p>
        </w:tc>
        <w:tc>
          <w:tcPr>
            <w:tcW w:w="1372" w:type="pct"/>
            <w:tcBorders>
              <w:top w:val="nil"/>
              <w:left w:val="nil"/>
              <w:bottom w:val="single" w:sz="4" w:space="0" w:color="B5DDDC"/>
              <w:right w:val="single" w:sz="4" w:space="0" w:color="B5DDDC"/>
            </w:tcBorders>
            <w:vAlign w:val="center"/>
            <w:hideMark/>
          </w:tcPr>
          <w:p w14:paraId="1321DCD5" w14:textId="77777777" w:rsidR="00232391" w:rsidRPr="00595884" w:rsidRDefault="00274BC6" w:rsidP="003C0A46">
            <w:pPr>
              <w:spacing w:before="0" w:after="0" w:line="240" w:lineRule="auto"/>
              <w:rPr>
                <w:rFonts w:ascii="Calibri" w:hAnsi="Calibri" w:cs="Calibri"/>
                <w:color w:val="000000"/>
                <w:sz w:val="16"/>
                <w:szCs w:val="16"/>
              </w:rPr>
            </w:pPr>
            <w:r w:rsidRPr="00595884">
              <w:rPr>
                <w:rFonts w:ascii="Calibri" w:hAnsi="Calibri" w:cs="Calibri"/>
                <w:color w:val="000000"/>
                <w:sz w:val="16"/>
                <w:szCs w:val="16"/>
              </w:rPr>
              <w:t>Describe results in terms of consistency, explain apparent inconsistency (if it can be explained)</w:t>
            </w:r>
          </w:p>
        </w:tc>
        <w:tc>
          <w:tcPr>
            <w:tcW w:w="725" w:type="pct"/>
            <w:vMerge/>
            <w:tcBorders>
              <w:left w:val="single" w:sz="4" w:space="0" w:color="B5DDDC"/>
              <w:right w:val="single" w:sz="4" w:space="0" w:color="B5DDDC"/>
            </w:tcBorders>
            <w:vAlign w:val="center"/>
            <w:hideMark/>
          </w:tcPr>
          <w:p w14:paraId="15219AF8" w14:textId="77777777" w:rsidR="00232391" w:rsidRPr="00595884" w:rsidRDefault="00232391" w:rsidP="003C0A46">
            <w:pPr>
              <w:spacing w:before="0" w:after="0" w:line="240" w:lineRule="auto"/>
              <w:rPr>
                <w:rFonts w:ascii="Calibri" w:hAnsi="Calibri" w:cs="Calibri"/>
                <w:b/>
                <w:bCs/>
                <w:color w:val="000000"/>
                <w:sz w:val="16"/>
                <w:szCs w:val="16"/>
              </w:rPr>
            </w:pPr>
          </w:p>
        </w:tc>
        <w:tc>
          <w:tcPr>
            <w:tcW w:w="364" w:type="pct"/>
            <w:tcBorders>
              <w:top w:val="nil"/>
              <w:left w:val="nil"/>
              <w:bottom w:val="single" w:sz="4" w:space="0" w:color="B5DDDC"/>
              <w:right w:val="single" w:sz="4" w:space="0" w:color="B5DDDC"/>
            </w:tcBorders>
            <w:noWrap/>
            <w:vAlign w:val="center"/>
            <w:hideMark/>
          </w:tcPr>
          <w:p w14:paraId="4542C96D" w14:textId="77777777" w:rsidR="00232391" w:rsidRPr="00595884" w:rsidRDefault="00232391" w:rsidP="003C0A46">
            <w:pPr>
              <w:spacing w:before="0" w:after="0" w:line="240" w:lineRule="auto"/>
              <w:jc w:val="center"/>
              <w:rPr>
                <w:rFonts w:ascii="Calibri" w:hAnsi="Calibri" w:cs="Calibri"/>
                <w:color w:val="000000"/>
                <w:sz w:val="16"/>
                <w:szCs w:val="16"/>
              </w:rPr>
            </w:pPr>
          </w:p>
        </w:tc>
        <w:tc>
          <w:tcPr>
            <w:tcW w:w="364" w:type="pct"/>
            <w:tcBorders>
              <w:top w:val="nil"/>
              <w:left w:val="nil"/>
              <w:bottom w:val="single" w:sz="4" w:space="0" w:color="B5DDDC"/>
              <w:right w:val="single" w:sz="4" w:space="0" w:color="B5DDDC"/>
            </w:tcBorders>
            <w:vAlign w:val="center"/>
            <w:hideMark/>
          </w:tcPr>
          <w:p w14:paraId="2E363051" w14:textId="77777777" w:rsidR="00232391" w:rsidRPr="00595884" w:rsidRDefault="00232391" w:rsidP="003C0A46">
            <w:pPr>
              <w:spacing w:before="0" w:after="0" w:line="240" w:lineRule="auto"/>
              <w:jc w:val="center"/>
              <w:rPr>
                <w:rFonts w:ascii="Calibri" w:hAnsi="Calibri" w:cs="Calibri"/>
                <w:color w:val="000000"/>
                <w:sz w:val="16"/>
                <w:szCs w:val="16"/>
              </w:rPr>
            </w:pPr>
          </w:p>
        </w:tc>
        <w:tc>
          <w:tcPr>
            <w:tcW w:w="364" w:type="pct"/>
            <w:tcBorders>
              <w:top w:val="nil"/>
              <w:left w:val="nil"/>
              <w:bottom w:val="single" w:sz="4" w:space="0" w:color="B5DDDC"/>
              <w:right w:val="single" w:sz="4" w:space="0" w:color="B5DDDC"/>
            </w:tcBorders>
            <w:vAlign w:val="center"/>
            <w:hideMark/>
          </w:tcPr>
          <w:p w14:paraId="6FE86578" w14:textId="77777777" w:rsidR="00232391" w:rsidRPr="00595884" w:rsidRDefault="00232391" w:rsidP="003C0A46">
            <w:pPr>
              <w:spacing w:before="0" w:after="0" w:line="240" w:lineRule="auto"/>
              <w:jc w:val="center"/>
              <w:rPr>
                <w:rFonts w:ascii="Calibri" w:hAnsi="Calibri" w:cs="Calibri"/>
                <w:color w:val="000000"/>
                <w:sz w:val="16"/>
                <w:szCs w:val="16"/>
              </w:rPr>
            </w:pPr>
          </w:p>
        </w:tc>
        <w:tc>
          <w:tcPr>
            <w:tcW w:w="362" w:type="pct"/>
            <w:tcBorders>
              <w:top w:val="nil"/>
              <w:left w:val="nil"/>
              <w:bottom w:val="single" w:sz="4" w:space="0" w:color="B5DDDC"/>
              <w:right w:val="single" w:sz="4" w:space="0" w:color="B5DDDC"/>
            </w:tcBorders>
            <w:vAlign w:val="center"/>
            <w:hideMark/>
          </w:tcPr>
          <w:p w14:paraId="4189A8D3" w14:textId="77777777" w:rsidR="00232391" w:rsidRPr="00595884" w:rsidRDefault="00232391" w:rsidP="003C0A46">
            <w:pPr>
              <w:spacing w:before="0" w:after="0" w:line="240" w:lineRule="auto"/>
              <w:jc w:val="center"/>
              <w:rPr>
                <w:rFonts w:ascii="Calibri" w:hAnsi="Calibri" w:cs="Calibri"/>
                <w:color w:val="000000"/>
                <w:sz w:val="16"/>
                <w:szCs w:val="16"/>
              </w:rPr>
            </w:pPr>
          </w:p>
        </w:tc>
      </w:tr>
      <w:tr w:rsidR="004254E5" w14:paraId="5A45869D" w14:textId="77777777" w:rsidTr="003C0A46">
        <w:tc>
          <w:tcPr>
            <w:tcW w:w="721" w:type="pct"/>
            <w:tcBorders>
              <w:top w:val="nil"/>
              <w:left w:val="single" w:sz="4" w:space="0" w:color="B5DDDC"/>
              <w:bottom w:val="single" w:sz="4" w:space="0" w:color="B5DDDC"/>
              <w:right w:val="single" w:sz="4" w:space="0" w:color="B5DDDC"/>
            </w:tcBorders>
            <w:shd w:val="clear" w:color="000000" w:fill="D6EAEB"/>
            <w:vAlign w:val="center"/>
            <w:hideMark/>
          </w:tcPr>
          <w:p w14:paraId="0325A896" w14:textId="77777777" w:rsidR="00232391" w:rsidRPr="00595884" w:rsidRDefault="00274BC6" w:rsidP="003C0A46">
            <w:pPr>
              <w:spacing w:before="0" w:after="0" w:line="240" w:lineRule="auto"/>
              <w:rPr>
                <w:rFonts w:ascii="Calibri" w:hAnsi="Calibri" w:cs="Calibri"/>
                <w:color w:val="000000"/>
                <w:sz w:val="16"/>
                <w:szCs w:val="16"/>
              </w:rPr>
            </w:pPr>
            <w:r w:rsidRPr="00595884">
              <w:rPr>
                <w:rFonts w:ascii="Calibri" w:hAnsi="Calibri" w:cs="Calibri"/>
                <w:color w:val="000000"/>
                <w:sz w:val="16"/>
                <w:szCs w:val="16"/>
              </w:rPr>
              <w:t>Indirectness</w:t>
            </w:r>
          </w:p>
        </w:tc>
        <w:tc>
          <w:tcPr>
            <w:tcW w:w="728" w:type="pct"/>
            <w:tcBorders>
              <w:top w:val="nil"/>
              <w:left w:val="nil"/>
              <w:bottom w:val="single" w:sz="4" w:space="0" w:color="B5DDDC"/>
              <w:right w:val="single" w:sz="4" w:space="0" w:color="B5DDDC"/>
            </w:tcBorders>
            <w:vAlign w:val="center"/>
            <w:hideMark/>
          </w:tcPr>
          <w:p w14:paraId="56C1349E" w14:textId="77777777" w:rsidR="00232391" w:rsidRPr="00595884" w:rsidRDefault="00274BC6" w:rsidP="003C0A46">
            <w:pPr>
              <w:spacing w:before="0" w:after="0" w:line="240" w:lineRule="auto"/>
              <w:rPr>
                <w:rFonts w:ascii="Calibri" w:hAnsi="Calibri" w:cs="Calibri"/>
                <w:i/>
                <w:iCs/>
                <w:color w:val="000000"/>
                <w:sz w:val="16"/>
                <w:szCs w:val="16"/>
              </w:rPr>
            </w:pPr>
            <w:r w:rsidRPr="00595884">
              <w:rPr>
                <w:rFonts w:ascii="Calibri" w:hAnsi="Calibri" w:cs="Calibri"/>
                <w:i/>
                <w:iCs/>
                <w:color w:val="000000"/>
                <w:sz w:val="16"/>
                <w:szCs w:val="16"/>
              </w:rPr>
              <w:t>Serious or not serious</w:t>
            </w:r>
          </w:p>
        </w:tc>
        <w:tc>
          <w:tcPr>
            <w:tcW w:w="1372" w:type="pct"/>
            <w:tcBorders>
              <w:top w:val="nil"/>
              <w:left w:val="nil"/>
              <w:bottom w:val="single" w:sz="4" w:space="0" w:color="B5DDDC"/>
              <w:right w:val="single" w:sz="4" w:space="0" w:color="B5DDDC"/>
            </w:tcBorders>
            <w:vAlign w:val="center"/>
            <w:hideMark/>
          </w:tcPr>
          <w:p w14:paraId="4D0C7F18" w14:textId="34101090" w:rsidR="00232391" w:rsidRPr="00595884" w:rsidRDefault="00274BC6" w:rsidP="003C0A46">
            <w:pPr>
              <w:spacing w:before="0" w:after="0" w:line="240" w:lineRule="auto"/>
              <w:rPr>
                <w:rFonts w:ascii="Calibri" w:hAnsi="Calibri" w:cs="Calibri"/>
                <w:color w:val="000000"/>
                <w:sz w:val="16"/>
                <w:szCs w:val="16"/>
              </w:rPr>
            </w:pPr>
            <w:r w:rsidRPr="00595884">
              <w:rPr>
                <w:rFonts w:ascii="Calibri" w:hAnsi="Calibri" w:cs="Calibri"/>
                <w:color w:val="000000"/>
                <w:sz w:val="16"/>
                <w:szCs w:val="16"/>
              </w:rPr>
              <w:t>Discuss use of upstream indicators or populations with less relevance, any time-related exposure considerations (see OHAT R</w:t>
            </w:r>
            <w:r w:rsidR="00305708">
              <w:rPr>
                <w:rFonts w:ascii="Calibri" w:hAnsi="Calibri" w:cs="Calibri"/>
                <w:color w:val="000000"/>
                <w:sz w:val="16"/>
                <w:szCs w:val="16"/>
              </w:rPr>
              <w:t>isk-of-Bias</w:t>
            </w:r>
            <w:r w:rsidRPr="00595884">
              <w:rPr>
                <w:rFonts w:ascii="Calibri" w:hAnsi="Calibri" w:cs="Calibri"/>
                <w:color w:val="000000"/>
                <w:sz w:val="16"/>
                <w:szCs w:val="16"/>
              </w:rPr>
              <w:t xml:space="preserve"> tool)</w:t>
            </w:r>
          </w:p>
        </w:tc>
        <w:tc>
          <w:tcPr>
            <w:tcW w:w="725" w:type="pct"/>
            <w:vMerge/>
            <w:tcBorders>
              <w:left w:val="single" w:sz="4" w:space="0" w:color="B5DDDC"/>
              <w:right w:val="single" w:sz="4" w:space="0" w:color="B5DDDC"/>
            </w:tcBorders>
            <w:vAlign w:val="center"/>
            <w:hideMark/>
          </w:tcPr>
          <w:p w14:paraId="7374A990" w14:textId="77777777" w:rsidR="00232391" w:rsidRPr="00595884" w:rsidRDefault="00232391" w:rsidP="003C0A46">
            <w:pPr>
              <w:spacing w:before="0" w:after="0" w:line="240" w:lineRule="auto"/>
              <w:rPr>
                <w:rFonts w:ascii="Calibri" w:hAnsi="Calibri" w:cs="Calibri"/>
                <w:b/>
                <w:bCs/>
                <w:color w:val="000000"/>
                <w:sz w:val="16"/>
                <w:szCs w:val="16"/>
              </w:rPr>
            </w:pPr>
          </w:p>
        </w:tc>
        <w:tc>
          <w:tcPr>
            <w:tcW w:w="364" w:type="pct"/>
            <w:tcBorders>
              <w:top w:val="nil"/>
              <w:left w:val="nil"/>
              <w:bottom w:val="single" w:sz="4" w:space="0" w:color="B5DDDC"/>
              <w:right w:val="single" w:sz="4" w:space="0" w:color="B5DDDC"/>
            </w:tcBorders>
            <w:noWrap/>
            <w:vAlign w:val="center"/>
            <w:hideMark/>
          </w:tcPr>
          <w:p w14:paraId="5D99DE17" w14:textId="77777777" w:rsidR="00232391" w:rsidRPr="00595884" w:rsidRDefault="00232391" w:rsidP="003C0A46">
            <w:pPr>
              <w:spacing w:before="0" w:after="0" w:line="240" w:lineRule="auto"/>
              <w:jc w:val="center"/>
              <w:rPr>
                <w:rFonts w:ascii="Calibri" w:hAnsi="Calibri" w:cs="Calibri"/>
                <w:color w:val="000000"/>
                <w:sz w:val="16"/>
                <w:szCs w:val="16"/>
              </w:rPr>
            </w:pPr>
          </w:p>
        </w:tc>
        <w:tc>
          <w:tcPr>
            <w:tcW w:w="364" w:type="pct"/>
            <w:tcBorders>
              <w:top w:val="nil"/>
              <w:left w:val="nil"/>
              <w:bottom w:val="single" w:sz="4" w:space="0" w:color="B5DDDC"/>
              <w:right w:val="single" w:sz="4" w:space="0" w:color="B5DDDC"/>
            </w:tcBorders>
            <w:vAlign w:val="center"/>
            <w:hideMark/>
          </w:tcPr>
          <w:p w14:paraId="72E9FE08" w14:textId="77777777" w:rsidR="00232391" w:rsidRPr="00595884" w:rsidRDefault="00232391" w:rsidP="003C0A46">
            <w:pPr>
              <w:spacing w:before="0" w:after="0" w:line="240" w:lineRule="auto"/>
              <w:jc w:val="center"/>
              <w:rPr>
                <w:rFonts w:ascii="Calibri" w:hAnsi="Calibri" w:cs="Calibri"/>
                <w:color w:val="000000"/>
                <w:sz w:val="16"/>
                <w:szCs w:val="16"/>
              </w:rPr>
            </w:pPr>
          </w:p>
        </w:tc>
        <w:tc>
          <w:tcPr>
            <w:tcW w:w="364" w:type="pct"/>
            <w:tcBorders>
              <w:top w:val="nil"/>
              <w:left w:val="nil"/>
              <w:bottom w:val="single" w:sz="4" w:space="0" w:color="B5DDDC"/>
              <w:right w:val="single" w:sz="4" w:space="0" w:color="B5DDDC"/>
            </w:tcBorders>
            <w:vAlign w:val="center"/>
            <w:hideMark/>
          </w:tcPr>
          <w:p w14:paraId="15C36568" w14:textId="77777777" w:rsidR="00232391" w:rsidRPr="00595884" w:rsidRDefault="00232391" w:rsidP="003C0A46">
            <w:pPr>
              <w:spacing w:before="0" w:after="0" w:line="240" w:lineRule="auto"/>
              <w:jc w:val="center"/>
              <w:rPr>
                <w:rFonts w:ascii="Calibri" w:hAnsi="Calibri" w:cs="Calibri"/>
                <w:color w:val="000000"/>
                <w:sz w:val="16"/>
                <w:szCs w:val="16"/>
              </w:rPr>
            </w:pPr>
          </w:p>
        </w:tc>
        <w:tc>
          <w:tcPr>
            <w:tcW w:w="362" w:type="pct"/>
            <w:tcBorders>
              <w:top w:val="nil"/>
              <w:left w:val="nil"/>
              <w:bottom w:val="single" w:sz="4" w:space="0" w:color="B5DDDC"/>
              <w:right w:val="single" w:sz="4" w:space="0" w:color="B5DDDC"/>
            </w:tcBorders>
            <w:vAlign w:val="center"/>
            <w:hideMark/>
          </w:tcPr>
          <w:p w14:paraId="0415FADC" w14:textId="77777777" w:rsidR="00232391" w:rsidRPr="00595884" w:rsidRDefault="00232391" w:rsidP="003C0A46">
            <w:pPr>
              <w:spacing w:before="0" w:after="0" w:line="240" w:lineRule="auto"/>
              <w:jc w:val="center"/>
              <w:rPr>
                <w:rFonts w:ascii="Calibri" w:hAnsi="Calibri" w:cs="Calibri"/>
                <w:color w:val="000000"/>
                <w:sz w:val="16"/>
                <w:szCs w:val="16"/>
              </w:rPr>
            </w:pPr>
          </w:p>
        </w:tc>
      </w:tr>
      <w:tr w:rsidR="004254E5" w14:paraId="64FE5DF4" w14:textId="77777777" w:rsidTr="003C0A46">
        <w:tc>
          <w:tcPr>
            <w:tcW w:w="721" w:type="pct"/>
            <w:tcBorders>
              <w:top w:val="nil"/>
              <w:left w:val="single" w:sz="4" w:space="0" w:color="B5DDDC"/>
              <w:bottom w:val="single" w:sz="4" w:space="0" w:color="B5DDDC"/>
              <w:right w:val="single" w:sz="4" w:space="0" w:color="B5DDDC"/>
            </w:tcBorders>
            <w:shd w:val="clear" w:color="000000" w:fill="D6EAEB"/>
            <w:vAlign w:val="center"/>
            <w:hideMark/>
          </w:tcPr>
          <w:p w14:paraId="384A13D2" w14:textId="77777777" w:rsidR="00232391" w:rsidRPr="00595884" w:rsidRDefault="00274BC6" w:rsidP="003C0A46">
            <w:pPr>
              <w:spacing w:before="0" w:after="0" w:line="240" w:lineRule="auto"/>
              <w:rPr>
                <w:rFonts w:ascii="Calibri" w:hAnsi="Calibri" w:cs="Calibri"/>
                <w:color w:val="000000"/>
                <w:sz w:val="16"/>
                <w:szCs w:val="16"/>
              </w:rPr>
            </w:pPr>
            <w:r w:rsidRPr="00595884">
              <w:rPr>
                <w:rFonts w:ascii="Calibri" w:hAnsi="Calibri" w:cs="Calibri"/>
                <w:color w:val="000000"/>
                <w:sz w:val="16"/>
                <w:szCs w:val="16"/>
              </w:rPr>
              <w:t>Imprecision</w:t>
            </w:r>
          </w:p>
        </w:tc>
        <w:tc>
          <w:tcPr>
            <w:tcW w:w="728" w:type="pct"/>
            <w:tcBorders>
              <w:top w:val="nil"/>
              <w:left w:val="nil"/>
              <w:bottom w:val="single" w:sz="4" w:space="0" w:color="B5DDDC"/>
              <w:right w:val="single" w:sz="4" w:space="0" w:color="B5DDDC"/>
            </w:tcBorders>
            <w:vAlign w:val="center"/>
            <w:hideMark/>
          </w:tcPr>
          <w:p w14:paraId="0CE73084" w14:textId="77777777" w:rsidR="00232391" w:rsidRPr="00595884" w:rsidRDefault="00274BC6" w:rsidP="003C0A46">
            <w:pPr>
              <w:spacing w:before="0" w:after="0" w:line="240" w:lineRule="auto"/>
              <w:rPr>
                <w:rFonts w:ascii="Calibri" w:hAnsi="Calibri" w:cs="Calibri"/>
                <w:i/>
                <w:iCs/>
                <w:color w:val="000000"/>
                <w:sz w:val="16"/>
                <w:szCs w:val="16"/>
              </w:rPr>
            </w:pPr>
            <w:r w:rsidRPr="00595884">
              <w:rPr>
                <w:rFonts w:ascii="Calibri" w:hAnsi="Calibri" w:cs="Calibri"/>
                <w:i/>
                <w:iCs/>
                <w:color w:val="000000"/>
                <w:sz w:val="16"/>
                <w:szCs w:val="16"/>
              </w:rPr>
              <w:t>Serious, not serious, unknown</w:t>
            </w:r>
          </w:p>
        </w:tc>
        <w:tc>
          <w:tcPr>
            <w:tcW w:w="1372" w:type="pct"/>
            <w:tcBorders>
              <w:top w:val="nil"/>
              <w:left w:val="nil"/>
              <w:bottom w:val="single" w:sz="4" w:space="0" w:color="B5DDDC"/>
              <w:right w:val="single" w:sz="4" w:space="0" w:color="B5DDDC"/>
            </w:tcBorders>
            <w:vAlign w:val="center"/>
            <w:hideMark/>
          </w:tcPr>
          <w:p w14:paraId="1C3CE789" w14:textId="77777777" w:rsidR="00232391" w:rsidRPr="00595884" w:rsidRDefault="00274BC6" w:rsidP="003C0A46">
            <w:pPr>
              <w:spacing w:before="0" w:after="0" w:line="240" w:lineRule="auto"/>
              <w:rPr>
                <w:rFonts w:ascii="Calibri" w:hAnsi="Calibri" w:cs="Calibri"/>
                <w:color w:val="000000"/>
                <w:sz w:val="16"/>
                <w:szCs w:val="16"/>
              </w:rPr>
            </w:pPr>
            <w:r w:rsidRPr="00595884">
              <w:rPr>
                <w:rFonts w:ascii="Calibri" w:hAnsi="Calibri" w:cs="Calibri"/>
                <w:color w:val="000000"/>
                <w:sz w:val="16"/>
                <w:szCs w:val="16"/>
              </w:rPr>
              <w:t>Discuss ability to distinguish treatment from control, describe confidence intervals (if available)</w:t>
            </w:r>
          </w:p>
        </w:tc>
        <w:tc>
          <w:tcPr>
            <w:tcW w:w="725" w:type="pct"/>
            <w:vMerge/>
            <w:tcBorders>
              <w:left w:val="single" w:sz="4" w:space="0" w:color="B5DDDC"/>
              <w:right w:val="single" w:sz="4" w:space="0" w:color="B5DDDC"/>
            </w:tcBorders>
            <w:vAlign w:val="center"/>
            <w:hideMark/>
          </w:tcPr>
          <w:p w14:paraId="678B335B" w14:textId="77777777" w:rsidR="00232391" w:rsidRPr="00595884" w:rsidRDefault="00232391" w:rsidP="003C0A46">
            <w:pPr>
              <w:spacing w:before="0" w:after="0" w:line="240" w:lineRule="auto"/>
              <w:rPr>
                <w:rFonts w:ascii="Calibri" w:hAnsi="Calibri" w:cs="Calibri"/>
                <w:b/>
                <w:bCs/>
                <w:color w:val="000000"/>
                <w:sz w:val="16"/>
                <w:szCs w:val="16"/>
              </w:rPr>
            </w:pPr>
          </w:p>
        </w:tc>
        <w:tc>
          <w:tcPr>
            <w:tcW w:w="364" w:type="pct"/>
            <w:tcBorders>
              <w:top w:val="nil"/>
              <w:left w:val="nil"/>
              <w:bottom w:val="single" w:sz="4" w:space="0" w:color="B5DDDC"/>
              <w:right w:val="single" w:sz="4" w:space="0" w:color="B5DDDC"/>
            </w:tcBorders>
            <w:noWrap/>
            <w:vAlign w:val="center"/>
            <w:hideMark/>
          </w:tcPr>
          <w:p w14:paraId="623E19ED" w14:textId="77777777" w:rsidR="00232391" w:rsidRPr="00595884" w:rsidRDefault="00232391" w:rsidP="003C0A46">
            <w:pPr>
              <w:spacing w:before="0" w:after="0" w:line="240" w:lineRule="auto"/>
              <w:jc w:val="center"/>
              <w:rPr>
                <w:rFonts w:ascii="Calibri" w:hAnsi="Calibri" w:cs="Calibri"/>
                <w:color w:val="000000"/>
                <w:sz w:val="16"/>
                <w:szCs w:val="16"/>
              </w:rPr>
            </w:pPr>
          </w:p>
        </w:tc>
        <w:tc>
          <w:tcPr>
            <w:tcW w:w="364" w:type="pct"/>
            <w:tcBorders>
              <w:top w:val="nil"/>
              <w:left w:val="nil"/>
              <w:bottom w:val="single" w:sz="4" w:space="0" w:color="B5DDDC"/>
              <w:right w:val="single" w:sz="4" w:space="0" w:color="B5DDDC"/>
            </w:tcBorders>
            <w:vAlign w:val="center"/>
            <w:hideMark/>
          </w:tcPr>
          <w:p w14:paraId="03757A35" w14:textId="77777777" w:rsidR="00232391" w:rsidRPr="00595884" w:rsidRDefault="00232391" w:rsidP="003C0A46">
            <w:pPr>
              <w:spacing w:before="0" w:after="0" w:line="240" w:lineRule="auto"/>
              <w:jc w:val="center"/>
              <w:rPr>
                <w:rFonts w:ascii="Calibri" w:hAnsi="Calibri" w:cs="Calibri"/>
                <w:color w:val="000000"/>
                <w:sz w:val="16"/>
                <w:szCs w:val="16"/>
              </w:rPr>
            </w:pPr>
          </w:p>
        </w:tc>
        <w:tc>
          <w:tcPr>
            <w:tcW w:w="364" w:type="pct"/>
            <w:tcBorders>
              <w:top w:val="nil"/>
              <w:left w:val="nil"/>
              <w:bottom w:val="single" w:sz="4" w:space="0" w:color="B5DDDC"/>
              <w:right w:val="single" w:sz="4" w:space="0" w:color="B5DDDC"/>
            </w:tcBorders>
            <w:vAlign w:val="center"/>
            <w:hideMark/>
          </w:tcPr>
          <w:p w14:paraId="4CDE0650" w14:textId="77777777" w:rsidR="00232391" w:rsidRPr="00595884" w:rsidRDefault="00232391" w:rsidP="003C0A46">
            <w:pPr>
              <w:spacing w:before="0" w:after="0" w:line="240" w:lineRule="auto"/>
              <w:jc w:val="center"/>
              <w:rPr>
                <w:rFonts w:ascii="Calibri" w:hAnsi="Calibri" w:cs="Calibri"/>
                <w:color w:val="000000"/>
                <w:sz w:val="16"/>
                <w:szCs w:val="16"/>
              </w:rPr>
            </w:pPr>
          </w:p>
        </w:tc>
        <w:tc>
          <w:tcPr>
            <w:tcW w:w="362" w:type="pct"/>
            <w:tcBorders>
              <w:top w:val="nil"/>
              <w:left w:val="nil"/>
              <w:bottom w:val="single" w:sz="4" w:space="0" w:color="B5DDDC"/>
              <w:right w:val="single" w:sz="4" w:space="0" w:color="B5DDDC"/>
            </w:tcBorders>
            <w:vAlign w:val="center"/>
            <w:hideMark/>
          </w:tcPr>
          <w:p w14:paraId="7CA51AB4" w14:textId="77777777" w:rsidR="00232391" w:rsidRPr="00595884" w:rsidRDefault="00232391" w:rsidP="003C0A46">
            <w:pPr>
              <w:spacing w:before="0" w:after="0" w:line="240" w:lineRule="auto"/>
              <w:jc w:val="center"/>
              <w:rPr>
                <w:rFonts w:ascii="Calibri" w:hAnsi="Calibri" w:cs="Calibri"/>
                <w:color w:val="000000"/>
                <w:sz w:val="16"/>
                <w:szCs w:val="16"/>
              </w:rPr>
            </w:pPr>
          </w:p>
        </w:tc>
      </w:tr>
      <w:tr w:rsidR="004254E5" w14:paraId="3BAB27B0" w14:textId="77777777" w:rsidTr="003C0A46">
        <w:tc>
          <w:tcPr>
            <w:tcW w:w="721" w:type="pct"/>
            <w:tcBorders>
              <w:top w:val="nil"/>
              <w:left w:val="single" w:sz="4" w:space="0" w:color="B5DDDC"/>
              <w:bottom w:val="single" w:sz="4" w:space="0" w:color="B5DDDC"/>
              <w:right w:val="single" w:sz="4" w:space="0" w:color="B5DDDC"/>
            </w:tcBorders>
            <w:shd w:val="clear" w:color="000000" w:fill="D6EAEB"/>
            <w:vAlign w:val="center"/>
            <w:hideMark/>
          </w:tcPr>
          <w:p w14:paraId="0D674F82" w14:textId="77777777" w:rsidR="00232391" w:rsidRPr="00595884" w:rsidRDefault="00274BC6" w:rsidP="003C0A46">
            <w:pPr>
              <w:spacing w:before="0" w:after="0" w:line="240" w:lineRule="auto"/>
              <w:rPr>
                <w:rFonts w:ascii="Calibri" w:hAnsi="Calibri" w:cs="Calibri"/>
                <w:color w:val="000000"/>
                <w:sz w:val="16"/>
                <w:szCs w:val="16"/>
              </w:rPr>
            </w:pPr>
            <w:r w:rsidRPr="00595884">
              <w:rPr>
                <w:rFonts w:ascii="Calibri" w:hAnsi="Calibri" w:cs="Calibri"/>
                <w:color w:val="000000"/>
                <w:sz w:val="16"/>
                <w:szCs w:val="16"/>
              </w:rPr>
              <w:t>Publication bias</w:t>
            </w:r>
          </w:p>
        </w:tc>
        <w:tc>
          <w:tcPr>
            <w:tcW w:w="728" w:type="pct"/>
            <w:tcBorders>
              <w:top w:val="nil"/>
              <w:left w:val="nil"/>
              <w:bottom w:val="single" w:sz="4" w:space="0" w:color="B5DDDC"/>
              <w:right w:val="single" w:sz="4" w:space="0" w:color="B5DDDC"/>
            </w:tcBorders>
            <w:vAlign w:val="center"/>
            <w:hideMark/>
          </w:tcPr>
          <w:p w14:paraId="4F61D6FD" w14:textId="77777777" w:rsidR="00232391" w:rsidRPr="00595884" w:rsidRDefault="00274BC6" w:rsidP="003C0A46">
            <w:pPr>
              <w:spacing w:before="0" w:after="0" w:line="240" w:lineRule="auto"/>
              <w:rPr>
                <w:rFonts w:ascii="Calibri" w:hAnsi="Calibri" w:cs="Calibri"/>
                <w:i/>
                <w:iCs/>
                <w:color w:val="000000"/>
                <w:sz w:val="16"/>
                <w:szCs w:val="16"/>
              </w:rPr>
            </w:pPr>
            <w:r w:rsidRPr="00595884">
              <w:rPr>
                <w:rFonts w:ascii="Calibri" w:hAnsi="Calibri" w:cs="Calibri"/>
                <w:i/>
                <w:iCs/>
                <w:color w:val="000000"/>
                <w:sz w:val="16"/>
                <w:szCs w:val="16"/>
              </w:rPr>
              <w:t>Detected, undetected, unknown</w:t>
            </w:r>
          </w:p>
        </w:tc>
        <w:tc>
          <w:tcPr>
            <w:tcW w:w="1372" w:type="pct"/>
            <w:tcBorders>
              <w:top w:val="nil"/>
              <w:left w:val="nil"/>
              <w:bottom w:val="single" w:sz="4" w:space="0" w:color="B5DDDC"/>
              <w:right w:val="single" w:sz="4" w:space="0" w:color="B5DDDC"/>
            </w:tcBorders>
            <w:vAlign w:val="center"/>
            <w:hideMark/>
          </w:tcPr>
          <w:p w14:paraId="77817A8E" w14:textId="77777777" w:rsidR="00232391" w:rsidRPr="00595884" w:rsidRDefault="00274BC6" w:rsidP="003C0A46">
            <w:pPr>
              <w:spacing w:before="0" w:after="0" w:line="240" w:lineRule="auto"/>
              <w:rPr>
                <w:rFonts w:ascii="Calibri" w:hAnsi="Calibri" w:cs="Calibri"/>
                <w:color w:val="000000"/>
                <w:sz w:val="16"/>
                <w:szCs w:val="16"/>
              </w:rPr>
            </w:pPr>
            <w:r w:rsidRPr="00595884">
              <w:rPr>
                <w:rFonts w:ascii="Calibri" w:hAnsi="Calibri" w:cs="Calibri"/>
                <w:color w:val="000000"/>
                <w:sz w:val="16"/>
                <w:szCs w:val="16"/>
              </w:rPr>
              <w:t>Discuss factors that might indicate publication bias (e.g., funding, lag)</w:t>
            </w:r>
          </w:p>
        </w:tc>
        <w:tc>
          <w:tcPr>
            <w:tcW w:w="725" w:type="pct"/>
            <w:vMerge/>
            <w:tcBorders>
              <w:left w:val="single" w:sz="4" w:space="0" w:color="B5DDDC"/>
              <w:right w:val="single" w:sz="4" w:space="0" w:color="B5DDDC"/>
            </w:tcBorders>
            <w:vAlign w:val="center"/>
            <w:hideMark/>
          </w:tcPr>
          <w:p w14:paraId="3D4780D6" w14:textId="77777777" w:rsidR="00232391" w:rsidRPr="00595884" w:rsidRDefault="00232391" w:rsidP="003C0A46">
            <w:pPr>
              <w:spacing w:before="0" w:after="0" w:line="240" w:lineRule="auto"/>
              <w:rPr>
                <w:rFonts w:ascii="Calibri" w:hAnsi="Calibri" w:cs="Calibri"/>
                <w:b/>
                <w:bCs/>
                <w:color w:val="000000"/>
                <w:sz w:val="16"/>
                <w:szCs w:val="16"/>
              </w:rPr>
            </w:pPr>
          </w:p>
        </w:tc>
        <w:tc>
          <w:tcPr>
            <w:tcW w:w="364" w:type="pct"/>
            <w:tcBorders>
              <w:top w:val="nil"/>
              <w:left w:val="nil"/>
              <w:bottom w:val="single" w:sz="4" w:space="0" w:color="B5DDDC"/>
              <w:right w:val="single" w:sz="4" w:space="0" w:color="B5DDDC"/>
            </w:tcBorders>
            <w:noWrap/>
            <w:vAlign w:val="center"/>
            <w:hideMark/>
          </w:tcPr>
          <w:p w14:paraId="7B267744" w14:textId="77777777" w:rsidR="00232391" w:rsidRPr="00595884" w:rsidRDefault="00232391" w:rsidP="003C0A46">
            <w:pPr>
              <w:spacing w:before="0" w:after="0" w:line="240" w:lineRule="auto"/>
              <w:jc w:val="center"/>
              <w:rPr>
                <w:rFonts w:ascii="Calibri" w:hAnsi="Calibri" w:cs="Calibri"/>
                <w:color w:val="000000"/>
                <w:sz w:val="16"/>
                <w:szCs w:val="16"/>
              </w:rPr>
            </w:pPr>
          </w:p>
        </w:tc>
        <w:tc>
          <w:tcPr>
            <w:tcW w:w="364" w:type="pct"/>
            <w:tcBorders>
              <w:top w:val="nil"/>
              <w:left w:val="nil"/>
              <w:bottom w:val="single" w:sz="4" w:space="0" w:color="B5DDDC"/>
              <w:right w:val="single" w:sz="4" w:space="0" w:color="B5DDDC"/>
            </w:tcBorders>
            <w:vAlign w:val="center"/>
            <w:hideMark/>
          </w:tcPr>
          <w:p w14:paraId="0DBA70A1" w14:textId="77777777" w:rsidR="00232391" w:rsidRPr="00595884" w:rsidRDefault="00232391" w:rsidP="003C0A46">
            <w:pPr>
              <w:spacing w:before="0" w:after="0" w:line="240" w:lineRule="auto"/>
              <w:jc w:val="center"/>
              <w:rPr>
                <w:rFonts w:ascii="Calibri" w:hAnsi="Calibri" w:cs="Calibri"/>
                <w:color w:val="000000"/>
                <w:sz w:val="16"/>
                <w:szCs w:val="16"/>
              </w:rPr>
            </w:pPr>
          </w:p>
        </w:tc>
        <w:tc>
          <w:tcPr>
            <w:tcW w:w="364" w:type="pct"/>
            <w:tcBorders>
              <w:top w:val="nil"/>
              <w:left w:val="nil"/>
              <w:bottom w:val="single" w:sz="4" w:space="0" w:color="B5DDDC"/>
              <w:right w:val="single" w:sz="4" w:space="0" w:color="B5DDDC"/>
            </w:tcBorders>
            <w:vAlign w:val="center"/>
            <w:hideMark/>
          </w:tcPr>
          <w:p w14:paraId="447F8CF5" w14:textId="77777777" w:rsidR="00232391" w:rsidRPr="00595884" w:rsidRDefault="00232391" w:rsidP="003C0A46">
            <w:pPr>
              <w:spacing w:before="0" w:after="0" w:line="240" w:lineRule="auto"/>
              <w:jc w:val="center"/>
              <w:rPr>
                <w:rFonts w:ascii="Calibri" w:hAnsi="Calibri" w:cs="Calibri"/>
                <w:color w:val="000000"/>
                <w:sz w:val="16"/>
                <w:szCs w:val="16"/>
              </w:rPr>
            </w:pPr>
          </w:p>
        </w:tc>
        <w:tc>
          <w:tcPr>
            <w:tcW w:w="362" w:type="pct"/>
            <w:tcBorders>
              <w:top w:val="nil"/>
              <w:left w:val="nil"/>
              <w:bottom w:val="single" w:sz="4" w:space="0" w:color="B5DDDC"/>
              <w:right w:val="single" w:sz="4" w:space="0" w:color="B5DDDC"/>
            </w:tcBorders>
            <w:vAlign w:val="center"/>
            <w:hideMark/>
          </w:tcPr>
          <w:p w14:paraId="6C4F5CE1" w14:textId="77777777" w:rsidR="00232391" w:rsidRPr="00595884" w:rsidRDefault="00232391" w:rsidP="003C0A46">
            <w:pPr>
              <w:spacing w:before="0" w:after="0" w:line="240" w:lineRule="auto"/>
              <w:jc w:val="center"/>
              <w:rPr>
                <w:rFonts w:ascii="Calibri" w:hAnsi="Calibri" w:cs="Calibri"/>
                <w:color w:val="000000"/>
                <w:sz w:val="16"/>
                <w:szCs w:val="16"/>
              </w:rPr>
            </w:pPr>
          </w:p>
        </w:tc>
      </w:tr>
      <w:tr w:rsidR="004254E5" w14:paraId="306BCEEC" w14:textId="77777777" w:rsidTr="003C0A46">
        <w:tc>
          <w:tcPr>
            <w:tcW w:w="721" w:type="pct"/>
            <w:tcBorders>
              <w:top w:val="nil"/>
              <w:left w:val="single" w:sz="4" w:space="0" w:color="B5DDDC"/>
              <w:bottom w:val="single" w:sz="4" w:space="0" w:color="B5DDDC"/>
              <w:right w:val="single" w:sz="4" w:space="0" w:color="B5DDDC"/>
            </w:tcBorders>
            <w:shd w:val="clear" w:color="000000" w:fill="D6EAEB"/>
            <w:vAlign w:val="center"/>
            <w:hideMark/>
          </w:tcPr>
          <w:p w14:paraId="301E5FD5" w14:textId="77777777" w:rsidR="00232391" w:rsidRPr="00595884" w:rsidRDefault="00274BC6" w:rsidP="003C0A46">
            <w:pPr>
              <w:spacing w:before="0" w:after="0" w:line="240" w:lineRule="auto"/>
              <w:rPr>
                <w:rFonts w:ascii="Calibri" w:hAnsi="Calibri" w:cs="Calibri"/>
                <w:color w:val="000000"/>
                <w:sz w:val="16"/>
                <w:szCs w:val="16"/>
              </w:rPr>
            </w:pPr>
            <w:r w:rsidRPr="00595884">
              <w:rPr>
                <w:rFonts w:ascii="Calibri" w:hAnsi="Calibri" w:cs="Calibri"/>
                <w:color w:val="000000"/>
                <w:sz w:val="16"/>
                <w:szCs w:val="16"/>
              </w:rPr>
              <w:t>Magnitude of effect</w:t>
            </w:r>
          </w:p>
        </w:tc>
        <w:tc>
          <w:tcPr>
            <w:tcW w:w="728" w:type="pct"/>
            <w:tcBorders>
              <w:top w:val="nil"/>
              <w:left w:val="nil"/>
              <w:bottom w:val="single" w:sz="4" w:space="0" w:color="B5DDDC"/>
              <w:right w:val="single" w:sz="4" w:space="0" w:color="B5DDDC"/>
            </w:tcBorders>
            <w:vAlign w:val="center"/>
            <w:hideMark/>
          </w:tcPr>
          <w:p w14:paraId="184F4081" w14:textId="77777777" w:rsidR="00232391" w:rsidRPr="00595884" w:rsidRDefault="00274BC6" w:rsidP="003C0A46">
            <w:pPr>
              <w:spacing w:before="0" w:after="0" w:line="240" w:lineRule="auto"/>
              <w:rPr>
                <w:rFonts w:ascii="Calibri" w:hAnsi="Calibri" w:cs="Calibri"/>
                <w:i/>
                <w:iCs/>
                <w:color w:val="000000"/>
                <w:sz w:val="16"/>
                <w:szCs w:val="16"/>
              </w:rPr>
            </w:pPr>
            <w:r w:rsidRPr="00595884">
              <w:rPr>
                <w:rFonts w:ascii="Calibri" w:hAnsi="Calibri" w:cs="Calibri"/>
                <w:i/>
                <w:iCs/>
                <w:color w:val="000000"/>
                <w:sz w:val="16"/>
                <w:szCs w:val="16"/>
              </w:rPr>
              <w:t>Large, not large, unknown</w:t>
            </w:r>
          </w:p>
        </w:tc>
        <w:tc>
          <w:tcPr>
            <w:tcW w:w="1372" w:type="pct"/>
            <w:tcBorders>
              <w:top w:val="nil"/>
              <w:left w:val="nil"/>
              <w:bottom w:val="single" w:sz="4" w:space="0" w:color="B5DDDC"/>
              <w:right w:val="single" w:sz="4" w:space="0" w:color="B5DDDC"/>
            </w:tcBorders>
            <w:vAlign w:val="center"/>
            <w:hideMark/>
          </w:tcPr>
          <w:p w14:paraId="336A4B56" w14:textId="77777777" w:rsidR="00232391" w:rsidRPr="00595884" w:rsidRDefault="00274BC6" w:rsidP="003C0A46">
            <w:pPr>
              <w:spacing w:before="0" w:after="0" w:line="240" w:lineRule="auto"/>
              <w:rPr>
                <w:rFonts w:ascii="Calibri" w:hAnsi="Calibri" w:cs="Calibri"/>
                <w:color w:val="000000"/>
                <w:sz w:val="16"/>
                <w:szCs w:val="16"/>
              </w:rPr>
            </w:pPr>
            <w:r w:rsidRPr="00595884">
              <w:rPr>
                <w:rFonts w:ascii="Calibri" w:hAnsi="Calibri" w:cs="Calibri"/>
                <w:color w:val="000000"/>
                <w:sz w:val="16"/>
                <w:szCs w:val="16"/>
              </w:rPr>
              <w:t>Describe magnitude of response</w:t>
            </w:r>
          </w:p>
        </w:tc>
        <w:tc>
          <w:tcPr>
            <w:tcW w:w="725" w:type="pct"/>
            <w:vMerge/>
            <w:tcBorders>
              <w:left w:val="single" w:sz="4" w:space="0" w:color="B5DDDC"/>
              <w:right w:val="single" w:sz="4" w:space="0" w:color="B5DDDC"/>
            </w:tcBorders>
            <w:vAlign w:val="center"/>
            <w:hideMark/>
          </w:tcPr>
          <w:p w14:paraId="0FD8FE1C" w14:textId="77777777" w:rsidR="00232391" w:rsidRPr="00595884" w:rsidRDefault="00232391" w:rsidP="003C0A46">
            <w:pPr>
              <w:spacing w:before="0" w:after="0" w:line="240" w:lineRule="auto"/>
              <w:rPr>
                <w:rFonts w:ascii="Calibri" w:hAnsi="Calibri" w:cs="Calibri"/>
                <w:b/>
                <w:bCs/>
                <w:color w:val="000000"/>
                <w:sz w:val="16"/>
                <w:szCs w:val="16"/>
              </w:rPr>
            </w:pPr>
          </w:p>
        </w:tc>
        <w:tc>
          <w:tcPr>
            <w:tcW w:w="364" w:type="pct"/>
            <w:tcBorders>
              <w:top w:val="nil"/>
              <w:left w:val="nil"/>
              <w:bottom w:val="single" w:sz="4" w:space="0" w:color="B5DDDC"/>
              <w:right w:val="single" w:sz="4" w:space="0" w:color="B5DDDC"/>
            </w:tcBorders>
            <w:noWrap/>
            <w:vAlign w:val="center"/>
            <w:hideMark/>
          </w:tcPr>
          <w:p w14:paraId="12991FD0" w14:textId="77777777" w:rsidR="00232391" w:rsidRPr="00595884" w:rsidRDefault="00232391" w:rsidP="003C0A46">
            <w:pPr>
              <w:spacing w:before="0" w:after="0" w:line="240" w:lineRule="auto"/>
              <w:jc w:val="center"/>
              <w:rPr>
                <w:rFonts w:ascii="Calibri" w:hAnsi="Calibri" w:cs="Calibri"/>
                <w:color w:val="000000"/>
                <w:sz w:val="16"/>
                <w:szCs w:val="16"/>
              </w:rPr>
            </w:pPr>
          </w:p>
        </w:tc>
        <w:tc>
          <w:tcPr>
            <w:tcW w:w="364" w:type="pct"/>
            <w:tcBorders>
              <w:top w:val="nil"/>
              <w:left w:val="nil"/>
              <w:bottom w:val="single" w:sz="4" w:space="0" w:color="B5DDDC"/>
              <w:right w:val="single" w:sz="4" w:space="0" w:color="B5DDDC"/>
            </w:tcBorders>
            <w:vAlign w:val="center"/>
            <w:hideMark/>
          </w:tcPr>
          <w:p w14:paraId="1766256A" w14:textId="77777777" w:rsidR="00232391" w:rsidRPr="00595884" w:rsidRDefault="00232391" w:rsidP="003C0A46">
            <w:pPr>
              <w:spacing w:before="0" w:after="0" w:line="240" w:lineRule="auto"/>
              <w:jc w:val="center"/>
              <w:rPr>
                <w:rFonts w:ascii="Calibri" w:hAnsi="Calibri" w:cs="Calibri"/>
                <w:color w:val="000000"/>
                <w:sz w:val="16"/>
                <w:szCs w:val="16"/>
              </w:rPr>
            </w:pPr>
          </w:p>
        </w:tc>
        <w:tc>
          <w:tcPr>
            <w:tcW w:w="364" w:type="pct"/>
            <w:tcBorders>
              <w:top w:val="nil"/>
              <w:left w:val="nil"/>
              <w:bottom w:val="single" w:sz="4" w:space="0" w:color="B5DDDC"/>
              <w:right w:val="single" w:sz="4" w:space="0" w:color="B5DDDC"/>
            </w:tcBorders>
            <w:vAlign w:val="center"/>
            <w:hideMark/>
          </w:tcPr>
          <w:p w14:paraId="44B6057C" w14:textId="77777777" w:rsidR="00232391" w:rsidRPr="00595884" w:rsidRDefault="00232391" w:rsidP="003C0A46">
            <w:pPr>
              <w:spacing w:before="0" w:after="0" w:line="240" w:lineRule="auto"/>
              <w:jc w:val="center"/>
              <w:rPr>
                <w:rFonts w:ascii="Calibri" w:hAnsi="Calibri" w:cs="Calibri"/>
                <w:color w:val="000000"/>
                <w:sz w:val="16"/>
                <w:szCs w:val="16"/>
              </w:rPr>
            </w:pPr>
          </w:p>
        </w:tc>
        <w:tc>
          <w:tcPr>
            <w:tcW w:w="362" w:type="pct"/>
            <w:tcBorders>
              <w:top w:val="nil"/>
              <w:left w:val="nil"/>
              <w:bottom w:val="single" w:sz="4" w:space="0" w:color="B5DDDC"/>
              <w:right w:val="single" w:sz="4" w:space="0" w:color="B5DDDC"/>
            </w:tcBorders>
            <w:vAlign w:val="center"/>
            <w:hideMark/>
          </w:tcPr>
          <w:p w14:paraId="15FD45CF" w14:textId="77777777" w:rsidR="00232391" w:rsidRPr="00595884" w:rsidRDefault="00232391" w:rsidP="003C0A46">
            <w:pPr>
              <w:spacing w:before="0" w:after="0" w:line="240" w:lineRule="auto"/>
              <w:jc w:val="center"/>
              <w:rPr>
                <w:rFonts w:ascii="Calibri" w:hAnsi="Calibri" w:cs="Calibri"/>
                <w:color w:val="000000"/>
                <w:sz w:val="16"/>
                <w:szCs w:val="16"/>
              </w:rPr>
            </w:pPr>
          </w:p>
        </w:tc>
      </w:tr>
      <w:tr w:rsidR="004254E5" w14:paraId="2293F53E" w14:textId="77777777" w:rsidTr="003C0A46">
        <w:tc>
          <w:tcPr>
            <w:tcW w:w="721" w:type="pct"/>
            <w:tcBorders>
              <w:top w:val="nil"/>
              <w:left w:val="single" w:sz="4" w:space="0" w:color="B5DDDC"/>
              <w:bottom w:val="single" w:sz="4" w:space="0" w:color="B5DDDC"/>
              <w:right w:val="single" w:sz="4" w:space="0" w:color="B5DDDC"/>
            </w:tcBorders>
            <w:shd w:val="clear" w:color="000000" w:fill="D6EAEB"/>
            <w:vAlign w:val="center"/>
            <w:hideMark/>
          </w:tcPr>
          <w:p w14:paraId="32EDFA78" w14:textId="77777777" w:rsidR="00232391" w:rsidRPr="00595884" w:rsidRDefault="00274BC6" w:rsidP="003C0A46">
            <w:pPr>
              <w:spacing w:before="0" w:after="0" w:line="240" w:lineRule="auto"/>
              <w:rPr>
                <w:rFonts w:ascii="Calibri" w:hAnsi="Calibri" w:cs="Calibri"/>
                <w:color w:val="000000"/>
                <w:sz w:val="16"/>
                <w:szCs w:val="16"/>
              </w:rPr>
            </w:pPr>
            <w:r w:rsidRPr="00595884">
              <w:rPr>
                <w:rFonts w:ascii="Calibri" w:hAnsi="Calibri" w:cs="Calibri"/>
                <w:color w:val="000000"/>
                <w:sz w:val="16"/>
                <w:szCs w:val="16"/>
              </w:rPr>
              <w:t>Dose Response</w:t>
            </w:r>
          </w:p>
        </w:tc>
        <w:tc>
          <w:tcPr>
            <w:tcW w:w="728" w:type="pct"/>
            <w:tcBorders>
              <w:top w:val="nil"/>
              <w:left w:val="nil"/>
              <w:bottom w:val="single" w:sz="4" w:space="0" w:color="B5DDDC"/>
              <w:right w:val="single" w:sz="4" w:space="0" w:color="B5DDDC"/>
            </w:tcBorders>
            <w:vAlign w:val="center"/>
            <w:hideMark/>
          </w:tcPr>
          <w:p w14:paraId="6EAE930D" w14:textId="77777777" w:rsidR="00232391" w:rsidRPr="00595884" w:rsidRDefault="00274BC6" w:rsidP="003C0A46">
            <w:pPr>
              <w:spacing w:before="0" w:after="0" w:line="240" w:lineRule="auto"/>
              <w:rPr>
                <w:rFonts w:ascii="Calibri" w:hAnsi="Calibri" w:cs="Calibri"/>
                <w:i/>
                <w:iCs/>
                <w:color w:val="000000"/>
                <w:sz w:val="16"/>
                <w:szCs w:val="16"/>
              </w:rPr>
            </w:pPr>
            <w:r w:rsidRPr="00595884">
              <w:rPr>
                <w:rFonts w:ascii="Calibri" w:hAnsi="Calibri" w:cs="Calibri"/>
                <w:i/>
                <w:iCs/>
                <w:color w:val="000000"/>
                <w:sz w:val="16"/>
                <w:szCs w:val="16"/>
              </w:rPr>
              <w:t>Yes, no, unknown</w:t>
            </w:r>
          </w:p>
        </w:tc>
        <w:tc>
          <w:tcPr>
            <w:tcW w:w="1372" w:type="pct"/>
            <w:tcBorders>
              <w:top w:val="nil"/>
              <w:left w:val="nil"/>
              <w:bottom w:val="single" w:sz="4" w:space="0" w:color="B5DDDC"/>
              <w:right w:val="single" w:sz="4" w:space="0" w:color="B5DDDC"/>
            </w:tcBorders>
            <w:vAlign w:val="center"/>
            <w:hideMark/>
          </w:tcPr>
          <w:p w14:paraId="3A4C422C" w14:textId="77777777" w:rsidR="00232391" w:rsidRPr="00595884" w:rsidRDefault="00274BC6" w:rsidP="003C0A46">
            <w:pPr>
              <w:spacing w:before="0" w:after="0" w:line="240" w:lineRule="auto"/>
              <w:rPr>
                <w:rFonts w:ascii="Calibri" w:hAnsi="Calibri" w:cs="Calibri"/>
                <w:color w:val="000000"/>
                <w:sz w:val="16"/>
                <w:szCs w:val="16"/>
              </w:rPr>
            </w:pPr>
            <w:r w:rsidRPr="00595884">
              <w:rPr>
                <w:rFonts w:ascii="Calibri" w:hAnsi="Calibri" w:cs="Calibri"/>
                <w:color w:val="000000"/>
                <w:sz w:val="16"/>
                <w:szCs w:val="16"/>
              </w:rPr>
              <w:t>Outline evidence for or against dose response</w:t>
            </w:r>
          </w:p>
        </w:tc>
        <w:tc>
          <w:tcPr>
            <w:tcW w:w="725" w:type="pct"/>
            <w:vMerge/>
            <w:tcBorders>
              <w:left w:val="single" w:sz="4" w:space="0" w:color="B5DDDC"/>
              <w:right w:val="single" w:sz="4" w:space="0" w:color="B5DDDC"/>
            </w:tcBorders>
            <w:vAlign w:val="center"/>
            <w:hideMark/>
          </w:tcPr>
          <w:p w14:paraId="1A9373EB" w14:textId="77777777" w:rsidR="00232391" w:rsidRPr="00595884" w:rsidRDefault="00232391" w:rsidP="003C0A46">
            <w:pPr>
              <w:spacing w:before="0" w:after="0" w:line="240" w:lineRule="auto"/>
              <w:rPr>
                <w:rFonts w:ascii="Calibri" w:hAnsi="Calibri" w:cs="Calibri"/>
                <w:b/>
                <w:bCs/>
                <w:color w:val="000000"/>
                <w:sz w:val="16"/>
                <w:szCs w:val="16"/>
              </w:rPr>
            </w:pPr>
          </w:p>
        </w:tc>
        <w:tc>
          <w:tcPr>
            <w:tcW w:w="364" w:type="pct"/>
            <w:tcBorders>
              <w:top w:val="nil"/>
              <w:left w:val="nil"/>
              <w:bottom w:val="single" w:sz="4" w:space="0" w:color="B5DDDC"/>
              <w:right w:val="single" w:sz="4" w:space="0" w:color="B5DDDC"/>
            </w:tcBorders>
            <w:noWrap/>
            <w:vAlign w:val="center"/>
            <w:hideMark/>
          </w:tcPr>
          <w:p w14:paraId="25D2C15C" w14:textId="77777777" w:rsidR="00232391" w:rsidRPr="00595884" w:rsidRDefault="00232391" w:rsidP="003C0A46">
            <w:pPr>
              <w:spacing w:before="0" w:after="0" w:line="240" w:lineRule="auto"/>
              <w:jc w:val="center"/>
              <w:rPr>
                <w:rFonts w:ascii="Calibri" w:hAnsi="Calibri" w:cs="Calibri"/>
                <w:color w:val="000000"/>
                <w:sz w:val="16"/>
                <w:szCs w:val="16"/>
              </w:rPr>
            </w:pPr>
          </w:p>
        </w:tc>
        <w:tc>
          <w:tcPr>
            <w:tcW w:w="364" w:type="pct"/>
            <w:tcBorders>
              <w:top w:val="nil"/>
              <w:left w:val="nil"/>
              <w:bottom w:val="single" w:sz="4" w:space="0" w:color="B5DDDC"/>
              <w:right w:val="single" w:sz="4" w:space="0" w:color="B5DDDC"/>
            </w:tcBorders>
            <w:vAlign w:val="center"/>
            <w:hideMark/>
          </w:tcPr>
          <w:p w14:paraId="2150A8BC" w14:textId="77777777" w:rsidR="00232391" w:rsidRPr="00595884" w:rsidRDefault="00232391" w:rsidP="003C0A46">
            <w:pPr>
              <w:spacing w:before="0" w:after="0" w:line="240" w:lineRule="auto"/>
              <w:jc w:val="center"/>
              <w:rPr>
                <w:rFonts w:ascii="Calibri" w:hAnsi="Calibri" w:cs="Calibri"/>
                <w:color w:val="000000"/>
                <w:sz w:val="16"/>
                <w:szCs w:val="16"/>
              </w:rPr>
            </w:pPr>
          </w:p>
        </w:tc>
        <w:tc>
          <w:tcPr>
            <w:tcW w:w="364" w:type="pct"/>
            <w:tcBorders>
              <w:top w:val="nil"/>
              <w:left w:val="nil"/>
              <w:bottom w:val="single" w:sz="4" w:space="0" w:color="B5DDDC"/>
              <w:right w:val="single" w:sz="4" w:space="0" w:color="B5DDDC"/>
            </w:tcBorders>
            <w:vAlign w:val="center"/>
            <w:hideMark/>
          </w:tcPr>
          <w:p w14:paraId="2E66049F" w14:textId="77777777" w:rsidR="00232391" w:rsidRPr="00595884" w:rsidRDefault="00232391" w:rsidP="003C0A46">
            <w:pPr>
              <w:spacing w:before="0" w:after="0" w:line="240" w:lineRule="auto"/>
              <w:jc w:val="center"/>
              <w:rPr>
                <w:rFonts w:ascii="Calibri" w:hAnsi="Calibri" w:cs="Calibri"/>
                <w:color w:val="000000"/>
                <w:sz w:val="16"/>
                <w:szCs w:val="16"/>
              </w:rPr>
            </w:pPr>
          </w:p>
        </w:tc>
        <w:tc>
          <w:tcPr>
            <w:tcW w:w="362" w:type="pct"/>
            <w:tcBorders>
              <w:top w:val="nil"/>
              <w:left w:val="nil"/>
              <w:bottom w:val="single" w:sz="4" w:space="0" w:color="B5DDDC"/>
              <w:right w:val="single" w:sz="4" w:space="0" w:color="B5DDDC"/>
            </w:tcBorders>
            <w:vAlign w:val="center"/>
            <w:hideMark/>
          </w:tcPr>
          <w:p w14:paraId="1ACC16D0" w14:textId="77777777" w:rsidR="00232391" w:rsidRPr="00595884" w:rsidRDefault="00232391" w:rsidP="003C0A46">
            <w:pPr>
              <w:spacing w:before="0" w:after="0" w:line="240" w:lineRule="auto"/>
              <w:jc w:val="center"/>
              <w:rPr>
                <w:rFonts w:ascii="Calibri" w:hAnsi="Calibri" w:cs="Calibri"/>
                <w:color w:val="000000"/>
                <w:sz w:val="16"/>
                <w:szCs w:val="16"/>
              </w:rPr>
            </w:pPr>
          </w:p>
        </w:tc>
      </w:tr>
      <w:tr w:rsidR="004254E5" w14:paraId="1AD0301E" w14:textId="77777777" w:rsidTr="003C0A46">
        <w:tc>
          <w:tcPr>
            <w:tcW w:w="721" w:type="pct"/>
            <w:tcBorders>
              <w:top w:val="nil"/>
              <w:left w:val="single" w:sz="4" w:space="0" w:color="B5DDDC"/>
              <w:bottom w:val="single" w:sz="4" w:space="0" w:color="B5DDDC"/>
              <w:right w:val="single" w:sz="4" w:space="0" w:color="B5DDDC"/>
            </w:tcBorders>
            <w:shd w:val="clear" w:color="000000" w:fill="D6EAEB"/>
            <w:vAlign w:val="center"/>
            <w:hideMark/>
          </w:tcPr>
          <w:p w14:paraId="21341089" w14:textId="77777777" w:rsidR="00232391" w:rsidRPr="00595884" w:rsidRDefault="00274BC6" w:rsidP="003C0A46">
            <w:pPr>
              <w:spacing w:before="0" w:after="0" w:line="240" w:lineRule="auto"/>
              <w:rPr>
                <w:rFonts w:ascii="Calibri" w:hAnsi="Calibri" w:cs="Calibri"/>
                <w:color w:val="000000"/>
                <w:sz w:val="16"/>
                <w:szCs w:val="16"/>
              </w:rPr>
            </w:pPr>
            <w:r w:rsidRPr="00595884">
              <w:rPr>
                <w:rFonts w:ascii="Calibri" w:hAnsi="Calibri" w:cs="Calibri"/>
                <w:color w:val="000000"/>
                <w:sz w:val="16"/>
                <w:szCs w:val="16"/>
              </w:rPr>
              <w:t>Residual confounding</w:t>
            </w:r>
          </w:p>
        </w:tc>
        <w:tc>
          <w:tcPr>
            <w:tcW w:w="728" w:type="pct"/>
            <w:tcBorders>
              <w:top w:val="nil"/>
              <w:left w:val="nil"/>
              <w:bottom w:val="single" w:sz="4" w:space="0" w:color="B5DDDC"/>
              <w:right w:val="single" w:sz="4" w:space="0" w:color="B5DDDC"/>
            </w:tcBorders>
            <w:vAlign w:val="center"/>
            <w:hideMark/>
          </w:tcPr>
          <w:p w14:paraId="656B1668" w14:textId="77777777" w:rsidR="00232391" w:rsidRPr="00595884" w:rsidRDefault="00274BC6" w:rsidP="003C0A46">
            <w:pPr>
              <w:spacing w:before="0" w:after="0" w:line="240" w:lineRule="auto"/>
              <w:rPr>
                <w:rFonts w:ascii="Calibri" w:hAnsi="Calibri" w:cs="Calibri"/>
                <w:i/>
                <w:iCs/>
                <w:color w:val="000000"/>
                <w:sz w:val="16"/>
                <w:szCs w:val="16"/>
              </w:rPr>
            </w:pPr>
            <w:r w:rsidRPr="00595884">
              <w:rPr>
                <w:rFonts w:ascii="Calibri" w:hAnsi="Calibri" w:cs="Calibri"/>
                <w:i/>
                <w:iCs/>
                <w:color w:val="000000"/>
                <w:sz w:val="16"/>
                <w:szCs w:val="16"/>
              </w:rPr>
              <w:t>Yes, no, unknown</w:t>
            </w:r>
          </w:p>
        </w:tc>
        <w:tc>
          <w:tcPr>
            <w:tcW w:w="1372" w:type="pct"/>
            <w:tcBorders>
              <w:top w:val="nil"/>
              <w:left w:val="nil"/>
              <w:bottom w:val="single" w:sz="4" w:space="0" w:color="B5DDDC"/>
              <w:right w:val="single" w:sz="4" w:space="0" w:color="B5DDDC"/>
            </w:tcBorders>
            <w:vAlign w:val="center"/>
            <w:hideMark/>
          </w:tcPr>
          <w:p w14:paraId="58478E4A" w14:textId="77777777" w:rsidR="00232391" w:rsidRPr="00595884" w:rsidRDefault="00274BC6" w:rsidP="003C0A46">
            <w:pPr>
              <w:spacing w:before="0" w:after="0" w:line="240" w:lineRule="auto"/>
              <w:rPr>
                <w:rFonts w:ascii="Calibri" w:hAnsi="Calibri" w:cs="Calibri"/>
                <w:color w:val="000000"/>
                <w:sz w:val="16"/>
                <w:szCs w:val="16"/>
              </w:rPr>
            </w:pPr>
            <w:r w:rsidRPr="00595884">
              <w:rPr>
                <w:rFonts w:ascii="Calibri" w:hAnsi="Calibri" w:cs="Calibri"/>
                <w:color w:val="000000"/>
                <w:sz w:val="16"/>
                <w:szCs w:val="16"/>
              </w:rPr>
              <w:t>Address whether there is evidence that confounding would bias toward null</w:t>
            </w:r>
          </w:p>
        </w:tc>
        <w:tc>
          <w:tcPr>
            <w:tcW w:w="725" w:type="pct"/>
            <w:vMerge/>
            <w:tcBorders>
              <w:left w:val="single" w:sz="4" w:space="0" w:color="B5DDDC"/>
              <w:right w:val="single" w:sz="4" w:space="0" w:color="B5DDDC"/>
            </w:tcBorders>
            <w:vAlign w:val="center"/>
            <w:hideMark/>
          </w:tcPr>
          <w:p w14:paraId="4C2A860C" w14:textId="77777777" w:rsidR="00232391" w:rsidRPr="00595884" w:rsidRDefault="00232391" w:rsidP="003C0A46">
            <w:pPr>
              <w:spacing w:before="0" w:after="0" w:line="240" w:lineRule="auto"/>
              <w:rPr>
                <w:rFonts w:ascii="Calibri" w:hAnsi="Calibri" w:cs="Calibri"/>
                <w:b/>
                <w:bCs/>
                <w:color w:val="000000"/>
                <w:sz w:val="16"/>
                <w:szCs w:val="16"/>
              </w:rPr>
            </w:pPr>
          </w:p>
        </w:tc>
        <w:tc>
          <w:tcPr>
            <w:tcW w:w="364" w:type="pct"/>
            <w:tcBorders>
              <w:top w:val="nil"/>
              <w:left w:val="nil"/>
              <w:bottom w:val="single" w:sz="4" w:space="0" w:color="B5DDDC"/>
              <w:right w:val="single" w:sz="4" w:space="0" w:color="B5DDDC"/>
            </w:tcBorders>
            <w:noWrap/>
            <w:vAlign w:val="center"/>
            <w:hideMark/>
          </w:tcPr>
          <w:p w14:paraId="16655A0C" w14:textId="77777777" w:rsidR="00232391" w:rsidRPr="00595884" w:rsidRDefault="00232391" w:rsidP="003C0A46">
            <w:pPr>
              <w:spacing w:before="0" w:after="0" w:line="240" w:lineRule="auto"/>
              <w:jc w:val="center"/>
              <w:rPr>
                <w:rFonts w:ascii="Calibri" w:hAnsi="Calibri" w:cs="Calibri"/>
                <w:color w:val="000000"/>
                <w:sz w:val="16"/>
                <w:szCs w:val="16"/>
              </w:rPr>
            </w:pPr>
          </w:p>
        </w:tc>
        <w:tc>
          <w:tcPr>
            <w:tcW w:w="364" w:type="pct"/>
            <w:tcBorders>
              <w:top w:val="nil"/>
              <w:left w:val="nil"/>
              <w:bottom w:val="single" w:sz="4" w:space="0" w:color="B5DDDC"/>
              <w:right w:val="single" w:sz="4" w:space="0" w:color="B5DDDC"/>
            </w:tcBorders>
            <w:vAlign w:val="center"/>
            <w:hideMark/>
          </w:tcPr>
          <w:p w14:paraId="493C301D" w14:textId="77777777" w:rsidR="00232391" w:rsidRPr="00595884" w:rsidRDefault="00232391" w:rsidP="003C0A46">
            <w:pPr>
              <w:spacing w:before="0" w:after="0" w:line="240" w:lineRule="auto"/>
              <w:jc w:val="center"/>
              <w:rPr>
                <w:rFonts w:ascii="Calibri" w:hAnsi="Calibri" w:cs="Calibri"/>
                <w:color w:val="000000"/>
                <w:sz w:val="16"/>
                <w:szCs w:val="16"/>
              </w:rPr>
            </w:pPr>
          </w:p>
        </w:tc>
        <w:tc>
          <w:tcPr>
            <w:tcW w:w="364" w:type="pct"/>
            <w:tcBorders>
              <w:top w:val="nil"/>
              <w:left w:val="nil"/>
              <w:bottom w:val="single" w:sz="4" w:space="0" w:color="B5DDDC"/>
              <w:right w:val="single" w:sz="4" w:space="0" w:color="B5DDDC"/>
            </w:tcBorders>
            <w:vAlign w:val="center"/>
            <w:hideMark/>
          </w:tcPr>
          <w:p w14:paraId="250E9364" w14:textId="77777777" w:rsidR="00232391" w:rsidRPr="00595884" w:rsidRDefault="00232391" w:rsidP="003C0A46">
            <w:pPr>
              <w:spacing w:before="0" w:after="0" w:line="240" w:lineRule="auto"/>
              <w:jc w:val="center"/>
              <w:rPr>
                <w:rFonts w:ascii="Calibri" w:hAnsi="Calibri" w:cs="Calibri"/>
                <w:color w:val="000000"/>
                <w:sz w:val="16"/>
                <w:szCs w:val="16"/>
              </w:rPr>
            </w:pPr>
          </w:p>
        </w:tc>
        <w:tc>
          <w:tcPr>
            <w:tcW w:w="362" w:type="pct"/>
            <w:tcBorders>
              <w:top w:val="nil"/>
              <w:left w:val="nil"/>
              <w:bottom w:val="single" w:sz="4" w:space="0" w:color="B5DDDC"/>
              <w:right w:val="single" w:sz="4" w:space="0" w:color="B5DDDC"/>
            </w:tcBorders>
            <w:vAlign w:val="center"/>
            <w:hideMark/>
          </w:tcPr>
          <w:p w14:paraId="3B39286A" w14:textId="77777777" w:rsidR="00232391" w:rsidRPr="00595884" w:rsidRDefault="00232391" w:rsidP="003C0A46">
            <w:pPr>
              <w:spacing w:before="0" w:after="0" w:line="240" w:lineRule="auto"/>
              <w:jc w:val="center"/>
              <w:rPr>
                <w:rFonts w:ascii="Calibri" w:hAnsi="Calibri" w:cs="Calibri"/>
                <w:color w:val="000000"/>
                <w:sz w:val="16"/>
                <w:szCs w:val="16"/>
              </w:rPr>
            </w:pPr>
          </w:p>
        </w:tc>
      </w:tr>
      <w:tr w:rsidR="004254E5" w14:paraId="2025E3C6" w14:textId="77777777" w:rsidTr="003C0A46">
        <w:tc>
          <w:tcPr>
            <w:tcW w:w="721" w:type="pct"/>
            <w:tcBorders>
              <w:top w:val="nil"/>
              <w:left w:val="single" w:sz="4" w:space="0" w:color="B5DDDC"/>
              <w:bottom w:val="single" w:sz="4" w:space="0" w:color="B5DDDC"/>
              <w:right w:val="single" w:sz="4" w:space="0" w:color="B5DDDC"/>
            </w:tcBorders>
            <w:shd w:val="clear" w:color="000000" w:fill="D6EAEB"/>
            <w:vAlign w:val="center"/>
            <w:hideMark/>
          </w:tcPr>
          <w:p w14:paraId="3FD2BEEC" w14:textId="77777777" w:rsidR="00232391" w:rsidRPr="00595884" w:rsidRDefault="00274BC6" w:rsidP="003C0A46">
            <w:pPr>
              <w:spacing w:before="0" w:after="0" w:line="240" w:lineRule="auto"/>
              <w:rPr>
                <w:rFonts w:ascii="Calibri" w:hAnsi="Calibri" w:cs="Calibri"/>
                <w:color w:val="000000"/>
                <w:sz w:val="16"/>
                <w:szCs w:val="16"/>
              </w:rPr>
            </w:pPr>
            <w:r w:rsidRPr="00595884">
              <w:rPr>
                <w:rFonts w:ascii="Calibri" w:hAnsi="Calibri" w:cs="Calibri"/>
                <w:color w:val="000000"/>
                <w:sz w:val="16"/>
                <w:szCs w:val="16"/>
              </w:rPr>
              <w:t>Consistency across species/model</w:t>
            </w:r>
          </w:p>
        </w:tc>
        <w:tc>
          <w:tcPr>
            <w:tcW w:w="728" w:type="pct"/>
            <w:tcBorders>
              <w:top w:val="nil"/>
              <w:left w:val="nil"/>
              <w:bottom w:val="single" w:sz="4" w:space="0" w:color="B5DDDC"/>
              <w:right w:val="single" w:sz="4" w:space="0" w:color="B5DDDC"/>
            </w:tcBorders>
            <w:vAlign w:val="center"/>
            <w:hideMark/>
          </w:tcPr>
          <w:p w14:paraId="12F33D47" w14:textId="77777777" w:rsidR="00232391" w:rsidRPr="00595884" w:rsidRDefault="00274BC6" w:rsidP="003C0A46">
            <w:pPr>
              <w:spacing w:before="0" w:after="0" w:line="240" w:lineRule="auto"/>
              <w:rPr>
                <w:rFonts w:ascii="Calibri" w:hAnsi="Calibri" w:cs="Calibri"/>
                <w:i/>
                <w:iCs/>
                <w:color w:val="000000"/>
                <w:sz w:val="16"/>
                <w:szCs w:val="16"/>
              </w:rPr>
            </w:pPr>
            <w:r w:rsidRPr="00595884">
              <w:rPr>
                <w:rFonts w:ascii="Calibri" w:hAnsi="Calibri" w:cs="Calibri"/>
                <w:i/>
                <w:iCs/>
                <w:color w:val="000000"/>
                <w:sz w:val="16"/>
                <w:szCs w:val="16"/>
              </w:rPr>
              <w:t>Yes, no, not applicable (NA)</w:t>
            </w:r>
          </w:p>
        </w:tc>
        <w:tc>
          <w:tcPr>
            <w:tcW w:w="1372" w:type="pct"/>
            <w:tcBorders>
              <w:top w:val="nil"/>
              <w:left w:val="nil"/>
              <w:bottom w:val="single" w:sz="4" w:space="0" w:color="B5DDDC"/>
              <w:right w:val="single" w:sz="4" w:space="0" w:color="B5DDDC"/>
            </w:tcBorders>
            <w:vAlign w:val="center"/>
            <w:hideMark/>
          </w:tcPr>
          <w:p w14:paraId="18828298" w14:textId="77777777" w:rsidR="00232391" w:rsidRPr="00595884" w:rsidRDefault="00274BC6" w:rsidP="003C0A46">
            <w:pPr>
              <w:spacing w:before="0" w:after="0" w:line="240" w:lineRule="auto"/>
              <w:rPr>
                <w:rFonts w:ascii="Calibri" w:hAnsi="Calibri" w:cs="Calibri"/>
                <w:color w:val="000000"/>
                <w:sz w:val="16"/>
                <w:szCs w:val="16"/>
              </w:rPr>
            </w:pPr>
            <w:r w:rsidRPr="00595884">
              <w:rPr>
                <w:rFonts w:ascii="Calibri" w:hAnsi="Calibri" w:cs="Calibri"/>
                <w:color w:val="000000"/>
                <w:sz w:val="16"/>
                <w:szCs w:val="16"/>
              </w:rPr>
              <w:t>Describe cross-species, model, or population consistency</w:t>
            </w:r>
          </w:p>
        </w:tc>
        <w:tc>
          <w:tcPr>
            <w:tcW w:w="725" w:type="pct"/>
            <w:vMerge/>
            <w:tcBorders>
              <w:left w:val="single" w:sz="4" w:space="0" w:color="B5DDDC"/>
              <w:right w:val="single" w:sz="4" w:space="0" w:color="B5DDDC"/>
            </w:tcBorders>
            <w:shd w:val="clear" w:color="000000" w:fill="D6EAEB"/>
            <w:vAlign w:val="center"/>
            <w:hideMark/>
          </w:tcPr>
          <w:p w14:paraId="61D8C4BA" w14:textId="77777777" w:rsidR="00232391" w:rsidRPr="00595884" w:rsidRDefault="00232391" w:rsidP="003C0A46">
            <w:pPr>
              <w:spacing w:before="0" w:after="0" w:line="240" w:lineRule="auto"/>
              <w:rPr>
                <w:rFonts w:ascii="Calibri" w:hAnsi="Calibri" w:cs="Calibri"/>
                <w:b/>
                <w:bCs/>
                <w:color w:val="000000"/>
                <w:sz w:val="16"/>
                <w:szCs w:val="16"/>
              </w:rPr>
            </w:pPr>
          </w:p>
        </w:tc>
        <w:tc>
          <w:tcPr>
            <w:tcW w:w="364" w:type="pct"/>
            <w:tcBorders>
              <w:top w:val="nil"/>
              <w:left w:val="nil"/>
              <w:bottom w:val="single" w:sz="4" w:space="0" w:color="B5DDDC"/>
              <w:right w:val="single" w:sz="4" w:space="0" w:color="B5DDDC"/>
            </w:tcBorders>
            <w:noWrap/>
            <w:vAlign w:val="center"/>
            <w:hideMark/>
          </w:tcPr>
          <w:p w14:paraId="540006A9" w14:textId="77777777" w:rsidR="00232391" w:rsidRPr="00595884" w:rsidRDefault="00232391" w:rsidP="003C0A46">
            <w:pPr>
              <w:spacing w:before="0" w:after="0" w:line="240" w:lineRule="auto"/>
              <w:jc w:val="center"/>
              <w:rPr>
                <w:rFonts w:ascii="Calibri" w:hAnsi="Calibri" w:cs="Calibri"/>
                <w:color w:val="000000"/>
                <w:sz w:val="16"/>
                <w:szCs w:val="16"/>
              </w:rPr>
            </w:pPr>
          </w:p>
        </w:tc>
        <w:tc>
          <w:tcPr>
            <w:tcW w:w="364" w:type="pct"/>
            <w:tcBorders>
              <w:top w:val="nil"/>
              <w:left w:val="nil"/>
              <w:bottom w:val="single" w:sz="4" w:space="0" w:color="B5DDDC"/>
              <w:right w:val="single" w:sz="4" w:space="0" w:color="B5DDDC"/>
            </w:tcBorders>
            <w:vAlign w:val="center"/>
            <w:hideMark/>
          </w:tcPr>
          <w:p w14:paraId="200C5B3C" w14:textId="77777777" w:rsidR="00232391" w:rsidRPr="00595884" w:rsidRDefault="00232391" w:rsidP="003C0A46">
            <w:pPr>
              <w:spacing w:before="0" w:after="0" w:line="240" w:lineRule="auto"/>
              <w:jc w:val="center"/>
              <w:rPr>
                <w:rFonts w:ascii="Calibri" w:hAnsi="Calibri" w:cs="Calibri"/>
                <w:color w:val="000000"/>
                <w:sz w:val="16"/>
                <w:szCs w:val="16"/>
              </w:rPr>
            </w:pPr>
          </w:p>
        </w:tc>
        <w:tc>
          <w:tcPr>
            <w:tcW w:w="364" w:type="pct"/>
            <w:tcBorders>
              <w:top w:val="nil"/>
              <w:left w:val="nil"/>
              <w:bottom w:val="single" w:sz="4" w:space="0" w:color="B5DDDC"/>
              <w:right w:val="single" w:sz="4" w:space="0" w:color="B5DDDC"/>
            </w:tcBorders>
            <w:vAlign w:val="center"/>
            <w:hideMark/>
          </w:tcPr>
          <w:p w14:paraId="1514DE79" w14:textId="77777777" w:rsidR="00232391" w:rsidRPr="00595884" w:rsidRDefault="00232391" w:rsidP="003C0A46">
            <w:pPr>
              <w:spacing w:before="0" w:after="0" w:line="240" w:lineRule="auto"/>
              <w:jc w:val="center"/>
              <w:rPr>
                <w:rFonts w:ascii="Calibri" w:hAnsi="Calibri" w:cs="Calibri"/>
                <w:color w:val="000000"/>
                <w:sz w:val="16"/>
                <w:szCs w:val="16"/>
              </w:rPr>
            </w:pPr>
          </w:p>
        </w:tc>
        <w:tc>
          <w:tcPr>
            <w:tcW w:w="362" w:type="pct"/>
            <w:tcBorders>
              <w:top w:val="nil"/>
              <w:left w:val="nil"/>
              <w:bottom w:val="single" w:sz="4" w:space="0" w:color="B5DDDC"/>
              <w:right w:val="single" w:sz="4" w:space="0" w:color="B5DDDC"/>
            </w:tcBorders>
            <w:vAlign w:val="center"/>
            <w:hideMark/>
          </w:tcPr>
          <w:p w14:paraId="5CA77AFB" w14:textId="77777777" w:rsidR="00232391" w:rsidRPr="00595884" w:rsidRDefault="00232391" w:rsidP="003C0A46">
            <w:pPr>
              <w:spacing w:before="0" w:after="0" w:line="240" w:lineRule="auto"/>
              <w:jc w:val="center"/>
              <w:rPr>
                <w:rFonts w:ascii="Calibri" w:hAnsi="Calibri" w:cs="Calibri"/>
                <w:color w:val="000000"/>
                <w:sz w:val="16"/>
                <w:szCs w:val="16"/>
              </w:rPr>
            </w:pPr>
          </w:p>
        </w:tc>
      </w:tr>
      <w:tr w:rsidR="004254E5" w14:paraId="6BC0061B" w14:textId="77777777" w:rsidTr="003C0A46">
        <w:tc>
          <w:tcPr>
            <w:tcW w:w="721" w:type="pct"/>
            <w:tcBorders>
              <w:top w:val="nil"/>
              <w:left w:val="single" w:sz="4" w:space="0" w:color="B5DDDC"/>
              <w:bottom w:val="single" w:sz="4" w:space="0" w:color="B5DDDC"/>
              <w:right w:val="single" w:sz="4" w:space="0" w:color="B5DDDC"/>
            </w:tcBorders>
            <w:shd w:val="clear" w:color="000000" w:fill="D6EAEB"/>
            <w:vAlign w:val="center"/>
            <w:hideMark/>
          </w:tcPr>
          <w:p w14:paraId="689FEEAE" w14:textId="77777777" w:rsidR="00232391" w:rsidRPr="00595884" w:rsidRDefault="00274BC6" w:rsidP="003C0A46">
            <w:pPr>
              <w:spacing w:before="0" w:after="0" w:line="240" w:lineRule="auto"/>
              <w:rPr>
                <w:rFonts w:ascii="Calibri" w:hAnsi="Calibri" w:cs="Calibri"/>
                <w:color w:val="000000"/>
                <w:sz w:val="16"/>
                <w:szCs w:val="16"/>
              </w:rPr>
            </w:pPr>
            <w:r w:rsidRPr="00595884">
              <w:rPr>
                <w:rFonts w:ascii="Calibri" w:hAnsi="Calibri" w:cs="Calibri"/>
                <w:color w:val="000000"/>
                <w:sz w:val="16"/>
                <w:szCs w:val="16"/>
              </w:rPr>
              <w:t>Other reason to increase confidence?</w:t>
            </w:r>
          </w:p>
        </w:tc>
        <w:tc>
          <w:tcPr>
            <w:tcW w:w="728" w:type="pct"/>
            <w:tcBorders>
              <w:top w:val="nil"/>
              <w:left w:val="nil"/>
              <w:bottom w:val="single" w:sz="4" w:space="0" w:color="B5DDDC"/>
              <w:right w:val="single" w:sz="4" w:space="0" w:color="B5DDDC"/>
            </w:tcBorders>
            <w:vAlign w:val="center"/>
            <w:hideMark/>
          </w:tcPr>
          <w:p w14:paraId="5A947B8D" w14:textId="77777777" w:rsidR="00232391" w:rsidRPr="00595884" w:rsidRDefault="00274BC6" w:rsidP="003C0A46">
            <w:pPr>
              <w:spacing w:before="0" w:after="0" w:line="240" w:lineRule="auto"/>
              <w:rPr>
                <w:rFonts w:ascii="Calibri" w:hAnsi="Calibri" w:cs="Calibri"/>
                <w:i/>
                <w:iCs/>
                <w:color w:val="000000"/>
                <w:sz w:val="16"/>
                <w:szCs w:val="16"/>
              </w:rPr>
            </w:pPr>
            <w:r w:rsidRPr="00595884">
              <w:rPr>
                <w:rFonts w:ascii="Calibri" w:hAnsi="Calibri" w:cs="Calibri"/>
                <w:i/>
                <w:iCs/>
                <w:color w:val="000000"/>
                <w:sz w:val="16"/>
                <w:szCs w:val="16"/>
              </w:rPr>
              <w:t>Yes or no</w:t>
            </w:r>
          </w:p>
        </w:tc>
        <w:tc>
          <w:tcPr>
            <w:tcW w:w="1372" w:type="pct"/>
            <w:tcBorders>
              <w:top w:val="nil"/>
              <w:left w:val="nil"/>
              <w:bottom w:val="single" w:sz="4" w:space="0" w:color="B5DDDC"/>
              <w:right w:val="single" w:sz="4" w:space="0" w:color="B5DDDC"/>
            </w:tcBorders>
            <w:vAlign w:val="center"/>
            <w:hideMark/>
          </w:tcPr>
          <w:p w14:paraId="0D54B11C" w14:textId="77777777" w:rsidR="00232391" w:rsidRPr="00595884" w:rsidRDefault="00274BC6" w:rsidP="003C0A46">
            <w:pPr>
              <w:spacing w:before="0" w:after="0" w:line="240" w:lineRule="auto"/>
              <w:rPr>
                <w:rFonts w:ascii="Calibri" w:hAnsi="Calibri" w:cs="Calibri"/>
                <w:color w:val="000000"/>
                <w:sz w:val="16"/>
                <w:szCs w:val="16"/>
              </w:rPr>
            </w:pPr>
            <w:r w:rsidRPr="00595884">
              <w:rPr>
                <w:rFonts w:ascii="Calibri" w:hAnsi="Calibri" w:cs="Calibri"/>
                <w:color w:val="000000"/>
                <w:sz w:val="16"/>
                <w:szCs w:val="16"/>
              </w:rPr>
              <w:t>Describe any other factors that increase confidence in the results</w:t>
            </w:r>
          </w:p>
        </w:tc>
        <w:tc>
          <w:tcPr>
            <w:tcW w:w="725" w:type="pct"/>
            <w:vMerge/>
            <w:tcBorders>
              <w:left w:val="single" w:sz="4" w:space="0" w:color="B5DDDC"/>
              <w:right w:val="single" w:sz="4" w:space="0" w:color="B5DDDC"/>
            </w:tcBorders>
            <w:shd w:val="clear" w:color="000000" w:fill="D6EAEB"/>
            <w:vAlign w:val="center"/>
            <w:hideMark/>
          </w:tcPr>
          <w:p w14:paraId="051B2D55" w14:textId="77777777" w:rsidR="00232391" w:rsidRPr="00595884" w:rsidRDefault="00232391" w:rsidP="003C0A46">
            <w:pPr>
              <w:spacing w:before="0" w:after="0" w:line="240" w:lineRule="auto"/>
              <w:rPr>
                <w:rFonts w:ascii="Calibri" w:hAnsi="Calibri" w:cs="Calibri"/>
                <w:b/>
                <w:bCs/>
                <w:color w:val="000000"/>
                <w:sz w:val="16"/>
                <w:szCs w:val="16"/>
              </w:rPr>
            </w:pPr>
          </w:p>
        </w:tc>
        <w:tc>
          <w:tcPr>
            <w:tcW w:w="364" w:type="pct"/>
            <w:tcBorders>
              <w:top w:val="nil"/>
              <w:left w:val="nil"/>
              <w:bottom w:val="single" w:sz="4" w:space="0" w:color="B5DDDC"/>
              <w:right w:val="single" w:sz="4" w:space="0" w:color="B5DDDC"/>
            </w:tcBorders>
            <w:noWrap/>
            <w:vAlign w:val="center"/>
            <w:hideMark/>
          </w:tcPr>
          <w:p w14:paraId="7EA6C528" w14:textId="77777777" w:rsidR="00232391" w:rsidRPr="00595884" w:rsidRDefault="00232391" w:rsidP="003C0A46">
            <w:pPr>
              <w:spacing w:before="0" w:after="0" w:line="240" w:lineRule="auto"/>
              <w:jc w:val="center"/>
              <w:rPr>
                <w:rFonts w:ascii="Calibri" w:hAnsi="Calibri" w:cs="Calibri"/>
                <w:color w:val="000000"/>
                <w:sz w:val="16"/>
                <w:szCs w:val="16"/>
              </w:rPr>
            </w:pPr>
          </w:p>
        </w:tc>
        <w:tc>
          <w:tcPr>
            <w:tcW w:w="364" w:type="pct"/>
            <w:tcBorders>
              <w:top w:val="nil"/>
              <w:left w:val="nil"/>
              <w:bottom w:val="single" w:sz="4" w:space="0" w:color="B5DDDC"/>
              <w:right w:val="single" w:sz="4" w:space="0" w:color="B5DDDC"/>
            </w:tcBorders>
            <w:vAlign w:val="center"/>
            <w:hideMark/>
          </w:tcPr>
          <w:p w14:paraId="5EE680F9" w14:textId="77777777" w:rsidR="00232391" w:rsidRPr="00595884" w:rsidRDefault="00232391" w:rsidP="003C0A46">
            <w:pPr>
              <w:spacing w:before="0" w:after="0" w:line="240" w:lineRule="auto"/>
              <w:jc w:val="center"/>
              <w:rPr>
                <w:rFonts w:ascii="Calibri" w:hAnsi="Calibri" w:cs="Calibri"/>
                <w:color w:val="000000"/>
                <w:sz w:val="16"/>
                <w:szCs w:val="16"/>
              </w:rPr>
            </w:pPr>
          </w:p>
        </w:tc>
        <w:tc>
          <w:tcPr>
            <w:tcW w:w="364" w:type="pct"/>
            <w:tcBorders>
              <w:top w:val="nil"/>
              <w:left w:val="nil"/>
              <w:bottom w:val="single" w:sz="4" w:space="0" w:color="B5DDDC"/>
              <w:right w:val="single" w:sz="4" w:space="0" w:color="B5DDDC"/>
            </w:tcBorders>
            <w:vAlign w:val="center"/>
            <w:hideMark/>
          </w:tcPr>
          <w:p w14:paraId="4BEEAA98" w14:textId="77777777" w:rsidR="00232391" w:rsidRPr="00595884" w:rsidRDefault="00232391" w:rsidP="003C0A46">
            <w:pPr>
              <w:spacing w:before="0" w:after="0" w:line="240" w:lineRule="auto"/>
              <w:jc w:val="center"/>
              <w:rPr>
                <w:rFonts w:ascii="Calibri" w:hAnsi="Calibri" w:cs="Calibri"/>
                <w:color w:val="000000"/>
                <w:sz w:val="16"/>
                <w:szCs w:val="16"/>
              </w:rPr>
            </w:pPr>
          </w:p>
        </w:tc>
        <w:tc>
          <w:tcPr>
            <w:tcW w:w="362" w:type="pct"/>
            <w:tcBorders>
              <w:top w:val="nil"/>
              <w:left w:val="nil"/>
              <w:bottom w:val="single" w:sz="4" w:space="0" w:color="B5DDDC"/>
              <w:right w:val="single" w:sz="4" w:space="0" w:color="B5DDDC"/>
            </w:tcBorders>
            <w:vAlign w:val="center"/>
            <w:hideMark/>
          </w:tcPr>
          <w:p w14:paraId="1E1376C4" w14:textId="77777777" w:rsidR="00232391" w:rsidRPr="00595884" w:rsidRDefault="00232391" w:rsidP="003C0A46">
            <w:pPr>
              <w:spacing w:before="0" w:after="0" w:line="240" w:lineRule="auto"/>
              <w:jc w:val="center"/>
              <w:rPr>
                <w:rFonts w:ascii="Calibri" w:hAnsi="Calibri" w:cs="Calibri"/>
                <w:color w:val="000000"/>
                <w:sz w:val="16"/>
                <w:szCs w:val="16"/>
              </w:rPr>
            </w:pPr>
          </w:p>
        </w:tc>
      </w:tr>
      <w:tr w:rsidR="004254E5" w14:paraId="694699AD" w14:textId="77777777" w:rsidTr="003C0A46">
        <w:tc>
          <w:tcPr>
            <w:tcW w:w="721" w:type="pct"/>
            <w:tcBorders>
              <w:top w:val="nil"/>
              <w:left w:val="single" w:sz="4" w:space="0" w:color="B5DDDC"/>
              <w:bottom w:val="single" w:sz="4" w:space="0" w:color="B5DDDC"/>
              <w:right w:val="single" w:sz="4" w:space="0" w:color="B5DDDC"/>
            </w:tcBorders>
            <w:shd w:val="clear" w:color="000000" w:fill="D6EAEB"/>
            <w:vAlign w:val="center"/>
            <w:hideMark/>
          </w:tcPr>
          <w:p w14:paraId="40B72FE5" w14:textId="77777777" w:rsidR="00232391" w:rsidRPr="00595884" w:rsidRDefault="00274BC6" w:rsidP="003C0A46">
            <w:pPr>
              <w:spacing w:before="0" w:after="0" w:line="240" w:lineRule="auto"/>
              <w:rPr>
                <w:rFonts w:ascii="Calibri" w:hAnsi="Calibri" w:cs="Calibri"/>
                <w:color w:val="000000"/>
                <w:sz w:val="16"/>
                <w:szCs w:val="16"/>
              </w:rPr>
            </w:pPr>
            <w:r w:rsidRPr="00595884">
              <w:rPr>
                <w:rFonts w:ascii="Calibri" w:hAnsi="Calibri" w:cs="Calibri"/>
                <w:color w:val="000000"/>
                <w:sz w:val="16"/>
                <w:szCs w:val="16"/>
              </w:rPr>
              <w:t>Final certainty rating (GRADE assessment)</w:t>
            </w:r>
          </w:p>
        </w:tc>
        <w:tc>
          <w:tcPr>
            <w:tcW w:w="728" w:type="pct"/>
            <w:tcBorders>
              <w:top w:val="nil"/>
              <w:left w:val="nil"/>
              <w:bottom w:val="single" w:sz="4" w:space="0" w:color="B5DDDC"/>
              <w:right w:val="single" w:sz="4" w:space="0" w:color="B5DDDC"/>
            </w:tcBorders>
            <w:vAlign w:val="center"/>
            <w:hideMark/>
          </w:tcPr>
          <w:p w14:paraId="4EB54838" w14:textId="77777777" w:rsidR="00232391" w:rsidRPr="00595884" w:rsidRDefault="00274BC6" w:rsidP="003C0A46">
            <w:pPr>
              <w:spacing w:before="0" w:after="0" w:line="240" w:lineRule="auto"/>
              <w:rPr>
                <w:rFonts w:ascii="Calibri" w:hAnsi="Calibri" w:cs="Calibri"/>
                <w:b/>
                <w:bCs/>
                <w:i/>
                <w:iCs/>
                <w:color w:val="000000"/>
                <w:sz w:val="16"/>
                <w:szCs w:val="16"/>
              </w:rPr>
            </w:pPr>
            <w:r w:rsidRPr="00595884">
              <w:rPr>
                <w:rFonts w:ascii="Calibri" w:hAnsi="Calibri" w:cs="Calibri"/>
                <w:b/>
                <w:bCs/>
                <w:i/>
                <w:iCs/>
                <w:color w:val="000000"/>
                <w:sz w:val="16"/>
                <w:szCs w:val="16"/>
              </w:rPr>
              <w:t>High, moderate, low or very low</w:t>
            </w:r>
          </w:p>
        </w:tc>
        <w:tc>
          <w:tcPr>
            <w:tcW w:w="1372" w:type="pct"/>
            <w:tcBorders>
              <w:top w:val="nil"/>
              <w:left w:val="nil"/>
              <w:bottom w:val="single" w:sz="4" w:space="0" w:color="B5DDDC"/>
              <w:right w:val="single" w:sz="4" w:space="0" w:color="B5DDDC"/>
            </w:tcBorders>
            <w:vAlign w:val="center"/>
            <w:hideMark/>
          </w:tcPr>
          <w:p w14:paraId="1BA078FE" w14:textId="77777777" w:rsidR="00232391" w:rsidRPr="00595884" w:rsidRDefault="00274BC6" w:rsidP="003C0A46">
            <w:pPr>
              <w:spacing w:before="0" w:after="0" w:line="240" w:lineRule="auto"/>
              <w:rPr>
                <w:rFonts w:ascii="Calibri" w:hAnsi="Calibri" w:cs="Calibri"/>
                <w:color w:val="000000"/>
                <w:sz w:val="16"/>
                <w:szCs w:val="16"/>
              </w:rPr>
            </w:pPr>
            <w:r w:rsidRPr="00595884">
              <w:rPr>
                <w:rFonts w:ascii="Calibri" w:hAnsi="Calibri" w:cs="Calibri"/>
                <w:color w:val="000000"/>
                <w:sz w:val="16"/>
                <w:szCs w:val="16"/>
              </w:rPr>
              <w:t>List reasons for downgrading or upgrading</w:t>
            </w:r>
          </w:p>
        </w:tc>
        <w:tc>
          <w:tcPr>
            <w:tcW w:w="725" w:type="pct"/>
            <w:vMerge/>
            <w:tcBorders>
              <w:left w:val="single" w:sz="4" w:space="0" w:color="B5DDDC"/>
              <w:bottom w:val="single" w:sz="4" w:space="0" w:color="B5DDDC"/>
              <w:right w:val="single" w:sz="4" w:space="0" w:color="B5DDDC"/>
            </w:tcBorders>
            <w:shd w:val="clear" w:color="000000" w:fill="D6EAEB"/>
            <w:vAlign w:val="center"/>
            <w:hideMark/>
          </w:tcPr>
          <w:p w14:paraId="764E6A48" w14:textId="77777777" w:rsidR="00232391" w:rsidRPr="00595884" w:rsidRDefault="00232391" w:rsidP="003C0A46">
            <w:pPr>
              <w:spacing w:before="0" w:after="0" w:line="240" w:lineRule="auto"/>
              <w:rPr>
                <w:rFonts w:ascii="Calibri" w:hAnsi="Calibri" w:cs="Calibri"/>
                <w:b/>
                <w:bCs/>
                <w:color w:val="000000"/>
                <w:sz w:val="16"/>
                <w:szCs w:val="16"/>
              </w:rPr>
            </w:pPr>
          </w:p>
        </w:tc>
        <w:tc>
          <w:tcPr>
            <w:tcW w:w="364" w:type="pct"/>
            <w:tcBorders>
              <w:top w:val="nil"/>
              <w:left w:val="nil"/>
              <w:bottom w:val="single" w:sz="4" w:space="0" w:color="B5DDDC"/>
              <w:right w:val="single" w:sz="4" w:space="0" w:color="B5DDDC"/>
            </w:tcBorders>
            <w:noWrap/>
            <w:vAlign w:val="center"/>
            <w:hideMark/>
          </w:tcPr>
          <w:p w14:paraId="39504D55" w14:textId="77777777" w:rsidR="00232391" w:rsidRPr="00595884" w:rsidRDefault="00232391" w:rsidP="003C0A46">
            <w:pPr>
              <w:spacing w:before="0" w:after="0" w:line="240" w:lineRule="auto"/>
              <w:jc w:val="center"/>
              <w:rPr>
                <w:rFonts w:ascii="Calibri" w:hAnsi="Calibri" w:cs="Calibri"/>
                <w:color w:val="000000"/>
                <w:sz w:val="16"/>
                <w:szCs w:val="16"/>
              </w:rPr>
            </w:pPr>
          </w:p>
        </w:tc>
        <w:tc>
          <w:tcPr>
            <w:tcW w:w="364" w:type="pct"/>
            <w:tcBorders>
              <w:top w:val="nil"/>
              <w:left w:val="nil"/>
              <w:bottom w:val="single" w:sz="4" w:space="0" w:color="B5DDDC"/>
              <w:right w:val="single" w:sz="4" w:space="0" w:color="B5DDDC"/>
            </w:tcBorders>
            <w:vAlign w:val="center"/>
            <w:hideMark/>
          </w:tcPr>
          <w:p w14:paraId="58B39569" w14:textId="77777777" w:rsidR="00232391" w:rsidRPr="00595884" w:rsidRDefault="00232391" w:rsidP="003C0A46">
            <w:pPr>
              <w:spacing w:before="0" w:after="0" w:line="240" w:lineRule="auto"/>
              <w:jc w:val="center"/>
              <w:rPr>
                <w:rFonts w:ascii="Calibri" w:hAnsi="Calibri" w:cs="Calibri"/>
                <w:color w:val="000000"/>
                <w:sz w:val="16"/>
                <w:szCs w:val="16"/>
              </w:rPr>
            </w:pPr>
          </w:p>
        </w:tc>
        <w:tc>
          <w:tcPr>
            <w:tcW w:w="364" w:type="pct"/>
            <w:tcBorders>
              <w:top w:val="nil"/>
              <w:left w:val="nil"/>
              <w:bottom w:val="single" w:sz="4" w:space="0" w:color="B5DDDC"/>
              <w:right w:val="single" w:sz="4" w:space="0" w:color="B5DDDC"/>
            </w:tcBorders>
            <w:vAlign w:val="center"/>
            <w:hideMark/>
          </w:tcPr>
          <w:p w14:paraId="7C77CDAF" w14:textId="77777777" w:rsidR="00232391" w:rsidRPr="00595884" w:rsidRDefault="00232391" w:rsidP="003C0A46">
            <w:pPr>
              <w:spacing w:before="0" w:after="0" w:line="240" w:lineRule="auto"/>
              <w:jc w:val="center"/>
              <w:rPr>
                <w:rFonts w:ascii="Calibri" w:hAnsi="Calibri" w:cs="Calibri"/>
                <w:color w:val="000000"/>
                <w:sz w:val="16"/>
                <w:szCs w:val="16"/>
              </w:rPr>
            </w:pPr>
          </w:p>
        </w:tc>
        <w:tc>
          <w:tcPr>
            <w:tcW w:w="362" w:type="pct"/>
            <w:tcBorders>
              <w:top w:val="nil"/>
              <w:left w:val="nil"/>
              <w:bottom w:val="single" w:sz="4" w:space="0" w:color="B5DDDC"/>
              <w:right w:val="single" w:sz="4" w:space="0" w:color="B5DDDC"/>
            </w:tcBorders>
            <w:vAlign w:val="center"/>
            <w:hideMark/>
          </w:tcPr>
          <w:p w14:paraId="1B1AAC09" w14:textId="77777777" w:rsidR="00232391" w:rsidRPr="00595884" w:rsidRDefault="00232391" w:rsidP="003C0A46">
            <w:pPr>
              <w:spacing w:before="0" w:after="0" w:line="240" w:lineRule="auto"/>
              <w:jc w:val="center"/>
              <w:rPr>
                <w:rFonts w:ascii="Calibri" w:hAnsi="Calibri" w:cs="Calibri"/>
                <w:color w:val="000000"/>
                <w:sz w:val="16"/>
                <w:szCs w:val="16"/>
              </w:rPr>
            </w:pPr>
          </w:p>
        </w:tc>
      </w:tr>
    </w:tbl>
    <w:p w14:paraId="54827BD4" w14:textId="77777777" w:rsidR="00232391" w:rsidRPr="00595884" w:rsidRDefault="00274BC6" w:rsidP="00232391">
      <w:pPr>
        <w:spacing w:line="240" w:lineRule="auto"/>
        <w:contextualSpacing/>
        <w:rPr>
          <w:rFonts w:asciiTheme="minorHAnsi" w:hAnsiTheme="minorHAnsi" w:cstheme="minorHAnsi"/>
          <w:sz w:val="16"/>
          <w:szCs w:val="16"/>
        </w:rPr>
      </w:pPr>
      <w:r w:rsidRPr="00595884">
        <w:rPr>
          <w:rFonts w:asciiTheme="minorHAnsi" w:hAnsiTheme="minorHAnsi" w:cstheme="minorHAnsi"/>
          <w:sz w:val="16"/>
          <w:szCs w:val="16"/>
        </w:rPr>
        <w:t>*</w:t>
      </w:r>
      <w:proofErr w:type="spellStart"/>
      <w:proofErr w:type="gramStart"/>
      <w:r w:rsidRPr="00595884">
        <w:rPr>
          <w:rFonts w:asciiTheme="minorHAnsi" w:hAnsiTheme="minorHAnsi" w:cstheme="minorHAnsi"/>
          <w:sz w:val="16"/>
          <w:szCs w:val="16"/>
        </w:rPr>
        <w:t>e.g</w:t>
      </w:r>
      <w:proofErr w:type="spellEnd"/>
      <w:proofErr w:type="gramEnd"/>
      <w:r w:rsidRPr="00595884">
        <w:rPr>
          <w:rFonts w:asciiTheme="minorHAnsi" w:hAnsiTheme="minorHAnsi" w:cstheme="minorHAnsi"/>
          <w:sz w:val="16"/>
          <w:szCs w:val="16"/>
        </w:rPr>
        <w:t xml:space="preserve"> PECO listed hazard measured in recreational waters, ** e.g. Qualitative studies, Systematic review etc.</w:t>
      </w:r>
    </w:p>
    <w:p w14:paraId="2CD56921" w14:textId="77777777" w:rsidR="00232391" w:rsidRPr="00595884" w:rsidRDefault="00274BC6" w:rsidP="00232391">
      <w:pPr>
        <w:pStyle w:val="Heading4"/>
      </w:pPr>
      <w:bookmarkStart w:id="61" w:name="_Toc71638748"/>
      <w:bookmarkStart w:id="62" w:name="_Toc106811125"/>
      <w:r w:rsidRPr="00595884">
        <w:t>Outcome definition and prioritisation</w:t>
      </w:r>
      <w:bookmarkEnd w:id="61"/>
      <w:bookmarkEnd w:id="62"/>
    </w:p>
    <w:p w14:paraId="440F0C26" w14:textId="77777777" w:rsidR="00A12429" w:rsidRDefault="00274BC6" w:rsidP="00232391">
      <w:r w:rsidRPr="00595884">
        <w:t>Definitions of outcomes and the outcome measures to be included in the review were developed based on</w:t>
      </w:r>
      <w:r>
        <w:t>:</w:t>
      </w:r>
      <w:r w:rsidRPr="00595884">
        <w:t xml:space="preserve"> </w:t>
      </w:r>
    </w:p>
    <w:p w14:paraId="5B68B840" w14:textId="541B0EE8" w:rsidR="00A12429" w:rsidRDefault="00274BC6" w:rsidP="00B756DB">
      <w:pPr>
        <w:pStyle w:val="ListParagraph"/>
        <w:numPr>
          <w:ilvl w:val="0"/>
          <w:numId w:val="23"/>
        </w:numPr>
        <w:ind w:left="1077"/>
        <w:contextualSpacing/>
      </w:pPr>
      <w:r w:rsidRPr="00595884">
        <w:t>general guidance supplied by NHMRC</w:t>
      </w:r>
      <w:r w:rsidR="00305708">
        <w:t xml:space="preserve"> and the Committee</w:t>
      </w:r>
      <w:r w:rsidRPr="00595884">
        <w:t>,</w:t>
      </w:r>
      <w:r w:rsidR="008360CA" w:rsidRPr="00595884">
        <w:t xml:space="preserve"> </w:t>
      </w:r>
    </w:p>
    <w:p w14:paraId="4D439053" w14:textId="4DF2A988" w:rsidR="00A12429" w:rsidRDefault="00274BC6" w:rsidP="00B756DB">
      <w:pPr>
        <w:pStyle w:val="ListParagraph"/>
        <w:numPr>
          <w:ilvl w:val="0"/>
          <w:numId w:val="23"/>
        </w:numPr>
        <w:ind w:left="1077"/>
        <w:contextualSpacing/>
      </w:pPr>
      <w:r w:rsidRPr="00595884">
        <w:t>the research questions</w:t>
      </w:r>
      <w:r>
        <w:t>,</w:t>
      </w:r>
      <w:r w:rsidRPr="00595884">
        <w:t xml:space="preserve"> </w:t>
      </w:r>
      <w:proofErr w:type="gramStart"/>
      <w:r w:rsidRPr="00595884">
        <w:t>and</w:t>
      </w:r>
      <w:r>
        <w:t>;</w:t>
      </w:r>
      <w:proofErr w:type="gramEnd"/>
      <w:r w:rsidRPr="00595884">
        <w:t xml:space="preserve"> </w:t>
      </w:r>
    </w:p>
    <w:p w14:paraId="4E1DE52D" w14:textId="715EB42C" w:rsidR="00A12429" w:rsidRDefault="00274BC6" w:rsidP="00700FDF">
      <w:pPr>
        <w:pStyle w:val="ListParagraph"/>
        <w:numPr>
          <w:ilvl w:val="0"/>
          <w:numId w:val="23"/>
        </w:numPr>
      </w:pPr>
      <w:r w:rsidRPr="00595884">
        <w:t xml:space="preserve">the nature of the available literature. </w:t>
      </w:r>
    </w:p>
    <w:p w14:paraId="122EED29" w14:textId="5C38FAC7" w:rsidR="00232391" w:rsidRPr="00595884" w:rsidRDefault="00274BC6" w:rsidP="00A12429">
      <w:r w:rsidRPr="00595884">
        <w:t xml:space="preserve">The outcomes to be included in this review are presented in </w:t>
      </w:r>
      <w:r w:rsidRPr="00595884">
        <w:fldChar w:fldCharType="begin"/>
      </w:r>
      <w:r w:rsidRPr="00595884">
        <w:instrText xml:space="preserve"> REF _Ref70515129 \h </w:instrText>
      </w:r>
      <w:r w:rsidRPr="00595884">
        <w:fldChar w:fldCharType="separate"/>
      </w:r>
      <w:r w:rsidR="003132AF" w:rsidRPr="00595884">
        <w:t xml:space="preserve">Table </w:t>
      </w:r>
      <w:r w:rsidR="003132AF">
        <w:rPr>
          <w:noProof/>
        </w:rPr>
        <w:t>2</w:t>
      </w:r>
      <w:r w:rsidR="003132AF">
        <w:noBreakHyphen/>
      </w:r>
      <w:r w:rsidR="003132AF">
        <w:rPr>
          <w:noProof/>
        </w:rPr>
        <w:t>4</w:t>
      </w:r>
      <w:r w:rsidRPr="00595884">
        <w:fldChar w:fldCharType="end"/>
      </w:r>
      <w:r w:rsidRPr="00595884">
        <w:t>.</w:t>
      </w:r>
    </w:p>
    <w:p w14:paraId="2D4CED07" w14:textId="65FDC4DC" w:rsidR="00232391" w:rsidRPr="00595884" w:rsidRDefault="00274BC6" w:rsidP="00BA6F16">
      <w:pPr>
        <w:pStyle w:val="Caption"/>
        <w:keepNext/>
        <w:pageBreakBefore/>
      </w:pPr>
      <w:bookmarkStart w:id="63" w:name="_Ref70515129"/>
      <w:bookmarkStart w:id="64" w:name="_Toc71638844"/>
      <w:bookmarkStart w:id="65" w:name="_Toc106811166"/>
      <w:r w:rsidRPr="00595884">
        <w:t xml:space="preserve">Table </w:t>
      </w:r>
      <w:r w:rsidR="003132AF">
        <w:fldChar w:fldCharType="begin"/>
      </w:r>
      <w:r w:rsidR="003132AF">
        <w:instrText xml:space="preserve"> STYLEREF 1 \s </w:instrText>
      </w:r>
      <w:r w:rsidR="003132AF">
        <w:fldChar w:fldCharType="separate"/>
      </w:r>
      <w:r w:rsidR="003132AF">
        <w:rPr>
          <w:noProof/>
        </w:rPr>
        <w:t>2</w:t>
      </w:r>
      <w:r w:rsidR="003132AF">
        <w:rPr>
          <w:noProof/>
        </w:rPr>
        <w:fldChar w:fldCharType="end"/>
      </w:r>
      <w:r w:rsidR="00CE064A">
        <w:noBreakHyphen/>
      </w:r>
      <w:r w:rsidR="003132AF">
        <w:fldChar w:fldCharType="begin"/>
      </w:r>
      <w:r w:rsidR="003132AF">
        <w:instrText xml:space="preserve"> SEQ Table \* ARABIC \s 1 </w:instrText>
      </w:r>
      <w:r w:rsidR="003132AF">
        <w:fldChar w:fldCharType="separate"/>
      </w:r>
      <w:r w:rsidR="003132AF">
        <w:rPr>
          <w:noProof/>
        </w:rPr>
        <w:t>4</w:t>
      </w:r>
      <w:r w:rsidR="003132AF">
        <w:rPr>
          <w:noProof/>
        </w:rPr>
        <w:fldChar w:fldCharType="end"/>
      </w:r>
      <w:bookmarkEnd w:id="63"/>
      <w:r w:rsidRPr="00595884">
        <w:t>. Outcomes from the review to be included in the evidence evaluation</w:t>
      </w:r>
      <w:bookmarkEnd w:id="64"/>
      <w:bookmarkEnd w:id="65"/>
    </w:p>
    <w:tbl>
      <w:tblPr>
        <w:tblW w:w="8410" w:type="dxa"/>
        <w:tblInd w:w="-340" w:type="dxa"/>
        <w:tblLook w:val="04A0" w:firstRow="1" w:lastRow="0" w:firstColumn="1" w:lastColumn="0" w:noHBand="0" w:noVBand="1"/>
      </w:tblPr>
      <w:tblGrid>
        <w:gridCol w:w="1285"/>
        <w:gridCol w:w="1739"/>
        <w:gridCol w:w="1317"/>
        <w:gridCol w:w="1548"/>
        <w:gridCol w:w="2521"/>
      </w:tblGrid>
      <w:tr w:rsidR="004254E5" w14:paraId="576D5182" w14:textId="77777777" w:rsidTr="003C0A46">
        <w:trPr>
          <w:tblHeader/>
        </w:trPr>
        <w:tc>
          <w:tcPr>
            <w:tcW w:w="1285" w:type="dxa"/>
            <w:tcBorders>
              <w:top w:val="single" w:sz="8" w:space="0" w:color="B5DDDC"/>
              <w:left w:val="single" w:sz="8" w:space="0" w:color="B5DDDC"/>
              <w:bottom w:val="single" w:sz="8" w:space="0" w:color="B5DDDC"/>
              <w:right w:val="single" w:sz="8" w:space="0" w:color="B5DDDC"/>
            </w:tcBorders>
            <w:shd w:val="clear" w:color="000000" w:fill="B5DDDC"/>
            <w:vAlign w:val="center"/>
            <w:hideMark/>
          </w:tcPr>
          <w:p w14:paraId="7B2DE2AE" w14:textId="77777777" w:rsidR="00232391" w:rsidRPr="00595884" w:rsidRDefault="00274BC6" w:rsidP="003C0A46">
            <w:pPr>
              <w:spacing w:before="0" w:after="0" w:line="240" w:lineRule="auto"/>
              <w:rPr>
                <w:rFonts w:ascii="Calibri" w:hAnsi="Calibri" w:cs="Calibri"/>
                <w:b/>
                <w:bCs/>
                <w:color w:val="008000"/>
                <w:sz w:val="16"/>
                <w:szCs w:val="16"/>
              </w:rPr>
            </w:pPr>
            <w:r w:rsidRPr="00595884">
              <w:rPr>
                <w:rFonts w:ascii="Calibri" w:hAnsi="Calibri" w:cs="Calibri"/>
                <w:b/>
                <w:bCs/>
                <w:color w:val="008000"/>
                <w:sz w:val="16"/>
                <w:szCs w:val="16"/>
              </w:rPr>
              <w:t>Outcome</w:t>
            </w:r>
          </w:p>
        </w:tc>
        <w:tc>
          <w:tcPr>
            <w:tcW w:w="1739" w:type="dxa"/>
            <w:tcBorders>
              <w:top w:val="single" w:sz="8" w:space="0" w:color="B5DDDC"/>
              <w:left w:val="nil"/>
              <w:bottom w:val="single" w:sz="8" w:space="0" w:color="B5DDDC"/>
              <w:right w:val="single" w:sz="8" w:space="0" w:color="B5DDDC"/>
            </w:tcBorders>
            <w:shd w:val="clear" w:color="000000" w:fill="B5DDDC"/>
            <w:vAlign w:val="center"/>
            <w:hideMark/>
          </w:tcPr>
          <w:p w14:paraId="2A5E35CF" w14:textId="77777777" w:rsidR="00232391" w:rsidRPr="00595884" w:rsidRDefault="00274BC6" w:rsidP="003C0A46">
            <w:pPr>
              <w:spacing w:before="0" w:after="0" w:line="240" w:lineRule="auto"/>
              <w:rPr>
                <w:rFonts w:ascii="Calibri" w:hAnsi="Calibri" w:cs="Calibri"/>
                <w:b/>
                <w:bCs/>
                <w:color w:val="008000"/>
                <w:sz w:val="16"/>
                <w:szCs w:val="16"/>
              </w:rPr>
            </w:pPr>
            <w:r w:rsidRPr="00595884">
              <w:rPr>
                <w:rFonts w:ascii="Calibri" w:hAnsi="Calibri" w:cs="Calibri"/>
                <w:b/>
                <w:bCs/>
                <w:color w:val="008000"/>
                <w:sz w:val="16"/>
                <w:szCs w:val="16"/>
              </w:rPr>
              <w:t>Definition of outcome</w:t>
            </w:r>
          </w:p>
        </w:tc>
        <w:tc>
          <w:tcPr>
            <w:tcW w:w="1317" w:type="dxa"/>
            <w:tcBorders>
              <w:top w:val="single" w:sz="8" w:space="0" w:color="B5DDDC"/>
              <w:left w:val="nil"/>
              <w:bottom w:val="single" w:sz="8" w:space="0" w:color="B5DDDC"/>
              <w:right w:val="single" w:sz="8" w:space="0" w:color="B5DDDC"/>
            </w:tcBorders>
            <w:shd w:val="clear" w:color="000000" w:fill="B5DDDC"/>
            <w:vAlign w:val="center"/>
            <w:hideMark/>
          </w:tcPr>
          <w:p w14:paraId="7B42FEC4" w14:textId="77777777" w:rsidR="00232391" w:rsidRPr="00595884" w:rsidRDefault="00274BC6" w:rsidP="003C0A46">
            <w:pPr>
              <w:spacing w:before="0" w:after="0" w:line="240" w:lineRule="auto"/>
              <w:rPr>
                <w:rFonts w:ascii="Calibri" w:hAnsi="Calibri" w:cs="Calibri"/>
                <w:b/>
                <w:bCs/>
                <w:color w:val="008000"/>
                <w:sz w:val="16"/>
                <w:szCs w:val="16"/>
              </w:rPr>
            </w:pPr>
            <w:r w:rsidRPr="00595884">
              <w:rPr>
                <w:rFonts w:ascii="Calibri" w:hAnsi="Calibri" w:cs="Calibri"/>
                <w:b/>
                <w:bCs/>
                <w:color w:val="008000"/>
                <w:sz w:val="16"/>
                <w:szCs w:val="16"/>
              </w:rPr>
              <w:t>Examples of health impacts under this outcome</w:t>
            </w:r>
          </w:p>
        </w:tc>
        <w:tc>
          <w:tcPr>
            <w:tcW w:w="1548" w:type="dxa"/>
            <w:tcBorders>
              <w:top w:val="single" w:sz="8" w:space="0" w:color="B5DDDC"/>
              <w:left w:val="nil"/>
              <w:bottom w:val="single" w:sz="8" w:space="0" w:color="B5DDDC"/>
              <w:right w:val="single" w:sz="8" w:space="0" w:color="B5DDDC"/>
            </w:tcBorders>
            <w:shd w:val="clear" w:color="000000" w:fill="B5DDDC"/>
            <w:vAlign w:val="center"/>
            <w:hideMark/>
          </w:tcPr>
          <w:p w14:paraId="5434AAB9" w14:textId="77777777" w:rsidR="00232391" w:rsidRPr="00595884" w:rsidRDefault="00274BC6" w:rsidP="003C0A46">
            <w:pPr>
              <w:spacing w:before="0" w:after="0" w:line="240" w:lineRule="auto"/>
              <w:rPr>
                <w:rFonts w:ascii="Calibri" w:hAnsi="Calibri" w:cs="Calibri"/>
                <w:b/>
                <w:bCs/>
                <w:color w:val="008000"/>
                <w:sz w:val="16"/>
                <w:szCs w:val="16"/>
              </w:rPr>
            </w:pPr>
            <w:r w:rsidRPr="00595884">
              <w:rPr>
                <w:rFonts w:ascii="Calibri" w:hAnsi="Calibri" w:cs="Calibri"/>
                <w:b/>
                <w:bCs/>
                <w:color w:val="008000"/>
                <w:sz w:val="16"/>
                <w:szCs w:val="16"/>
              </w:rPr>
              <w:t>Outcome measures</w:t>
            </w:r>
          </w:p>
        </w:tc>
        <w:tc>
          <w:tcPr>
            <w:tcW w:w="2521" w:type="dxa"/>
            <w:tcBorders>
              <w:top w:val="single" w:sz="8" w:space="0" w:color="B5DDDC"/>
              <w:left w:val="nil"/>
              <w:bottom w:val="single" w:sz="8" w:space="0" w:color="B5DDDC"/>
              <w:right w:val="single" w:sz="8" w:space="0" w:color="B5DDDC"/>
            </w:tcBorders>
            <w:shd w:val="clear" w:color="000000" w:fill="B5DDDC"/>
            <w:vAlign w:val="center"/>
            <w:hideMark/>
          </w:tcPr>
          <w:p w14:paraId="03866F6D" w14:textId="77777777" w:rsidR="00232391" w:rsidRPr="00595884" w:rsidRDefault="00274BC6" w:rsidP="003C0A46">
            <w:pPr>
              <w:spacing w:before="0" w:after="0" w:line="240" w:lineRule="auto"/>
              <w:rPr>
                <w:rFonts w:ascii="Calibri" w:hAnsi="Calibri" w:cs="Calibri"/>
                <w:b/>
                <w:bCs/>
                <w:color w:val="008000"/>
                <w:sz w:val="16"/>
                <w:szCs w:val="16"/>
              </w:rPr>
            </w:pPr>
            <w:r w:rsidRPr="00595884">
              <w:rPr>
                <w:rFonts w:ascii="Calibri" w:hAnsi="Calibri" w:cs="Calibri"/>
                <w:b/>
                <w:bCs/>
                <w:color w:val="008000"/>
                <w:sz w:val="16"/>
                <w:szCs w:val="16"/>
              </w:rPr>
              <w:t>Rationale for selecting this outcome</w:t>
            </w:r>
          </w:p>
        </w:tc>
      </w:tr>
      <w:tr w:rsidR="004254E5" w14:paraId="0C108C36" w14:textId="77777777" w:rsidTr="003C0A46">
        <w:tc>
          <w:tcPr>
            <w:tcW w:w="8410" w:type="dxa"/>
            <w:gridSpan w:val="5"/>
            <w:tcBorders>
              <w:top w:val="single" w:sz="8" w:space="0" w:color="B5DDDC"/>
              <w:left w:val="single" w:sz="8" w:space="0" w:color="B5DDDC"/>
              <w:bottom w:val="single" w:sz="8" w:space="0" w:color="B5DDDC"/>
              <w:right w:val="single" w:sz="8" w:space="0" w:color="B5DDDC"/>
            </w:tcBorders>
            <w:shd w:val="clear" w:color="000000" w:fill="D6EAEB"/>
            <w:vAlign w:val="center"/>
            <w:hideMark/>
          </w:tcPr>
          <w:p w14:paraId="17DCC8D0" w14:textId="77777777" w:rsidR="00232391" w:rsidRPr="00595884" w:rsidRDefault="00274BC6" w:rsidP="003C0A46">
            <w:pPr>
              <w:spacing w:before="0" w:after="0" w:line="240" w:lineRule="auto"/>
              <w:rPr>
                <w:rFonts w:ascii="Calibri" w:hAnsi="Calibri" w:cs="Calibri"/>
                <w:color w:val="000000"/>
                <w:sz w:val="16"/>
                <w:szCs w:val="16"/>
              </w:rPr>
            </w:pPr>
            <w:r w:rsidRPr="00595884">
              <w:rPr>
                <w:rFonts w:ascii="Calibri" w:hAnsi="Calibri" w:cs="Calibri"/>
                <w:color w:val="000000"/>
                <w:sz w:val="16"/>
                <w:szCs w:val="16"/>
              </w:rPr>
              <w:t xml:space="preserve">Primary research question: </w:t>
            </w:r>
            <w:r w:rsidRPr="00595884">
              <w:rPr>
                <w:rFonts w:ascii="Calibri" w:hAnsi="Calibri" w:cs="Calibri"/>
                <w:i/>
                <w:iCs/>
                <w:color w:val="000000"/>
                <w:sz w:val="16"/>
                <w:szCs w:val="16"/>
              </w:rPr>
              <w:t>Are exposures to the hazards outlined in the PECO Table likely to give rise to any significant human health risks given that chemical concentrations in recreational waters are generally low?</w:t>
            </w:r>
          </w:p>
        </w:tc>
      </w:tr>
      <w:tr w:rsidR="004254E5" w14:paraId="1A8AC34A" w14:textId="77777777" w:rsidTr="003C0A46">
        <w:tc>
          <w:tcPr>
            <w:tcW w:w="1285" w:type="dxa"/>
            <w:tcBorders>
              <w:top w:val="nil"/>
              <w:left w:val="single" w:sz="8" w:space="0" w:color="B5DDDC"/>
              <w:bottom w:val="single" w:sz="8" w:space="0" w:color="B5DDDC"/>
              <w:right w:val="single" w:sz="8" w:space="0" w:color="B5DDDC"/>
            </w:tcBorders>
            <w:shd w:val="clear" w:color="000000" w:fill="D6EAEB"/>
            <w:vAlign w:val="center"/>
            <w:hideMark/>
          </w:tcPr>
          <w:p w14:paraId="71DFB361" w14:textId="77777777" w:rsidR="00232391" w:rsidRPr="00595884" w:rsidRDefault="00274BC6" w:rsidP="003C0A46">
            <w:pPr>
              <w:spacing w:before="0" w:after="0" w:line="240" w:lineRule="auto"/>
              <w:rPr>
                <w:rFonts w:ascii="Calibri" w:hAnsi="Calibri" w:cs="Calibri"/>
                <w:color w:val="000000"/>
                <w:sz w:val="16"/>
                <w:szCs w:val="16"/>
              </w:rPr>
            </w:pPr>
            <w:r w:rsidRPr="00595884">
              <w:rPr>
                <w:rFonts w:ascii="Calibri" w:hAnsi="Calibri" w:cs="Calibri"/>
                <w:color w:val="000000"/>
                <w:sz w:val="16"/>
                <w:szCs w:val="16"/>
              </w:rPr>
              <w:t>Presence of PECO listed hazard</w:t>
            </w:r>
          </w:p>
        </w:tc>
        <w:tc>
          <w:tcPr>
            <w:tcW w:w="1739" w:type="dxa"/>
            <w:tcBorders>
              <w:top w:val="nil"/>
              <w:left w:val="nil"/>
              <w:bottom w:val="single" w:sz="8" w:space="0" w:color="B5DDDC"/>
              <w:right w:val="single" w:sz="8" w:space="0" w:color="B5DDDC"/>
            </w:tcBorders>
            <w:vAlign w:val="center"/>
            <w:hideMark/>
          </w:tcPr>
          <w:p w14:paraId="2DF1802F" w14:textId="77777777" w:rsidR="00232391" w:rsidRPr="00595884" w:rsidRDefault="00274BC6" w:rsidP="003C0A46">
            <w:pPr>
              <w:spacing w:before="0" w:after="0" w:line="240" w:lineRule="auto"/>
              <w:rPr>
                <w:rFonts w:ascii="Calibri" w:hAnsi="Calibri" w:cs="Calibri"/>
                <w:color w:val="000000"/>
                <w:sz w:val="16"/>
                <w:szCs w:val="16"/>
              </w:rPr>
            </w:pPr>
            <w:r w:rsidRPr="00595884">
              <w:rPr>
                <w:rFonts w:ascii="Calibri" w:hAnsi="Calibri" w:cs="Calibri"/>
                <w:color w:val="000000"/>
                <w:sz w:val="16"/>
                <w:szCs w:val="16"/>
              </w:rPr>
              <w:t>PECO listed hazard measured in recreational waters.</w:t>
            </w:r>
          </w:p>
        </w:tc>
        <w:tc>
          <w:tcPr>
            <w:tcW w:w="1317" w:type="dxa"/>
            <w:tcBorders>
              <w:top w:val="nil"/>
              <w:left w:val="nil"/>
              <w:bottom w:val="single" w:sz="8" w:space="0" w:color="B5DDDC"/>
              <w:right w:val="single" w:sz="8" w:space="0" w:color="B5DDDC"/>
            </w:tcBorders>
            <w:vAlign w:val="center"/>
            <w:hideMark/>
          </w:tcPr>
          <w:p w14:paraId="24CF4CF0" w14:textId="77777777" w:rsidR="00232391" w:rsidRPr="00595884" w:rsidRDefault="00274BC6" w:rsidP="003C0A46">
            <w:pPr>
              <w:spacing w:before="0" w:after="0" w:line="240" w:lineRule="auto"/>
              <w:rPr>
                <w:rFonts w:ascii="Calibri" w:hAnsi="Calibri" w:cs="Calibri"/>
                <w:color w:val="000000"/>
                <w:sz w:val="16"/>
                <w:szCs w:val="16"/>
              </w:rPr>
            </w:pPr>
            <w:r w:rsidRPr="00595884">
              <w:rPr>
                <w:rFonts w:ascii="Calibri" w:hAnsi="Calibri" w:cs="Calibri"/>
                <w:color w:val="000000"/>
                <w:sz w:val="16"/>
                <w:szCs w:val="16"/>
              </w:rPr>
              <w:t>Hazard measured above regional or national chronic exposure criteria for protection of human health.  Health impact inferred due to criteria exceedance.</w:t>
            </w:r>
          </w:p>
        </w:tc>
        <w:tc>
          <w:tcPr>
            <w:tcW w:w="1548" w:type="dxa"/>
            <w:tcBorders>
              <w:top w:val="nil"/>
              <w:left w:val="nil"/>
              <w:bottom w:val="single" w:sz="8" w:space="0" w:color="B5DDDC"/>
              <w:right w:val="single" w:sz="8" w:space="0" w:color="B5DDDC"/>
            </w:tcBorders>
            <w:vAlign w:val="center"/>
            <w:hideMark/>
          </w:tcPr>
          <w:p w14:paraId="3FC76010" w14:textId="77777777" w:rsidR="00232391" w:rsidRPr="00595884" w:rsidRDefault="00274BC6" w:rsidP="003C0A46">
            <w:pPr>
              <w:spacing w:before="0" w:after="0" w:line="240" w:lineRule="auto"/>
              <w:rPr>
                <w:rFonts w:ascii="Calibri" w:hAnsi="Calibri" w:cs="Calibri"/>
                <w:color w:val="000000"/>
                <w:sz w:val="16"/>
                <w:szCs w:val="16"/>
              </w:rPr>
            </w:pPr>
            <w:r w:rsidRPr="00595884">
              <w:rPr>
                <w:rFonts w:ascii="Calibri" w:hAnsi="Calibri" w:cs="Calibri"/>
                <w:color w:val="000000"/>
                <w:sz w:val="16"/>
                <w:szCs w:val="16"/>
              </w:rPr>
              <w:t>Concentration in recreational waters in relation to human health protection criteria (e.g. hazard quotient &gt; 1).</w:t>
            </w:r>
          </w:p>
        </w:tc>
        <w:tc>
          <w:tcPr>
            <w:tcW w:w="2521" w:type="dxa"/>
            <w:tcBorders>
              <w:top w:val="nil"/>
              <w:left w:val="nil"/>
              <w:bottom w:val="single" w:sz="8" w:space="0" w:color="B5DDDC"/>
              <w:right w:val="single" w:sz="8" w:space="0" w:color="B5DDDC"/>
            </w:tcBorders>
            <w:vAlign w:val="center"/>
            <w:hideMark/>
          </w:tcPr>
          <w:p w14:paraId="5EBD2D96" w14:textId="5A14570D" w:rsidR="00232391" w:rsidRPr="00595884" w:rsidRDefault="00274BC6" w:rsidP="00050E86">
            <w:pPr>
              <w:spacing w:before="0" w:after="0" w:line="240" w:lineRule="auto"/>
              <w:rPr>
                <w:rFonts w:ascii="Calibri" w:hAnsi="Calibri" w:cs="Calibri"/>
                <w:color w:val="000000"/>
                <w:sz w:val="16"/>
                <w:szCs w:val="16"/>
              </w:rPr>
            </w:pPr>
            <w:r w:rsidRPr="00595884">
              <w:rPr>
                <w:rFonts w:ascii="Calibri" w:hAnsi="Calibri" w:cs="Calibri"/>
                <w:color w:val="000000"/>
                <w:sz w:val="16"/>
                <w:szCs w:val="16"/>
              </w:rPr>
              <w:t xml:space="preserve">Given that chemical concentrations in recreational waters are generally low, detection of acute health impacts is unlikely.  Consequently, measurement of concentrations of hazards listed in the PECO table against chronic exposure health criteria </w:t>
            </w:r>
            <w:proofErr w:type="gramStart"/>
            <w:r w:rsidRPr="00595884">
              <w:rPr>
                <w:rFonts w:ascii="Calibri" w:hAnsi="Calibri" w:cs="Calibri"/>
                <w:color w:val="000000"/>
                <w:sz w:val="16"/>
                <w:szCs w:val="16"/>
              </w:rPr>
              <w:t>are considered to be</w:t>
            </w:r>
            <w:proofErr w:type="gramEnd"/>
            <w:r w:rsidRPr="00595884">
              <w:rPr>
                <w:rFonts w:ascii="Calibri" w:hAnsi="Calibri" w:cs="Calibri"/>
                <w:color w:val="000000"/>
                <w:sz w:val="16"/>
                <w:szCs w:val="16"/>
              </w:rPr>
              <w:t xml:space="preserve"> the most useful research finding in response to the primary research question.</w:t>
            </w:r>
          </w:p>
        </w:tc>
      </w:tr>
    </w:tbl>
    <w:p w14:paraId="159B9AED" w14:textId="0F281CF1" w:rsidR="00232391" w:rsidRPr="00595884" w:rsidRDefault="00232391" w:rsidP="00232391"/>
    <w:p w14:paraId="0D933FAE" w14:textId="6910845A" w:rsidR="00232391" w:rsidRPr="00595884" w:rsidRDefault="00274BC6" w:rsidP="005B6ACD">
      <w:pPr>
        <w:pStyle w:val="Heading4"/>
      </w:pPr>
      <w:bookmarkStart w:id="66" w:name="_Toc71638749"/>
      <w:bookmarkStart w:id="67" w:name="_Toc106811126"/>
      <w:r w:rsidRPr="00595884">
        <w:t xml:space="preserve">GRADE </w:t>
      </w:r>
      <w:r w:rsidR="00F76269">
        <w:t>a</w:t>
      </w:r>
      <w:r w:rsidRPr="00595884">
        <w:t>ssessment</w:t>
      </w:r>
      <w:bookmarkEnd w:id="66"/>
      <w:bookmarkEnd w:id="67"/>
    </w:p>
    <w:p w14:paraId="64FEB7EC" w14:textId="35C0735C" w:rsidR="00232391" w:rsidRPr="00595884" w:rsidRDefault="00274BC6" w:rsidP="00232391">
      <w:r w:rsidRPr="00595884">
        <w:t>Under the GRADE system, the overall quality of the evidence for an outcome was categorised as High, Moderate, Low or Very Low, reflecting the degree of confidence in the effect estimate (</w:t>
      </w:r>
      <w:r w:rsidRPr="00595884">
        <w:fldChar w:fldCharType="begin"/>
      </w:r>
      <w:r w:rsidRPr="00595884">
        <w:instrText xml:space="preserve"> REF _Ref70519283 \h </w:instrText>
      </w:r>
      <w:r w:rsidRPr="00595884">
        <w:fldChar w:fldCharType="separate"/>
      </w:r>
      <w:r w:rsidR="003132AF" w:rsidRPr="00595884">
        <w:t xml:space="preserve">Table </w:t>
      </w:r>
      <w:r w:rsidR="003132AF">
        <w:rPr>
          <w:noProof/>
        </w:rPr>
        <w:t>2</w:t>
      </w:r>
      <w:r w:rsidR="003132AF">
        <w:noBreakHyphen/>
      </w:r>
      <w:r w:rsidR="003132AF">
        <w:rPr>
          <w:noProof/>
        </w:rPr>
        <w:t>5</w:t>
      </w:r>
      <w:r w:rsidRPr="00595884">
        <w:fldChar w:fldCharType="end"/>
      </w:r>
      <w:r w:rsidRPr="00595884">
        <w:t xml:space="preserve">).  </w:t>
      </w:r>
    </w:p>
    <w:p w14:paraId="1AE2BE0A" w14:textId="24B508C3" w:rsidR="00232391" w:rsidRPr="00595884" w:rsidRDefault="00274BC6" w:rsidP="00232391">
      <w:pPr>
        <w:pStyle w:val="Caption"/>
      </w:pPr>
      <w:bookmarkStart w:id="68" w:name="_Ref70519283"/>
      <w:bookmarkStart w:id="69" w:name="_Toc71638845"/>
      <w:bookmarkStart w:id="70" w:name="_Toc106811167"/>
      <w:r w:rsidRPr="00595884">
        <w:t xml:space="preserve">Table </w:t>
      </w:r>
      <w:r w:rsidR="003132AF">
        <w:fldChar w:fldCharType="begin"/>
      </w:r>
      <w:r w:rsidR="003132AF">
        <w:instrText xml:space="preserve"> STYLEREF 1 \s </w:instrText>
      </w:r>
      <w:r w:rsidR="003132AF">
        <w:fldChar w:fldCharType="separate"/>
      </w:r>
      <w:r w:rsidR="003132AF">
        <w:rPr>
          <w:noProof/>
        </w:rPr>
        <w:t>2</w:t>
      </w:r>
      <w:r w:rsidR="003132AF">
        <w:rPr>
          <w:noProof/>
        </w:rPr>
        <w:fldChar w:fldCharType="end"/>
      </w:r>
      <w:r w:rsidR="00CE064A">
        <w:noBreakHyphen/>
      </w:r>
      <w:r w:rsidR="003132AF">
        <w:fldChar w:fldCharType="begin"/>
      </w:r>
      <w:r w:rsidR="003132AF">
        <w:instrText xml:space="preserve"> SEQ Table \* ARABIC \s 1 </w:instrText>
      </w:r>
      <w:r w:rsidR="003132AF">
        <w:fldChar w:fldCharType="separate"/>
      </w:r>
      <w:r w:rsidR="003132AF">
        <w:rPr>
          <w:noProof/>
        </w:rPr>
        <w:t>5</w:t>
      </w:r>
      <w:r w:rsidR="003132AF">
        <w:rPr>
          <w:noProof/>
        </w:rPr>
        <w:fldChar w:fldCharType="end"/>
      </w:r>
      <w:bookmarkEnd w:id="68"/>
      <w:r w:rsidRPr="00595884">
        <w:t xml:space="preserve">. GRADE ratings and their interpretation from </w:t>
      </w:r>
      <w:r w:rsidRPr="00595884">
        <w:fldChar w:fldCharType="begin"/>
      </w:r>
      <w:r w:rsidRPr="00595884">
        <w:instrText xml:space="preserve"> ADDIN ZOTERO_ITEM CSL_CITATION {"citationID":"QyikO1KQ","properties":{"custom":"Ryan and Hill (2016)","formattedCitation":"Ryan and Hill (2016)","plainCitation":"Ryan and Hill (2016)","noteIndex":0},"citationItems":[{"id":17461,"uris":["http://zotero.org/users/148142/items/KM6SMR4D"],"uri":["http://zotero.org/users/148142/items/KM6SMR4D"],"itemData":{"id":17461,"type":"report","title":"How to GRADE the quality of the evidence. Cochrane Consumers and Communication Group. Version 3.0 December 2016","URL":"http://cccrg.cochrane.org/author-resources","author":[{"family":"Ryan","given":"R"},{"family":"Hill","given":"S"}],"issued":{"date-parts":[["2016"]]}}}],"schema":"https://github.com/citation-style-language/schema/raw/master/csl-citation.json"} </w:instrText>
      </w:r>
      <w:r w:rsidRPr="00595884">
        <w:fldChar w:fldCharType="separate"/>
      </w:r>
      <w:r w:rsidRPr="00595884">
        <w:rPr>
          <w:rFonts w:cs="Arial"/>
          <w:sz w:val="20"/>
        </w:rPr>
        <w:t>Ryan and Hill (2016)</w:t>
      </w:r>
      <w:bookmarkEnd w:id="69"/>
      <w:bookmarkEnd w:id="70"/>
      <w:r w:rsidRPr="00595884">
        <w:fldChar w:fldCharType="end"/>
      </w:r>
    </w:p>
    <w:tbl>
      <w:tblPr>
        <w:tblStyle w:val="EcosleftTableStyle"/>
        <w:tblW w:w="0" w:type="auto"/>
        <w:tblLook w:val="04A0" w:firstRow="1" w:lastRow="0" w:firstColumn="1" w:lastColumn="0" w:noHBand="0" w:noVBand="1"/>
      </w:tblPr>
      <w:tblGrid>
        <w:gridCol w:w="1129"/>
        <w:gridCol w:w="1276"/>
        <w:gridCol w:w="5238"/>
      </w:tblGrid>
      <w:tr w:rsidR="004254E5" w14:paraId="2341F52B" w14:textId="77777777" w:rsidTr="004254E5">
        <w:trPr>
          <w:cnfStyle w:val="100000000000" w:firstRow="1" w:lastRow="0" w:firstColumn="0" w:lastColumn="0" w:oddVBand="0" w:evenVBand="0" w:oddHBand="0"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1129" w:type="dxa"/>
          </w:tcPr>
          <w:p w14:paraId="07A14F4B" w14:textId="77777777" w:rsidR="00232391" w:rsidRPr="00595884" w:rsidRDefault="00274BC6" w:rsidP="003C0A46">
            <w:pPr>
              <w:spacing w:before="40" w:after="40" w:line="240" w:lineRule="auto"/>
              <w:rPr>
                <w:rFonts w:asciiTheme="minorHAnsi" w:hAnsiTheme="minorHAnsi" w:cstheme="minorHAnsi"/>
              </w:rPr>
            </w:pPr>
            <w:r w:rsidRPr="00595884">
              <w:rPr>
                <w:rFonts w:asciiTheme="minorHAnsi" w:hAnsiTheme="minorHAnsi" w:cstheme="minorHAnsi"/>
              </w:rPr>
              <w:t>Symbol</w:t>
            </w:r>
          </w:p>
        </w:tc>
        <w:tc>
          <w:tcPr>
            <w:tcW w:w="1276" w:type="dxa"/>
          </w:tcPr>
          <w:p w14:paraId="526B9290" w14:textId="77777777" w:rsidR="00232391" w:rsidRPr="00595884" w:rsidRDefault="00274BC6" w:rsidP="003C0A46">
            <w:pPr>
              <w:spacing w:before="40" w:after="4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595884">
              <w:rPr>
                <w:rFonts w:asciiTheme="minorHAnsi" w:hAnsiTheme="minorHAnsi" w:cstheme="minorHAnsi"/>
              </w:rPr>
              <w:t>Quality</w:t>
            </w:r>
          </w:p>
        </w:tc>
        <w:tc>
          <w:tcPr>
            <w:tcW w:w="5238" w:type="dxa"/>
          </w:tcPr>
          <w:p w14:paraId="03E27F80" w14:textId="77777777" w:rsidR="00232391" w:rsidRPr="00595884" w:rsidRDefault="00274BC6" w:rsidP="003C0A46">
            <w:pPr>
              <w:spacing w:before="40" w:after="4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595884">
              <w:rPr>
                <w:rFonts w:asciiTheme="minorHAnsi" w:hAnsiTheme="minorHAnsi" w:cstheme="minorHAnsi"/>
              </w:rPr>
              <w:t>Interpretation</w:t>
            </w:r>
          </w:p>
        </w:tc>
      </w:tr>
      <w:tr w:rsidR="004254E5" w14:paraId="0EE97205" w14:textId="77777777" w:rsidTr="004254E5">
        <w:tc>
          <w:tcPr>
            <w:cnfStyle w:val="001000000000" w:firstRow="0" w:lastRow="0" w:firstColumn="1" w:lastColumn="0" w:oddVBand="0" w:evenVBand="0" w:oddHBand="0" w:evenHBand="0" w:firstRowFirstColumn="0" w:firstRowLastColumn="0" w:lastRowFirstColumn="0" w:lastRowLastColumn="0"/>
            <w:tcW w:w="1129" w:type="dxa"/>
          </w:tcPr>
          <w:p w14:paraId="346737C8" w14:textId="77777777" w:rsidR="00232391" w:rsidRPr="00595884" w:rsidRDefault="00274BC6" w:rsidP="003C0A46">
            <w:pPr>
              <w:spacing w:before="40" w:after="40" w:line="240" w:lineRule="auto"/>
              <w:rPr>
                <w:rFonts w:asciiTheme="majorHAnsi" w:hAnsiTheme="majorHAnsi" w:cstheme="minorHAnsi"/>
              </w:rPr>
            </w:pPr>
            <w:r w:rsidRPr="00595884">
              <w:rPr>
                <w:rFonts w:asciiTheme="majorHAnsi" w:hAnsiTheme="majorHAnsi" w:cs="Calibri"/>
                <w:sz w:val="18"/>
                <w:szCs w:val="28"/>
              </w:rPr>
              <w:t>⊕⊕⊕⊕</w:t>
            </w:r>
          </w:p>
        </w:tc>
        <w:tc>
          <w:tcPr>
            <w:tcW w:w="1276" w:type="dxa"/>
          </w:tcPr>
          <w:p w14:paraId="76D3C03B" w14:textId="77777777" w:rsidR="00232391" w:rsidRPr="00595884" w:rsidRDefault="00274BC6" w:rsidP="003C0A46">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595884">
              <w:rPr>
                <w:rFonts w:asciiTheme="minorHAnsi" w:hAnsiTheme="minorHAnsi" w:cstheme="minorHAnsi"/>
                <w:b/>
                <w:bCs/>
              </w:rPr>
              <w:t>High</w:t>
            </w:r>
          </w:p>
        </w:tc>
        <w:tc>
          <w:tcPr>
            <w:tcW w:w="5238" w:type="dxa"/>
          </w:tcPr>
          <w:p w14:paraId="348289B3" w14:textId="77777777" w:rsidR="00232391" w:rsidRPr="00595884" w:rsidRDefault="00274BC6" w:rsidP="003C0A46">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95884">
              <w:rPr>
                <w:rFonts w:asciiTheme="minorHAnsi" w:hAnsiTheme="minorHAnsi" w:cstheme="minorHAnsi"/>
              </w:rPr>
              <w:t>We are very confident that the true effect lies close to that of the estimate of the effect.</w:t>
            </w:r>
          </w:p>
        </w:tc>
      </w:tr>
      <w:tr w:rsidR="004254E5" w14:paraId="41BC45AE" w14:textId="77777777" w:rsidTr="004254E5">
        <w:tc>
          <w:tcPr>
            <w:cnfStyle w:val="001000000000" w:firstRow="0" w:lastRow="0" w:firstColumn="1" w:lastColumn="0" w:oddVBand="0" w:evenVBand="0" w:oddHBand="0" w:evenHBand="0" w:firstRowFirstColumn="0" w:firstRowLastColumn="0" w:lastRowFirstColumn="0" w:lastRowLastColumn="0"/>
            <w:tcW w:w="1129" w:type="dxa"/>
          </w:tcPr>
          <w:p w14:paraId="2CC7E310" w14:textId="77777777" w:rsidR="00232391" w:rsidRPr="00595884" w:rsidRDefault="00274BC6" w:rsidP="003C0A46">
            <w:pPr>
              <w:spacing w:before="40" w:after="40" w:line="240" w:lineRule="auto"/>
              <w:rPr>
                <w:rFonts w:asciiTheme="majorHAnsi" w:hAnsiTheme="majorHAnsi" w:cstheme="minorHAnsi"/>
                <w:sz w:val="18"/>
                <w:szCs w:val="18"/>
              </w:rPr>
            </w:pPr>
            <w:r w:rsidRPr="00595884">
              <w:rPr>
                <w:rFonts w:asciiTheme="majorHAnsi" w:hAnsiTheme="majorHAnsi" w:cs="Calibri"/>
                <w:sz w:val="18"/>
                <w:szCs w:val="18"/>
              </w:rPr>
              <w:t>⊕⊕⊕</w:t>
            </w:r>
            <w:r w:rsidRPr="00595884">
              <w:rPr>
                <w:rFonts w:asciiTheme="majorHAnsi" w:hAnsiTheme="majorHAnsi" w:cs="Calibri"/>
                <w:sz w:val="20"/>
                <w:szCs w:val="32"/>
              </w:rPr>
              <w:t>Ο</w:t>
            </w:r>
          </w:p>
        </w:tc>
        <w:tc>
          <w:tcPr>
            <w:tcW w:w="1276" w:type="dxa"/>
          </w:tcPr>
          <w:p w14:paraId="0B5EADF7" w14:textId="77777777" w:rsidR="00232391" w:rsidRPr="00595884" w:rsidRDefault="00274BC6" w:rsidP="003C0A46">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595884">
              <w:rPr>
                <w:rFonts w:asciiTheme="minorHAnsi" w:hAnsiTheme="minorHAnsi" w:cstheme="minorHAnsi"/>
                <w:b/>
                <w:bCs/>
              </w:rPr>
              <w:t>Moderate</w:t>
            </w:r>
          </w:p>
        </w:tc>
        <w:tc>
          <w:tcPr>
            <w:tcW w:w="5238" w:type="dxa"/>
          </w:tcPr>
          <w:p w14:paraId="4A448557" w14:textId="77777777" w:rsidR="00232391" w:rsidRPr="00595884" w:rsidRDefault="00274BC6" w:rsidP="003C0A46">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95884">
              <w:rPr>
                <w:rFonts w:asciiTheme="minorHAnsi" w:hAnsiTheme="minorHAnsi" w:cstheme="minorHAnsi"/>
              </w:rPr>
              <w:t>We are moderately confident in the effect estimate: the true effect is likely to be close to the estimate of the effect, but there is a possibility that it is substantially different.</w:t>
            </w:r>
          </w:p>
        </w:tc>
      </w:tr>
      <w:tr w:rsidR="004254E5" w14:paraId="6FD95C81" w14:textId="77777777" w:rsidTr="004254E5">
        <w:tc>
          <w:tcPr>
            <w:cnfStyle w:val="001000000000" w:firstRow="0" w:lastRow="0" w:firstColumn="1" w:lastColumn="0" w:oddVBand="0" w:evenVBand="0" w:oddHBand="0" w:evenHBand="0" w:firstRowFirstColumn="0" w:firstRowLastColumn="0" w:lastRowFirstColumn="0" w:lastRowLastColumn="0"/>
            <w:tcW w:w="1129" w:type="dxa"/>
          </w:tcPr>
          <w:p w14:paraId="6EC9ED57" w14:textId="77777777" w:rsidR="00232391" w:rsidRPr="00595884" w:rsidRDefault="00274BC6" w:rsidP="003C0A46">
            <w:pPr>
              <w:spacing w:before="40" w:after="40" w:line="240" w:lineRule="auto"/>
              <w:rPr>
                <w:rFonts w:asciiTheme="majorHAnsi" w:hAnsiTheme="majorHAnsi" w:cstheme="minorHAnsi"/>
              </w:rPr>
            </w:pPr>
            <w:r w:rsidRPr="00595884">
              <w:rPr>
                <w:rFonts w:asciiTheme="majorHAnsi" w:hAnsiTheme="majorHAnsi" w:cs="Calibri"/>
                <w:sz w:val="18"/>
                <w:szCs w:val="28"/>
              </w:rPr>
              <w:t>⊕⊕ΟΟ</w:t>
            </w:r>
          </w:p>
        </w:tc>
        <w:tc>
          <w:tcPr>
            <w:tcW w:w="1276" w:type="dxa"/>
          </w:tcPr>
          <w:p w14:paraId="53A3073C" w14:textId="77777777" w:rsidR="00232391" w:rsidRPr="00595884" w:rsidRDefault="00274BC6" w:rsidP="003C0A46">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595884">
              <w:rPr>
                <w:rFonts w:asciiTheme="minorHAnsi" w:hAnsiTheme="minorHAnsi" w:cstheme="minorHAnsi"/>
                <w:b/>
                <w:bCs/>
              </w:rPr>
              <w:t>Low</w:t>
            </w:r>
          </w:p>
        </w:tc>
        <w:tc>
          <w:tcPr>
            <w:tcW w:w="5238" w:type="dxa"/>
          </w:tcPr>
          <w:p w14:paraId="3059608A" w14:textId="77777777" w:rsidR="00232391" w:rsidRPr="00595884" w:rsidRDefault="00274BC6" w:rsidP="003C0A46">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95884">
              <w:rPr>
                <w:rFonts w:asciiTheme="minorHAnsi" w:hAnsiTheme="minorHAnsi" w:cstheme="minorHAnsi"/>
              </w:rPr>
              <w:t>Our confidence in the effect estimate is limited: the true effect may be substantially different from the estimate of the effect.</w:t>
            </w:r>
          </w:p>
        </w:tc>
      </w:tr>
      <w:tr w:rsidR="004254E5" w14:paraId="356D1DEB" w14:textId="77777777" w:rsidTr="004254E5">
        <w:tc>
          <w:tcPr>
            <w:cnfStyle w:val="001000000000" w:firstRow="0" w:lastRow="0" w:firstColumn="1" w:lastColumn="0" w:oddVBand="0" w:evenVBand="0" w:oddHBand="0" w:evenHBand="0" w:firstRowFirstColumn="0" w:firstRowLastColumn="0" w:lastRowFirstColumn="0" w:lastRowLastColumn="0"/>
            <w:tcW w:w="1129" w:type="dxa"/>
          </w:tcPr>
          <w:p w14:paraId="00BEC0EC" w14:textId="77777777" w:rsidR="00232391" w:rsidRPr="00595884" w:rsidRDefault="00274BC6" w:rsidP="003C0A46">
            <w:pPr>
              <w:spacing w:before="40" w:after="40" w:line="240" w:lineRule="auto"/>
              <w:rPr>
                <w:rFonts w:asciiTheme="majorHAnsi" w:hAnsiTheme="majorHAnsi" w:cstheme="minorHAnsi"/>
              </w:rPr>
            </w:pPr>
            <w:r w:rsidRPr="00595884">
              <w:rPr>
                <w:rFonts w:asciiTheme="majorHAnsi" w:hAnsiTheme="majorHAnsi" w:cs="Calibri"/>
                <w:sz w:val="18"/>
                <w:szCs w:val="28"/>
              </w:rPr>
              <w:t>⊕ΟΟΟ</w:t>
            </w:r>
          </w:p>
        </w:tc>
        <w:tc>
          <w:tcPr>
            <w:tcW w:w="1276" w:type="dxa"/>
          </w:tcPr>
          <w:p w14:paraId="30FBBB2F" w14:textId="77777777" w:rsidR="00232391" w:rsidRPr="00595884" w:rsidRDefault="00274BC6" w:rsidP="003C0A46">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595884">
              <w:rPr>
                <w:rFonts w:asciiTheme="minorHAnsi" w:hAnsiTheme="minorHAnsi" w:cstheme="minorHAnsi"/>
                <w:b/>
                <w:bCs/>
              </w:rPr>
              <w:t>Very Low</w:t>
            </w:r>
          </w:p>
        </w:tc>
        <w:tc>
          <w:tcPr>
            <w:tcW w:w="5238" w:type="dxa"/>
          </w:tcPr>
          <w:p w14:paraId="4448BC50" w14:textId="77777777" w:rsidR="00232391" w:rsidRPr="00595884" w:rsidRDefault="00274BC6" w:rsidP="003C0A46">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95884">
              <w:rPr>
                <w:rFonts w:asciiTheme="minorHAnsi" w:hAnsiTheme="minorHAnsi" w:cstheme="minorHAnsi"/>
              </w:rPr>
              <w:t>We have very little confidence in the effect estimate: the true effect is likely to be substantially different from the estimate of effect.</w:t>
            </w:r>
          </w:p>
        </w:tc>
      </w:tr>
    </w:tbl>
    <w:p w14:paraId="22DB9126" w14:textId="77777777" w:rsidR="00130DC4" w:rsidRPr="00595884" w:rsidRDefault="00130DC4" w:rsidP="00BA6F16">
      <w:pPr>
        <w:rPr>
          <w:highlight w:val="yellow"/>
        </w:rPr>
      </w:pPr>
    </w:p>
    <w:p w14:paraId="5C5C1833" w14:textId="1A0E8DDB" w:rsidR="00130DC4" w:rsidRPr="00595884" w:rsidRDefault="00274BC6" w:rsidP="00130DC4">
      <w:r w:rsidRPr="00595884">
        <w:t>To assist in the development of the GRADE assessment, an evaluation summary matrix for each primary study was constructed (</w:t>
      </w:r>
      <w:r w:rsidR="00702D93" w:rsidRPr="00595884">
        <w:fldChar w:fldCharType="begin"/>
      </w:r>
      <w:r w:rsidR="00702D93" w:rsidRPr="00595884">
        <w:instrText xml:space="preserve"> REF _Ref71721366 \h </w:instrText>
      </w:r>
      <w:r w:rsidR="00702D93" w:rsidRPr="00595884">
        <w:fldChar w:fldCharType="separate"/>
      </w:r>
      <w:r w:rsidR="003132AF" w:rsidRPr="00595884">
        <w:t xml:space="preserve">Table </w:t>
      </w:r>
      <w:r w:rsidR="003132AF">
        <w:rPr>
          <w:noProof/>
        </w:rPr>
        <w:t>2</w:t>
      </w:r>
      <w:r w:rsidR="003132AF">
        <w:noBreakHyphen/>
      </w:r>
      <w:r w:rsidR="003132AF">
        <w:rPr>
          <w:noProof/>
        </w:rPr>
        <w:t>6</w:t>
      </w:r>
      <w:r w:rsidR="00702D93" w:rsidRPr="00595884">
        <w:fldChar w:fldCharType="end"/>
      </w:r>
      <w:r w:rsidRPr="00595884">
        <w:t>).  The summary matrices assisted in develop</w:t>
      </w:r>
      <w:r w:rsidR="00C94051">
        <w:t>ing a</w:t>
      </w:r>
      <w:r w:rsidRPr="00595884">
        <w:t xml:space="preserve"> response to each of the GRADE assessment categories.</w:t>
      </w:r>
    </w:p>
    <w:p w14:paraId="1FF6DCC4" w14:textId="77777777" w:rsidR="00BA6F16" w:rsidRPr="00595884" w:rsidRDefault="00BA6F16" w:rsidP="00130DC4"/>
    <w:p w14:paraId="54193B9C" w14:textId="12D05618" w:rsidR="00130DC4" w:rsidRPr="00595884" w:rsidRDefault="00274BC6" w:rsidP="00BA6F16">
      <w:pPr>
        <w:pStyle w:val="Caption"/>
        <w:rPr>
          <w:highlight w:val="yellow"/>
        </w:rPr>
      </w:pPr>
      <w:bookmarkStart w:id="71" w:name="_Ref71721366"/>
      <w:bookmarkStart w:id="72" w:name="_Toc106811168"/>
      <w:r w:rsidRPr="00595884">
        <w:t xml:space="preserve">Table </w:t>
      </w:r>
      <w:r w:rsidR="003132AF">
        <w:fldChar w:fldCharType="begin"/>
      </w:r>
      <w:r w:rsidR="003132AF">
        <w:instrText xml:space="preserve"> STYLEREF 1 \s </w:instrText>
      </w:r>
      <w:r w:rsidR="003132AF">
        <w:fldChar w:fldCharType="separate"/>
      </w:r>
      <w:r w:rsidR="003132AF">
        <w:rPr>
          <w:noProof/>
        </w:rPr>
        <w:t>2</w:t>
      </w:r>
      <w:r w:rsidR="003132AF">
        <w:rPr>
          <w:noProof/>
        </w:rPr>
        <w:fldChar w:fldCharType="end"/>
      </w:r>
      <w:r w:rsidR="00CE064A">
        <w:noBreakHyphen/>
      </w:r>
      <w:r w:rsidR="003132AF">
        <w:fldChar w:fldCharType="begin"/>
      </w:r>
      <w:r w:rsidR="003132AF">
        <w:instrText xml:space="preserve"> SEQ Table \* ARABIC \s 1 </w:instrText>
      </w:r>
      <w:r w:rsidR="003132AF">
        <w:fldChar w:fldCharType="separate"/>
      </w:r>
      <w:r w:rsidR="003132AF">
        <w:rPr>
          <w:noProof/>
        </w:rPr>
        <w:t>6</w:t>
      </w:r>
      <w:r w:rsidR="003132AF">
        <w:rPr>
          <w:noProof/>
        </w:rPr>
        <w:fldChar w:fldCharType="end"/>
      </w:r>
      <w:bookmarkEnd w:id="71"/>
      <w:r w:rsidRPr="00595884">
        <w:t xml:space="preserve">. Evaluation summary matrix of individual </w:t>
      </w:r>
      <w:r w:rsidR="00E02706">
        <w:t>p</w:t>
      </w:r>
      <w:r w:rsidR="00F03193" w:rsidRPr="00595884">
        <w:t xml:space="preserve">rimary </w:t>
      </w:r>
      <w:r w:rsidR="00E02706">
        <w:t>s</w:t>
      </w:r>
      <w:r w:rsidR="00F03193" w:rsidRPr="00595884">
        <w:t>tudies</w:t>
      </w:r>
      <w:bookmarkEnd w:id="72"/>
    </w:p>
    <w:tbl>
      <w:tblPr>
        <w:tblW w:w="7225" w:type="dxa"/>
        <w:tblLook w:val="04A0" w:firstRow="1" w:lastRow="0" w:firstColumn="1" w:lastColumn="0" w:noHBand="0" w:noVBand="1"/>
      </w:tblPr>
      <w:tblGrid>
        <w:gridCol w:w="1696"/>
        <w:gridCol w:w="5529"/>
      </w:tblGrid>
      <w:tr w:rsidR="004254E5" w14:paraId="4B7CA9A1" w14:textId="77777777" w:rsidTr="00702D93">
        <w:trPr>
          <w:tblHeader/>
        </w:trPr>
        <w:tc>
          <w:tcPr>
            <w:tcW w:w="1696" w:type="dxa"/>
            <w:tcBorders>
              <w:top w:val="single" w:sz="4" w:space="0" w:color="B5DDDC"/>
              <w:left w:val="single" w:sz="4" w:space="0" w:color="B5DDDC"/>
              <w:bottom w:val="single" w:sz="4" w:space="0" w:color="B5DDDC"/>
              <w:right w:val="single" w:sz="4" w:space="0" w:color="B5DDDC"/>
            </w:tcBorders>
            <w:shd w:val="clear" w:color="000000" w:fill="B5DDDC"/>
            <w:vAlign w:val="center"/>
            <w:hideMark/>
          </w:tcPr>
          <w:p w14:paraId="6710BCC4" w14:textId="77777777" w:rsidR="00130DC4" w:rsidRPr="00595884" w:rsidRDefault="00274BC6" w:rsidP="003C0A46">
            <w:pPr>
              <w:spacing w:before="40" w:after="40" w:line="240" w:lineRule="auto"/>
              <w:rPr>
                <w:rFonts w:ascii="Calibri" w:hAnsi="Calibri" w:cs="Calibri"/>
                <w:b/>
                <w:bCs/>
                <w:color w:val="008000"/>
                <w:sz w:val="16"/>
                <w:szCs w:val="16"/>
              </w:rPr>
            </w:pPr>
            <w:r w:rsidRPr="00595884">
              <w:rPr>
                <w:rFonts w:ascii="Calibri" w:hAnsi="Calibri" w:cs="Calibri"/>
                <w:b/>
                <w:bCs/>
                <w:color w:val="008000"/>
                <w:sz w:val="16"/>
                <w:szCs w:val="16"/>
              </w:rPr>
              <w:t>Item</w:t>
            </w:r>
          </w:p>
        </w:tc>
        <w:tc>
          <w:tcPr>
            <w:tcW w:w="5529" w:type="dxa"/>
            <w:tcBorders>
              <w:top w:val="single" w:sz="4" w:space="0" w:color="B5DDDC"/>
              <w:left w:val="nil"/>
              <w:bottom w:val="single" w:sz="4" w:space="0" w:color="B5DDDC"/>
              <w:right w:val="single" w:sz="4" w:space="0" w:color="B5DDDC"/>
            </w:tcBorders>
            <w:shd w:val="clear" w:color="000000" w:fill="B5DDDC"/>
            <w:vAlign w:val="center"/>
            <w:hideMark/>
          </w:tcPr>
          <w:p w14:paraId="08269707" w14:textId="77777777" w:rsidR="00130DC4" w:rsidRPr="00595884" w:rsidRDefault="00274BC6" w:rsidP="003C0A46">
            <w:pPr>
              <w:spacing w:before="40" w:after="40" w:line="240" w:lineRule="auto"/>
              <w:rPr>
                <w:rFonts w:ascii="Calibri" w:hAnsi="Calibri" w:cs="Calibri"/>
                <w:b/>
                <w:bCs/>
                <w:color w:val="008000"/>
                <w:sz w:val="16"/>
                <w:szCs w:val="16"/>
              </w:rPr>
            </w:pPr>
            <w:r w:rsidRPr="00595884">
              <w:rPr>
                <w:rFonts w:ascii="Calibri" w:hAnsi="Calibri" w:cs="Calibri"/>
                <w:b/>
                <w:bCs/>
                <w:color w:val="008000"/>
                <w:sz w:val="16"/>
                <w:szCs w:val="16"/>
              </w:rPr>
              <w:t>Description</w:t>
            </w:r>
          </w:p>
        </w:tc>
      </w:tr>
      <w:tr w:rsidR="004254E5" w14:paraId="2CF8423D" w14:textId="77777777" w:rsidTr="003C0A46">
        <w:tc>
          <w:tcPr>
            <w:tcW w:w="1696" w:type="dxa"/>
            <w:tcBorders>
              <w:top w:val="nil"/>
              <w:left w:val="single" w:sz="4" w:space="0" w:color="B5DDDC"/>
              <w:bottom w:val="single" w:sz="4" w:space="0" w:color="B5DDDC"/>
              <w:right w:val="single" w:sz="4" w:space="0" w:color="B5DDDC"/>
            </w:tcBorders>
            <w:shd w:val="clear" w:color="000000" w:fill="D6EAEB"/>
            <w:hideMark/>
          </w:tcPr>
          <w:p w14:paraId="08846746" w14:textId="77777777" w:rsidR="00130DC4" w:rsidRPr="00595884" w:rsidRDefault="00274BC6" w:rsidP="003C0A46">
            <w:pPr>
              <w:spacing w:before="40" w:after="40" w:line="240" w:lineRule="auto"/>
              <w:rPr>
                <w:rFonts w:ascii="Calibri" w:hAnsi="Calibri" w:cs="Calibri"/>
                <w:sz w:val="16"/>
                <w:szCs w:val="16"/>
              </w:rPr>
            </w:pPr>
            <w:r w:rsidRPr="00595884">
              <w:rPr>
                <w:rFonts w:ascii="Calibri" w:hAnsi="Calibri" w:cs="Calibri"/>
                <w:sz w:val="16"/>
                <w:szCs w:val="16"/>
              </w:rPr>
              <w:t>Study, Design, Quality</w:t>
            </w:r>
          </w:p>
        </w:tc>
        <w:tc>
          <w:tcPr>
            <w:tcW w:w="5529" w:type="dxa"/>
            <w:tcBorders>
              <w:top w:val="nil"/>
              <w:left w:val="nil"/>
              <w:bottom w:val="single" w:sz="4" w:space="0" w:color="B5DDDC"/>
              <w:right w:val="single" w:sz="4" w:space="0" w:color="B5DDDC"/>
            </w:tcBorders>
            <w:hideMark/>
          </w:tcPr>
          <w:p w14:paraId="5A7A9D7A" w14:textId="77777777" w:rsidR="00130DC4" w:rsidRPr="00595884" w:rsidRDefault="00274BC6" w:rsidP="003C0A46">
            <w:pPr>
              <w:spacing w:before="40" w:after="40" w:line="240" w:lineRule="auto"/>
              <w:rPr>
                <w:rFonts w:ascii="Calibri" w:hAnsi="Calibri" w:cs="Calibri"/>
                <w:sz w:val="16"/>
                <w:szCs w:val="16"/>
              </w:rPr>
            </w:pPr>
            <w:r w:rsidRPr="00595884">
              <w:rPr>
                <w:rFonts w:ascii="Calibri" w:hAnsi="Calibri" w:cs="Calibri"/>
                <w:sz w:val="16"/>
                <w:szCs w:val="16"/>
              </w:rPr>
              <w:t>Study ID, Type of study, Quality assessment</w:t>
            </w:r>
          </w:p>
        </w:tc>
      </w:tr>
      <w:tr w:rsidR="004254E5" w14:paraId="0F5999DB" w14:textId="77777777" w:rsidTr="003C0A46">
        <w:tc>
          <w:tcPr>
            <w:tcW w:w="1696" w:type="dxa"/>
            <w:tcBorders>
              <w:top w:val="nil"/>
              <w:left w:val="single" w:sz="4" w:space="0" w:color="B5DDDC"/>
              <w:bottom w:val="single" w:sz="4" w:space="0" w:color="B5DDDC"/>
              <w:right w:val="single" w:sz="4" w:space="0" w:color="B5DDDC"/>
            </w:tcBorders>
            <w:shd w:val="clear" w:color="000000" w:fill="D6EAEB"/>
            <w:hideMark/>
          </w:tcPr>
          <w:p w14:paraId="4B11EDBC" w14:textId="77777777" w:rsidR="00130DC4" w:rsidRPr="00595884" w:rsidRDefault="00274BC6" w:rsidP="003C0A46">
            <w:pPr>
              <w:spacing w:before="40" w:after="40" w:line="240" w:lineRule="auto"/>
              <w:rPr>
                <w:rFonts w:ascii="Calibri" w:hAnsi="Calibri" w:cs="Calibri"/>
                <w:sz w:val="16"/>
                <w:szCs w:val="16"/>
              </w:rPr>
            </w:pPr>
            <w:r w:rsidRPr="00595884">
              <w:rPr>
                <w:rFonts w:ascii="Calibri" w:hAnsi="Calibri" w:cs="Calibri"/>
                <w:sz w:val="16"/>
                <w:szCs w:val="16"/>
              </w:rPr>
              <w:t>Population</w:t>
            </w:r>
          </w:p>
        </w:tc>
        <w:tc>
          <w:tcPr>
            <w:tcW w:w="5529" w:type="dxa"/>
            <w:tcBorders>
              <w:top w:val="nil"/>
              <w:left w:val="nil"/>
              <w:bottom w:val="single" w:sz="4" w:space="0" w:color="B5DDDC"/>
              <w:right w:val="single" w:sz="4" w:space="0" w:color="B5DDDC"/>
            </w:tcBorders>
            <w:hideMark/>
          </w:tcPr>
          <w:p w14:paraId="09DA1B65" w14:textId="56311AD0" w:rsidR="00130DC4" w:rsidRPr="00595884" w:rsidRDefault="00274BC6" w:rsidP="003C0A46">
            <w:pPr>
              <w:spacing w:before="40" w:after="40" w:line="240" w:lineRule="auto"/>
              <w:rPr>
                <w:rFonts w:ascii="Calibri" w:hAnsi="Calibri" w:cs="Calibri"/>
                <w:sz w:val="16"/>
                <w:szCs w:val="16"/>
              </w:rPr>
            </w:pPr>
            <w:r w:rsidRPr="00595884">
              <w:rPr>
                <w:rFonts w:ascii="Calibri" w:hAnsi="Calibri" w:cs="Calibri"/>
                <w:sz w:val="16"/>
                <w:szCs w:val="16"/>
              </w:rPr>
              <w:t>Population studied (e.g. adult, children</w:t>
            </w:r>
            <w:r w:rsidR="003829EB">
              <w:rPr>
                <w:rFonts w:ascii="Calibri" w:hAnsi="Calibri" w:cs="Calibri"/>
                <w:sz w:val="16"/>
                <w:szCs w:val="16"/>
              </w:rPr>
              <w:t>,</w:t>
            </w:r>
            <w:r w:rsidRPr="00595884">
              <w:rPr>
                <w:rFonts w:ascii="Calibri" w:hAnsi="Calibri" w:cs="Calibri"/>
                <w:sz w:val="16"/>
                <w:szCs w:val="16"/>
              </w:rPr>
              <w:t xml:space="preserve"> etc</w:t>
            </w:r>
            <w:r w:rsidR="003829EB">
              <w:rPr>
                <w:rFonts w:ascii="Calibri" w:hAnsi="Calibri" w:cs="Calibri"/>
                <w:sz w:val="16"/>
                <w:szCs w:val="16"/>
              </w:rPr>
              <w:t>.</w:t>
            </w:r>
            <w:r w:rsidRPr="00595884">
              <w:rPr>
                <w:rFonts w:ascii="Calibri" w:hAnsi="Calibri" w:cs="Calibri"/>
                <w:sz w:val="16"/>
                <w:szCs w:val="16"/>
              </w:rPr>
              <w:t>)</w:t>
            </w:r>
          </w:p>
        </w:tc>
      </w:tr>
      <w:tr w:rsidR="004254E5" w14:paraId="6064BEF8" w14:textId="77777777" w:rsidTr="003C0A46">
        <w:tc>
          <w:tcPr>
            <w:tcW w:w="1696" w:type="dxa"/>
            <w:tcBorders>
              <w:top w:val="nil"/>
              <w:left w:val="single" w:sz="4" w:space="0" w:color="B5DDDC"/>
              <w:bottom w:val="single" w:sz="4" w:space="0" w:color="B5DDDC"/>
              <w:right w:val="single" w:sz="4" w:space="0" w:color="B5DDDC"/>
            </w:tcBorders>
            <w:shd w:val="clear" w:color="000000" w:fill="D6EAEB"/>
            <w:hideMark/>
          </w:tcPr>
          <w:p w14:paraId="7B7027D1" w14:textId="77777777" w:rsidR="00130DC4" w:rsidRPr="00595884" w:rsidRDefault="00274BC6" w:rsidP="003C0A46">
            <w:pPr>
              <w:spacing w:before="40" w:after="40" w:line="240" w:lineRule="auto"/>
              <w:rPr>
                <w:rFonts w:ascii="Calibri" w:hAnsi="Calibri" w:cs="Calibri"/>
                <w:sz w:val="16"/>
                <w:szCs w:val="16"/>
              </w:rPr>
            </w:pPr>
            <w:r w:rsidRPr="00595884">
              <w:rPr>
                <w:rFonts w:ascii="Calibri" w:hAnsi="Calibri" w:cs="Calibri"/>
                <w:sz w:val="16"/>
                <w:szCs w:val="16"/>
              </w:rPr>
              <w:t>Exposures</w:t>
            </w:r>
          </w:p>
        </w:tc>
        <w:tc>
          <w:tcPr>
            <w:tcW w:w="5529" w:type="dxa"/>
            <w:tcBorders>
              <w:top w:val="nil"/>
              <w:left w:val="nil"/>
              <w:bottom w:val="single" w:sz="4" w:space="0" w:color="B5DDDC"/>
              <w:right w:val="single" w:sz="4" w:space="0" w:color="B5DDDC"/>
            </w:tcBorders>
            <w:hideMark/>
          </w:tcPr>
          <w:p w14:paraId="18B48526" w14:textId="77777777" w:rsidR="00130DC4" w:rsidRPr="00595884" w:rsidRDefault="00274BC6" w:rsidP="003C0A46">
            <w:pPr>
              <w:spacing w:before="40" w:after="40" w:line="240" w:lineRule="auto"/>
              <w:rPr>
                <w:rFonts w:ascii="Calibri" w:hAnsi="Calibri" w:cs="Calibri"/>
                <w:sz w:val="16"/>
                <w:szCs w:val="16"/>
              </w:rPr>
            </w:pPr>
            <w:r w:rsidRPr="00595884">
              <w:rPr>
                <w:rFonts w:ascii="Calibri" w:hAnsi="Calibri" w:cs="Calibri"/>
                <w:sz w:val="16"/>
                <w:szCs w:val="16"/>
              </w:rPr>
              <w:t>Exposure pathway, identity of chemical hazards studied</w:t>
            </w:r>
          </w:p>
        </w:tc>
      </w:tr>
      <w:tr w:rsidR="004254E5" w14:paraId="02796288" w14:textId="77777777" w:rsidTr="003C0A46">
        <w:tc>
          <w:tcPr>
            <w:tcW w:w="1696" w:type="dxa"/>
            <w:tcBorders>
              <w:top w:val="nil"/>
              <w:left w:val="single" w:sz="4" w:space="0" w:color="B5DDDC"/>
              <w:bottom w:val="single" w:sz="4" w:space="0" w:color="B5DDDC"/>
              <w:right w:val="single" w:sz="4" w:space="0" w:color="B5DDDC"/>
            </w:tcBorders>
            <w:shd w:val="clear" w:color="000000" w:fill="D6EAEB"/>
            <w:hideMark/>
          </w:tcPr>
          <w:p w14:paraId="13FF2AD4" w14:textId="77777777" w:rsidR="00130DC4" w:rsidRPr="00595884" w:rsidRDefault="00274BC6" w:rsidP="003C0A46">
            <w:pPr>
              <w:spacing w:before="40" w:after="40" w:line="240" w:lineRule="auto"/>
              <w:rPr>
                <w:rFonts w:ascii="Calibri" w:hAnsi="Calibri" w:cs="Calibri"/>
                <w:sz w:val="16"/>
                <w:szCs w:val="16"/>
              </w:rPr>
            </w:pPr>
            <w:r w:rsidRPr="00595884">
              <w:rPr>
                <w:rFonts w:ascii="Calibri" w:hAnsi="Calibri" w:cs="Calibri"/>
                <w:sz w:val="16"/>
                <w:szCs w:val="16"/>
              </w:rPr>
              <w:t>Location type</w:t>
            </w:r>
          </w:p>
        </w:tc>
        <w:tc>
          <w:tcPr>
            <w:tcW w:w="5529" w:type="dxa"/>
            <w:tcBorders>
              <w:top w:val="nil"/>
              <w:left w:val="nil"/>
              <w:bottom w:val="single" w:sz="4" w:space="0" w:color="B5DDDC"/>
              <w:right w:val="single" w:sz="4" w:space="0" w:color="B5DDDC"/>
            </w:tcBorders>
            <w:hideMark/>
          </w:tcPr>
          <w:p w14:paraId="3F1ACEB9" w14:textId="77777777" w:rsidR="00130DC4" w:rsidRPr="00595884" w:rsidRDefault="00274BC6" w:rsidP="003C0A46">
            <w:pPr>
              <w:spacing w:before="40" w:after="40" w:line="240" w:lineRule="auto"/>
              <w:rPr>
                <w:rFonts w:ascii="Calibri" w:hAnsi="Calibri" w:cs="Calibri"/>
                <w:sz w:val="16"/>
                <w:szCs w:val="16"/>
              </w:rPr>
            </w:pPr>
            <w:r w:rsidRPr="00595884">
              <w:rPr>
                <w:rFonts w:ascii="Calibri" w:hAnsi="Calibri" w:cs="Calibri"/>
                <w:sz w:val="16"/>
                <w:szCs w:val="16"/>
              </w:rPr>
              <w:t>Type of location</w:t>
            </w:r>
          </w:p>
        </w:tc>
      </w:tr>
      <w:tr w:rsidR="004254E5" w14:paraId="42927E30" w14:textId="77777777" w:rsidTr="003C0A46">
        <w:tc>
          <w:tcPr>
            <w:tcW w:w="1696" w:type="dxa"/>
            <w:tcBorders>
              <w:top w:val="nil"/>
              <w:left w:val="single" w:sz="4" w:space="0" w:color="B5DDDC"/>
              <w:bottom w:val="single" w:sz="4" w:space="0" w:color="B5DDDC"/>
              <w:right w:val="single" w:sz="4" w:space="0" w:color="B5DDDC"/>
            </w:tcBorders>
            <w:shd w:val="clear" w:color="000000" w:fill="D6EAEB"/>
            <w:hideMark/>
          </w:tcPr>
          <w:p w14:paraId="05C5AE49" w14:textId="77777777" w:rsidR="00130DC4" w:rsidRPr="00595884" w:rsidRDefault="00274BC6" w:rsidP="003C0A46">
            <w:pPr>
              <w:spacing w:before="40" w:after="40" w:line="240" w:lineRule="auto"/>
              <w:rPr>
                <w:rFonts w:ascii="Calibri" w:hAnsi="Calibri" w:cs="Calibri"/>
                <w:sz w:val="16"/>
                <w:szCs w:val="16"/>
              </w:rPr>
            </w:pPr>
            <w:r w:rsidRPr="00595884">
              <w:rPr>
                <w:rFonts w:ascii="Calibri" w:hAnsi="Calibri" w:cs="Calibri"/>
                <w:sz w:val="16"/>
                <w:szCs w:val="16"/>
              </w:rPr>
              <w:t>Outcome</w:t>
            </w:r>
          </w:p>
        </w:tc>
        <w:tc>
          <w:tcPr>
            <w:tcW w:w="5529" w:type="dxa"/>
            <w:tcBorders>
              <w:top w:val="nil"/>
              <w:left w:val="nil"/>
              <w:bottom w:val="single" w:sz="4" w:space="0" w:color="B5DDDC"/>
              <w:right w:val="single" w:sz="4" w:space="0" w:color="B5DDDC"/>
            </w:tcBorders>
            <w:hideMark/>
          </w:tcPr>
          <w:p w14:paraId="0BBBE6D0" w14:textId="77777777" w:rsidR="00130DC4" w:rsidRPr="00595884" w:rsidRDefault="00274BC6" w:rsidP="003C0A46">
            <w:pPr>
              <w:spacing w:before="40" w:after="40" w:line="240" w:lineRule="auto"/>
              <w:rPr>
                <w:rFonts w:ascii="Calibri" w:hAnsi="Calibri" w:cs="Calibri"/>
                <w:sz w:val="16"/>
                <w:szCs w:val="16"/>
              </w:rPr>
            </w:pPr>
            <w:r w:rsidRPr="00595884">
              <w:rPr>
                <w:rFonts w:ascii="Calibri" w:hAnsi="Calibri" w:cs="Calibri"/>
                <w:sz w:val="16"/>
                <w:szCs w:val="16"/>
              </w:rPr>
              <w:t>Metrics constructed for evaluation</w:t>
            </w:r>
          </w:p>
        </w:tc>
      </w:tr>
      <w:tr w:rsidR="004254E5" w14:paraId="0251BD31" w14:textId="77777777" w:rsidTr="003C0A46">
        <w:tc>
          <w:tcPr>
            <w:tcW w:w="1696" w:type="dxa"/>
            <w:tcBorders>
              <w:top w:val="nil"/>
              <w:left w:val="single" w:sz="4" w:space="0" w:color="B5DDDC"/>
              <w:bottom w:val="single" w:sz="4" w:space="0" w:color="B5DDDC"/>
              <w:right w:val="single" w:sz="4" w:space="0" w:color="B5DDDC"/>
            </w:tcBorders>
            <w:shd w:val="clear" w:color="000000" w:fill="D6EAEB"/>
            <w:hideMark/>
          </w:tcPr>
          <w:p w14:paraId="08FFD0B5" w14:textId="77777777" w:rsidR="00130DC4" w:rsidRPr="00595884" w:rsidRDefault="00274BC6" w:rsidP="003C0A46">
            <w:pPr>
              <w:spacing w:before="40" w:after="40" w:line="240" w:lineRule="auto"/>
              <w:rPr>
                <w:rFonts w:ascii="Calibri" w:hAnsi="Calibri" w:cs="Calibri"/>
                <w:sz w:val="16"/>
                <w:szCs w:val="16"/>
              </w:rPr>
            </w:pPr>
            <w:r w:rsidRPr="00595884">
              <w:rPr>
                <w:rFonts w:ascii="Calibri" w:hAnsi="Calibri" w:cs="Calibri"/>
                <w:sz w:val="16"/>
                <w:szCs w:val="16"/>
              </w:rPr>
              <w:t>Analysis</w:t>
            </w:r>
          </w:p>
        </w:tc>
        <w:tc>
          <w:tcPr>
            <w:tcW w:w="5529" w:type="dxa"/>
            <w:tcBorders>
              <w:top w:val="nil"/>
              <w:left w:val="nil"/>
              <w:bottom w:val="single" w:sz="4" w:space="0" w:color="B5DDDC"/>
              <w:right w:val="single" w:sz="4" w:space="0" w:color="B5DDDC"/>
            </w:tcBorders>
            <w:hideMark/>
          </w:tcPr>
          <w:p w14:paraId="58F67776" w14:textId="77777777" w:rsidR="00130DC4" w:rsidRPr="00595884" w:rsidRDefault="00274BC6" w:rsidP="003C0A46">
            <w:pPr>
              <w:spacing w:before="40" w:after="40" w:line="240" w:lineRule="auto"/>
              <w:rPr>
                <w:rFonts w:ascii="Calibri" w:hAnsi="Calibri" w:cs="Calibri"/>
                <w:sz w:val="16"/>
                <w:szCs w:val="16"/>
              </w:rPr>
            </w:pPr>
            <w:r w:rsidRPr="00595884">
              <w:rPr>
                <w:rFonts w:ascii="Calibri" w:hAnsi="Calibri" w:cs="Calibri"/>
                <w:sz w:val="16"/>
                <w:szCs w:val="16"/>
              </w:rPr>
              <w:t>Nature of the statistical analysis conducted on the data</w:t>
            </w:r>
          </w:p>
        </w:tc>
      </w:tr>
      <w:tr w:rsidR="004254E5" w14:paraId="6DEB4B7F" w14:textId="77777777" w:rsidTr="003C0A46">
        <w:tc>
          <w:tcPr>
            <w:tcW w:w="1696" w:type="dxa"/>
            <w:tcBorders>
              <w:top w:val="nil"/>
              <w:left w:val="single" w:sz="4" w:space="0" w:color="B5DDDC"/>
              <w:bottom w:val="single" w:sz="4" w:space="0" w:color="B5DDDC"/>
              <w:right w:val="single" w:sz="4" w:space="0" w:color="B5DDDC"/>
            </w:tcBorders>
            <w:shd w:val="clear" w:color="000000" w:fill="D6EAEB"/>
            <w:hideMark/>
          </w:tcPr>
          <w:p w14:paraId="14D3B3AE" w14:textId="77777777" w:rsidR="00130DC4" w:rsidRPr="00595884" w:rsidRDefault="00274BC6" w:rsidP="003C0A46">
            <w:pPr>
              <w:spacing w:before="40" w:after="40" w:line="240" w:lineRule="auto"/>
              <w:rPr>
                <w:rFonts w:ascii="Calibri" w:hAnsi="Calibri" w:cs="Calibri"/>
                <w:sz w:val="16"/>
                <w:szCs w:val="16"/>
              </w:rPr>
            </w:pPr>
            <w:r w:rsidRPr="00595884">
              <w:rPr>
                <w:rFonts w:ascii="Calibri" w:hAnsi="Calibri" w:cs="Calibri"/>
                <w:sz w:val="16"/>
                <w:szCs w:val="16"/>
              </w:rPr>
              <w:t>Results</w:t>
            </w:r>
          </w:p>
        </w:tc>
        <w:tc>
          <w:tcPr>
            <w:tcW w:w="5529" w:type="dxa"/>
            <w:tcBorders>
              <w:top w:val="nil"/>
              <w:left w:val="nil"/>
              <w:bottom w:val="single" w:sz="4" w:space="0" w:color="B5DDDC"/>
              <w:right w:val="single" w:sz="4" w:space="0" w:color="B5DDDC"/>
            </w:tcBorders>
            <w:hideMark/>
          </w:tcPr>
          <w:p w14:paraId="18A0DA81" w14:textId="77777777" w:rsidR="00130DC4" w:rsidRPr="00595884" w:rsidRDefault="00274BC6" w:rsidP="003C0A46">
            <w:pPr>
              <w:spacing w:before="40" w:after="40" w:line="240" w:lineRule="auto"/>
              <w:rPr>
                <w:rFonts w:ascii="Calibri" w:hAnsi="Calibri" w:cs="Calibri"/>
                <w:sz w:val="16"/>
                <w:szCs w:val="16"/>
              </w:rPr>
            </w:pPr>
            <w:r w:rsidRPr="00595884">
              <w:rPr>
                <w:rFonts w:ascii="Calibri" w:hAnsi="Calibri" w:cs="Calibri"/>
                <w:sz w:val="16"/>
                <w:szCs w:val="16"/>
              </w:rPr>
              <w:t>The value of field measurements or metrics used to evaluate the effect studied</w:t>
            </w:r>
          </w:p>
        </w:tc>
      </w:tr>
      <w:tr w:rsidR="004254E5" w14:paraId="5E54F5AD" w14:textId="77777777" w:rsidTr="003C0A46">
        <w:tc>
          <w:tcPr>
            <w:tcW w:w="1696" w:type="dxa"/>
            <w:tcBorders>
              <w:top w:val="nil"/>
              <w:left w:val="single" w:sz="4" w:space="0" w:color="B5DDDC"/>
              <w:bottom w:val="single" w:sz="4" w:space="0" w:color="B5DDDC"/>
              <w:right w:val="single" w:sz="4" w:space="0" w:color="B5DDDC"/>
            </w:tcBorders>
            <w:shd w:val="clear" w:color="000000" w:fill="D6EAEB"/>
            <w:hideMark/>
          </w:tcPr>
          <w:p w14:paraId="76BC2FA9" w14:textId="77777777" w:rsidR="00130DC4" w:rsidRPr="00595884" w:rsidRDefault="00274BC6" w:rsidP="003C0A46">
            <w:pPr>
              <w:spacing w:before="40" w:after="40" w:line="240" w:lineRule="auto"/>
              <w:rPr>
                <w:rFonts w:ascii="Calibri" w:hAnsi="Calibri" w:cs="Calibri"/>
                <w:sz w:val="16"/>
                <w:szCs w:val="16"/>
              </w:rPr>
            </w:pPr>
            <w:r w:rsidRPr="00595884">
              <w:rPr>
                <w:rFonts w:ascii="Calibri" w:hAnsi="Calibri" w:cs="Calibri"/>
                <w:sz w:val="16"/>
                <w:szCs w:val="16"/>
              </w:rPr>
              <w:t>Effect estimate</w:t>
            </w:r>
          </w:p>
        </w:tc>
        <w:tc>
          <w:tcPr>
            <w:tcW w:w="5529" w:type="dxa"/>
            <w:tcBorders>
              <w:top w:val="nil"/>
              <w:left w:val="nil"/>
              <w:bottom w:val="single" w:sz="4" w:space="0" w:color="B5DDDC"/>
              <w:right w:val="single" w:sz="4" w:space="0" w:color="B5DDDC"/>
            </w:tcBorders>
            <w:hideMark/>
          </w:tcPr>
          <w:p w14:paraId="2C7D4F39" w14:textId="77777777" w:rsidR="00130DC4" w:rsidRPr="00595884" w:rsidRDefault="00274BC6" w:rsidP="003C0A46">
            <w:pPr>
              <w:spacing w:before="40" w:after="40" w:line="240" w:lineRule="auto"/>
              <w:rPr>
                <w:rFonts w:ascii="Calibri" w:hAnsi="Calibri" w:cs="Calibri"/>
                <w:sz w:val="16"/>
                <w:szCs w:val="16"/>
              </w:rPr>
            </w:pPr>
            <w:r w:rsidRPr="00595884">
              <w:rPr>
                <w:rFonts w:ascii="Calibri" w:hAnsi="Calibri" w:cs="Calibri"/>
                <w:sz w:val="16"/>
                <w:szCs w:val="16"/>
              </w:rPr>
              <w:t>The magnitude of the measured values or metrics</w:t>
            </w:r>
          </w:p>
        </w:tc>
      </w:tr>
      <w:tr w:rsidR="004254E5" w14:paraId="4DE275C2" w14:textId="77777777" w:rsidTr="003C0A46">
        <w:tc>
          <w:tcPr>
            <w:tcW w:w="1696" w:type="dxa"/>
            <w:tcBorders>
              <w:top w:val="nil"/>
              <w:left w:val="single" w:sz="4" w:space="0" w:color="B5DDDC"/>
              <w:bottom w:val="single" w:sz="4" w:space="0" w:color="B5DDDC"/>
              <w:right w:val="single" w:sz="4" w:space="0" w:color="B5DDDC"/>
            </w:tcBorders>
            <w:shd w:val="clear" w:color="000000" w:fill="D6EAEB"/>
            <w:hideMark/>
          </w:tcPr>
          <w:p w14:paraId="7C61E1FC" w14:textId="77777777" w:rsidR="00130DC4" w:rsidRPr="00595884" w:rsidRDefault="00274BC6" w:rsidP="003C0A46">
            <w:pPr>
              <w:spacing w:before="40" w:after="40" w:line="240" w:lineRule="auto"/>
              <w:rPr>
                <w:rFonts w:ascii="Calibri" w:hAnsi="Calibri" w:cs="Calibri"/>
                <w:sz w:val="16"/>
                <w:szCs w:val="16"/>
              </w:rPr>
            </w:pPr>
            <w:r w:rsidRPr="00595884">
              <w:rPr>
                <w:rFonts w:ascii="Calibri" w:hAnsi="Calibri" w:cs="Calibri"/>
                <w:sz w:val="16"/>
                <w:szCs w:val="16"/>
              </w:rPr>
              <w:t>Significance</w:t>
            </w:r>
          </w:p>
        </w:tc>
        <w:tc>
          <w:tcPr>
            <w:tcW w:w="5529" w:type="dxa"/>
            <w:tcBorders>
              <w:top w:val="nil"/>
              <w:left w:val="nil"/>
              <w:bottom w:val="single" w:sz="4" w:space="0" w:color="B5DDDC"/>
              <w:right w:val="single" w:sz="4" w:space="0" w:color="B5DDDC"/>
            </w:tcBorders>
            <w:hideMark/>
          </w:tcPr>
          <w:p w14:paraId="52276F37" w14:textId="77777777" w:rsidR="00130DC4" w:rsidRPr="00595884" w:rsidRDefault="00274BC6" w:rsidP="003C0A46">
            <w:pPr>
              <w:spacing w:before="40" w:after="40" w:line="240" w:lineRule="auto"/>
              <w:rPr>
                <w:rFonts w:ascii="Calibri" w:hAnsi="Calibri" w:cs="Calibri"/>
                <w:sz w:val="16"/>
                <w:szCs w:val="16"/>
              </w:rPr>
            </w:pPr>
            <w:r w:rsidRPr="00595884">
              <w:rPr>
                <w:rFonts w:ascii="Calibri" w:hAnsi="Calibri" w:cs="Calibri"/>
                <w:sz w:val="16"/>
                <w:szCs w:val="16"/>
              </w:rPr>
              <w:t>The level of significance of any test of a statistical hypothesis (i.e. p-value)</w:t>
            </w:r>
          </w:p>
        </w:tc>
      </w:tr>
    </w:tbl>
    <w:p w14:paraId="64C0386F" w14:textId="77777777" w:rsidR="00130DC4" w:rsidRPr="00595884" w:rsidRDefault="00130DC4" w:rsidP="00130DC4"/>
    <w:p w14:paraId="43596D74" w14:textId="77777777" w:rsidR="00232391" w:rsidRPr="00595884" w:rsidRDefault="00274BC6" w:rsidP="00232391">
      <w:pPr>
        <w:pStyle w:val="Heading4"/>
      </w:pPr>
      <w:bookmarkStart w:id="73" w:name="_Toc71638750"/>
      <w:bookmarkStart w:id="74" w:name="_Toc106811127"/>
      <w:r w:rsidRPr="00595884">
        <w:t>Upgrading or downgrading certainty of evidence</w:t>
      </w:r>
      <w:bookmarkEnd w:id="73"/>
      <w:bookmarkEnd w:id="74"/>
    </w:p>
    <w:p w14:paraId="58C8C192" w14:textId="04263140" w:rsidR="00232391" w:rsidRPr="00595884" w:rsidRDefault="00274BC6" w:rsidP="00232391">
      <w:r w:rsidRPr="00595884">
        <w:t xml:space="preserve">The certainty of the evidence was downgraded or upgraded from the initial rating if any of the conditions in </w:t>
      </w:r>
      <w:r w:rsidRPr="00595884">
        <w:fldChar w:fldCharType="begin"/>
      </w:r>
      <w:r w:rsidRPr="00595884">
        <w:instrText xml:space="preserve"> REF _Ref48215533 \h  \* MERGEFORMAT </w:instrText>
      </w:r>
      <w:r w:rsidRPr="00595884">
        <w:fldChar w:fldCharType="separate"/>
      </w:r>
      <w:r w:rsidR="003132AF" w:rsidRPr="00595884">
        <w:t xml:space="preserve">Figure </w:t>
      </w:r>
      <w:r w:rsidR="003132AF">
        <w:rPr>
          <w:noProof/>
        </w:rPr>
        <w:t>2</w:t>
      </w:r>
      <w:r w:rsidR="003132AF" w:rsidRPr="00595884">
        <w:rPr>
          <w:noProof/>
        </w:rPr>
        <w:noBreakHyphen/>
      </w:r>
      <w:r w:rsidR="003132AF">
        <w:rPr>
          <w:noProof/>
        </w:rPr>
        <w:t>1</w:t>
      </w:r>
      <w:r w:rsidRPr="00595884">
        <w:fldChar w:fldCharType="end"/>
      </w:r>
      <w:r w:rsidRPr="00595884">
        <w:t xml:space="preserve"> (elaborated in </w:t>
      </w:r>
      <w:r w:rsidRPr="00595884">
        <w:fldChar w:fldCharType="begin"/>
      </w:r>
      <w:r w:rsidRPr="00595884">
        <w:instrText xml:space="preserve"> REF _Ref48213891 \h  \* MERGEFORMAT </w:instrText>
      </w:r>
      <w:r w:rsidRPr="00595884">
        <w:fldChar w:fldCharType="separate"/>
      </w:r>
      <w:r w:rsidR="003132AF" w:rsidRPr="00595884">
        <w:t xml:space="preserve">Table </w:t>
      </w:r>
      <w:r w:rsidR="003132AF">
        <w:rPr>
          <w:noProof/>
        </w:rPr>
        <w:t>2</w:t>
      </w:r>
      <w:r w:rsidR="003132AF">
        <w:rPr>
          <w:noProof/>
        </w:rPr>
        <w:noBreakHyphen/>
        <w:t>7</w:t>
      </w:r>
      <w:r w:rsidRPr="00595884">
        <w:fldChar w:fldCharType="end"/>
      </w:r>
      <w:r w:rsidRPr="00595884">
        <w:t xml:space="preserve">) were met. If none were met, the initial certainty rating was kept. These domains are explained in more detail in the OHAT Handbook </w:t>
      </w:r>
      <w:r w:rsidRPr="00595884">
        <w:fldChar w:fldCharType="begin"/>
      </w:r>
      <w:r w:rsidRPr="00595884">
        <w:instrText xml:space="preserve"> ADDIN ZOTERO_ITEM CSL_CITATION {"citationID":"uJJs828U","properties":{"formattedCitation":"(OHAT, 2019)","plainCitation":"(OHAT, 2019)","noteIndex":0},"citationItems":[{"id":11791,"uris":["http://zotero.org/users/148142/items/QNVMZ3M2"],"uri":["http://zotero.org/users/148142/items/QNVMZ3M2"],"itemData":{"id":11791,"type":"report","page":"101","publisher":"Office of Health Assessment and Translation (OHAT), US Department of Health and Human Services","title":"Handbook for Conducting a Literature-Based Health Assessment Using OHAT Approach for Systematic Review and Evidence Integration","URL":"https://ntp.niehs.nih.gov/go/ohathandbook","author":[{"literal":"OHAT"}],"issued":{"date-parts":[["2019",3,4]]}}}],"schema":"https://github.com/citation-style-language/schema/raw/master/csl-citation.json"} </w:instrText>
      </w:r>
      <w:r w:rsidRPr="00595884">
        <w:fldChar w:fldCharType="separate"/>
      </w:r>
      <w:r w:rsidRPr="00595884">
        <w:rPr>
          <w:rFonts w:cs="Arial"/>
        </w:rPr>
        <w:t>(OHAT, 2019)</w:t>
      </w:r>
      <w:r w:rsidRPr="00595884">
        <w:fldChar w:fldCharType="end"/>
      </w:r>
      <w:r w:rsidRPr="00595884">
        <w:t>. Conflicts of interest and funding sources were also considered as a reason to downgrade if there were serious concerns that these had influenced the findings from the body of evidence.</w:t>
      </w:r>
    </w:p>
    <w:p w14:paraId="28B6F45A" w14:textId="77777777" w:rsidR="00232391" w:rsidRPr="00595884" w:rsidRDefault="00274BC6" w:rsidP="00232391">
      <w:pPr>
        <w:keepNext/>
      </w:pPr>
      <w:r w:rsidRPr="00595884">
        <w:rPr>
          <w:noProof/>
        </w:rPr>
        <w:drawing>
          <wp:inline distT="0" distB="0" distL="0" distR="0" wp14:anchorId="0BD70ED0" wp14:editId="545FE5D4">
            <wp:extent cx="4725466" cy="2438372"/>
            <wp:effectExtent l="0" t="0" r="0" b="63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
                    <pic:cNvPicPr/>
                  </pic:nvPicPr>
                  <pic:blipFill>
                    <a:blip r:embed="rId18"/>
                    <a:stretch>
                      <a:fillRect/>
                    </a:stretch>
                  </pic:blipFill>
                  <pic:spPr>
                    <a:xfrm>
                      <a:off x="0" y="0"/>
                      <a:ext cx="4742553" cy="2447189"/>
                    </a:xfrm>
                    <a:prstGeom prst="rect">
                      <a:avLst/>
                    </a:prstGeom>
                  </pic:spPr>
                </pic:pic>
              </a:graphicData>
            </a:graphic>
          </wp:inline>
        </w:drawing>
      </w:r>
    </w:p>
    <w:p w14:paraId="0DC8F345" w14:textId="181A95A8" w:rsidR="00232391" w:rsidRPr="00595884" w:rsidRDefault="00274BC6" w:rsidP="00232391">
      <w:pPr>
        <w:pStyle w:val="Caption"/>
      </w:pPr>
      <w:bookmarkStart w:id="75" w:name="_Ref48215533"/>
      <w:bookmarkStart w:id="76" w:name="_Toc48299197"/>
      <w:bookmarkStart w:id="77" w:name="_Toc71638855"/>
      <w:bookmarkStart w:id="78" w:name="_Toc106811184"/>
      <w:r w:rsidRPr="00595884">
        <w:t xml:space="preserve">Figure </w:t>
      </w:r>
      <w:r w:rsidR="002457D1">
        <w:fldChar w:fldCharType="begin"/>
      </w:r>
      <w:r>
        <w:instrText xml:space="preserve"> STYLEREF 1 \s </w:instrText>
      </w:r>
      <w:r w:rsidR="002457D1">
        <w:fldChar w:fldCharType="separate"/>
      </w:r>
      <w:r w:rsidR="003132AF">
        <w:rPr>
          <w:noProof/>
        </w:rPr>
        <w:t>2</w:t>
      </w:r>
      <w:r w:rsidR="002457D1">
        <w:rPr>
          <w:noProof/>
        </w:rPr>
        <w:fldChar w:fldCharType="end"/>
      </w:r>
      <w:r w:rsidRPr="00595884">
        <w:noBreakHyphen/>
      </w:r>
      <w:r w:rsidR="002457D1">
        <w:fldChar w:fldCharType="begin"/>
      </w:r>
      <w:r>
        <w:instrText xml:space="preserve"> SEQ Figure \* ARABIC \s 1 </w:instrText>
      </w:r>
      <w:r w:rsidR="002457D1">
        <w:fldChar w:fldCharType="separate"/>
      </w:r>
      <w:r w:rsidR="003132AF">
        <w:rPr>
          <w:noProof/>
        </w:rPr>
        <w:t>1</w:t>
      </w:r>
      <w:r w:rsidR="002457D1">
        <w:rPr>
          <w:noProof/>
        </w:rPr>
        <w:fldChar w:fldCharType="end"/>
      </w:r>
      <w:bookmarkEnd w:id="75"/>
      <w:r w:rsidRPr="00595884">
        <w:t xml:space="preserve">. OHAT method for assessing confidence in the </w:t>
      </w:r>
      <w:r w:rsidR="00F76269">
        <w:t>b</w:t>
      </w:r>
      <w:r w:rsidRPr="00595884">
        <w:t xml:space="preserve">ody of </w:t>
      </w:r>
      <w:r w:rsidR="00F76269">
        <w:t>e</w:t>
      </w:r>
      <w:r w:rsidRPr="00595884">
        <w:t xml:space="preserve">vidence </w:t>
      </w:r>
      <w:r w:rsidRPr="00595884">
        <w:fldChar w:fldCharType="begin"/>
      </w:r>
      <w:r w:rsidRPr="00595884">
        <w:instrText xml:space="preserve"> ADDIN ZOTERO_ITEM CSL_CITATION {"citationID":"K2eu4ZPl","properties":{"formattedCitation":"(OHAT, 2019)","plainCitation":"(OHAT, 2019)","noteIndex":0},"citationItems":[{"id":11791,"uris":["http://zotero.org/users/148142/items/QNVMZ3M2"],"uri":["http://zotero.org/users/148142/items/QNVMZ3M2"],"itemData":{"id":11791,"type":"report","page":"101","publisher":"Office of Health Assessment and Translation (OHAT), US Department of Health and Human Services","title":"Handbook for Conducting a Literature-Based Health Assessment Using OHAT Approach for Systematic Review and Evidence Integration","URL":"https://ntp.niehs.nih.gov/go/ohathandbook","author":[{"literal":"OHAT"}],"issued":{"date-parts":[["2019",3,4]]}}}],"schema":"https://github.com/citation-style-language/schema/raw/master/csl-citation.json"} </w:instrText>
      </w:r>
      <w:r w:rsidRPr="00595884">
        <w:fldChar w:fldCharType="separate"/>
      </w:r>
      <w:r w:rsidRPr="00595884">
        <w:rPr>
          <w:rFonts w:cs="Arial"/>
        </w:rPr>
        <w:t>(OHAT, 2019)</w:t>
      </w:r>
      <w:bookmarkEnd w:id="76"/>
      <w:bookmarkEnd w:id="77"/>
      <w:bookmarkEnd w:id="78"/>
      <w:r w:rsidRPr="00595884">
        <w:fldChar w:fldCharType="end"/>
      </w:r>
    </w:p>
    <w:p w14:paraId="37D56E4D" w14:textId="77777777" w:rsidR="00BA6F16" w:rsidRPr="00595884" w:rsidRDefault="00BA6F16" w:rsidP="00BA6F16"/>
    <w:p w14:paraId="712957FC" w14:textId="12B5BAD1" w:rsidR="00232391" w:rsidRPr="00595884" w:rsidRDefault="00274BC6" w:rsidP="00BA6F16">
      <w:pPr>
        <w:pStyle w:val="Caption"/>
        <w:rPr>
          <w:color w:val="365F91" w:themeColor="accent1" w:themeShade="BF"/>
        </w:rPr>
      </w:pPr>
      <w:bookmarkStart w:id="79" w:name="_Ref48213891"/>
      <w:bookmarkStart w:id="80" w:name="_Toc48299195"/>
      <w:bookmarkStart w:id="81" w:name="_Toc71638846"/>
      <w:bookmarkStart w:id="82" w:name="_Toc106811169"/>
      <w:r w:rsidRPr="00595884">
        <w:t xml:space="preserve">Table </w:t>
      </w:r>
      <w:r w:rsidR="003132AF">
        <w:fldChar w:fldCharType="begin"/>
      </w:r>
      <w:r w:rsidR="003132AF">
        <w:instrText xml:space="preserve"> STYLEREF 1 \s </w:instrText>
      </w:r>
      <w:r w:rsidR="003132AF">
        <w:fldChar w:fldCharType="separate"/>
      </w:r>
      <w:r w:rsidR="003132AF">
        <w:rPr>
          <w:noProof/>
        </w:rPr>
        <w:t>2</w:t>
      </w:r>
      <w:r w:rsidR="003132AF">
        <w:rPr>
          <w:noProof/>
        </w:rPr>
        <w:fldChar w:fldCharType="end"/>
      </w:r>
      <w:r w:rsidR="00CE064A">
        <w:noBreakHyphen/>
      </w:r>
      <w:r w:rsidR="003132AF">
        <w:fldChar w:fldCharType="begin"/>
      </w:r>
      <w:r w:rsidR="003132AF">
        <w:instrText xml:space="preserve"> SEQ Table \* ARABIC \s 1 </w:instrText>
      </w:r>
      <w:r w:rsidR="003132AF">
        <w:fldChar w:fldCharType="separate"/>
      </w:r>
      <w:r w:rsidR="003132AF">
        <w:rPr>
          <w:noProof/>
        </w:rPr>
        <w:t>7</w:t>
      </w:r>
      <w:r w:rsidR="003132AF">
        <w:rPr>
          <w:noProof/>
        </w:rPr>
        <w:fldChar w:fldCharType="end"/>
      </w:r>
      <w:bookmarkEnd w:id="79"/>
      <w:r w:rsidRPr="00595884">
        <w:t>. OHAT reasons for down grading or upgrading certainty of evidence</w:t>
      </w:r>
      <w:bookmarkEnd w:id="80"/>
      <w:bookmarkEnd w:id="81"/>
      <w:r w:rsidR="00305708">
        <w:t xml:space="preserve"> (OHAT, 2019)</w:t>
      </w:r>
      <w:bookmarkEnd w:id="82"/>
    </w:p>
    <w:tbl>
      <w:tblPr>
        <w:tblStyle w:val="EcosleftTableStyle"/>
        <w:tblW w:w="0" w:type="auto"/>
        <w:tblLook w:val="04A0" w:firstRow="1" w:lastRow="0" w:firstColumn="1" w:lastColumn="0" w:noHBand="0" w:noVBand="1"/>
      </w:tblPr>
      <w:tblGrid>
        <w:gridCol w:w="3834"/>
        <w:gridCol w:w="3809"/>
      </w:tblGrid>
      <w:tr w:rsidR="004254E5" w14:paraId="28E45CC1" w14:textId="77777777" w:rsidTr="004254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34" w:type="dxa"/>
          </w:tcPr>
          <w:p w14:paraId="5A21480B" w14:textId="77777777" w:rsidR="00232391" w:rsidRPr="00595884" w:rsidRDefault="00274BC6" w:rsidP="003C0A46">
            <w:r w:rsidRPr="00595884">
              <w:t>Reasons to Downgrade</w:t>
            </w:r>
          </w:p>
        </w:tc>
        <w:tc>
          <w:tcPr>
            <w:tcW w:w="3809" w:type="dxa"/>
          </w:tcPr>
          <w:p w14:paraId="49D5C49B" w14:textId="77777777" w:rsidR="00232391" w:rsidRPr="00595884" w:rsidRDefault="00274BC6" w:rsidP="003C0A46">
            <w:pPr>
              <w:cnfStyle w:val="100000000000" w:firstRow="1" w:lastRow="0" w:firstColumn="0" w:lastColumn="0" w:oddVBand="0" w:evenVBand="0" w:oddHBand="0" w:evenHBand="0" w:firstRowFirstColumn="0" w:firstRowLastColumn="0" w:lastRowFirstColumn="0" w:lastRowLastColumn="0"/>
            </w:pPr>
            <w:r w:rsidRPr="00595884">
              <w:t>Reasons to Upgrade</w:t>
            </w:r>
          </w:p>
        </w:tc>
      </w:tr>
      <w:tr w:rsidR="004254E5" w14:paraId="3FA33C83" w14:textId="77777777" w:rsidTr="004254E5">
        <w:trPr>
          <w:trHeight w:val="2843"/>
        </w:trPr>
        <w:tc>
          <w:tcPr>
            <w:cnfStyle w:val="001000000000" w:firstRow="0" w:lastRow="0" w:firstColumn="1" w:lastColumn="0" w:oddVBand="0" w:evenVBand="0" w:oddHBand="0" w:evenHBand="0" w:firstRowFirstColumn="0" w:firstRowLastColumn="0" w:lastRowFirstColumn="0" w:lastRowLastColumn="0"/>
            <w:tcW w:w="3834" w:type="dxa"/>
            <w:shd w:val="clear" w:color="auto" w:fill="auto"/>
          </w:tcPr>
          <w:p w14:paraId="5BC727E9" w14:textId="1B28564A" w:rsidR="00232391" w:rsidRPr="00595884" w:rsidRDefault="00274BC6" w:rsidP="00700FDF">
            <w:pPr>
              <w:numPr>
                <w:ilvl w:val="0"/>
                <w:numId w:val="10"/>
              </w:numPr>
              <w:spacing w:before="0" w:after="0" w:line="240" w:lineRule="auto"/>
              <w:rPr>
                <w:rFonts w:asciiTheme="minorHAnsi" w:hAnsiTheme="minorHAnsi" w:cstheme="minorHAnsi"/>
              </w:rPr>
            </w:pPr>
            <w:r w:rsidRPr="00595884">
              <w:rPr>
                <w:rFonts w:asciiTheme="minorHAnsi" w:hAnsiTheme="minorHAnsi" w:cstheme="minorHAnsi"/>
                <w:b/>
              </w:rPr>
              <w:t>Risk of bias</w:t>
            </w:r>
            <w:r w:rsidRPr="00595884">
              <w:rPr>
                <w:rFonts w:asciiTheme="minorHAnsi" w:hAnsiTheme="minorHAnsi" w:cstheme="minorHAnsi"/>
              </w:rPr>
              <w:t xml:space="preserve"> - Serious or very serious concerns about study quality across the body of evidence (reliability) (see</w:t>
            </w:r>
            <w:r w:rsidRPr="004E154E">
              <w:rPr>
                <w:rFonts w:asciiTheme="minorHAnsi" w:hAnsiTheme="minorHAnsi" w:cstheme="minorHAnsi"/>
                <w:bCs/>
              </w:rPr>
              <w:t xml:space="preserve"> Appendix 9</w:t>
            </w:r>
            <w:r w:rsidR="004E154E" w:rsidRPr="004E154E">
              <w:rPr>
                <w:rFonts w:asciiTheme="minorHAnsi" w:hAnsiTheme="minorHAnsi" w:cstheme="minorHAnsi"/>
                <w:bCs/>
              </w:rPr>
              <w:t xml:space="preserve"> of Technical Report</w:t>
            </w:r>
            <w:r w:rsidR="00305708">
              <w:rPr>
                <w:rFonts w:asciiTheme="minorHAnsi" w:hAnsiTheme="minorHAnsi" w:cstheme="minorHAnsi"/>
                <w:bCs/>
              </w:rPr>
              <w:t>, O’Connor 202</w:t>
            </w:r>
            <w:r w:rsidR="000E2305">
              <w:rPr>
                <w:rFonts w:asciiTheme="minorHAnsi" w:hAnsiTheme="minorHAnsi" w:cstheme="minorHAnsi"/>
                <w:bCs/>
              </w:rPr>
              <w:t>2</w:t>
            </w:r>
            <w:r w:rsidRPr="00595884">
              <w:rPr>
                <w:rFonts w:asciiTheme="minorHAnsi" w:hAnsiTheme="minorHAnsi" w:cstheme="minorHAnsi"/>
              </w:rPr>
              <w:t>)</w:t>
            </w:r>
          </w:p>
          <w:p w14:paraId="025300A5" w14:textId="77777777" w:rsidR="00232391" w:rsidRPr="00595884" w:rsidRDefault="00274BC6" w:rsidP="00700FDF">
            <w:pPr>
              <w:numPr>
                <w:ilvl w:val="0"/>
                <w:numId w:val="10"/>
              </w:numPr>
              <w:spacing w:before="0" w:after="0" w:line="240" w:lineRule="auto"/>
              <w:rPr>
                <w:rFonts w:asciiTheme="minorHAnsi" w:hAnsiTheme="minorHAnsi" w:cstheme="minorHAnsi"/>
              </w:rPr>
            </w:pPr>
            <w:r w:rsidRPr="00595884">
              <w:rPr>
                <w:rFonts w:asciiTheme="minorHAnsi" w:hAnsiTheme="minorHAnsi" w:cstheme="minorHAnsi"/>
                <w:b/>
              </w:rPr>
              <w:t>Unexplained inconsistency</w:t>
            </w:r>
            <w:r w:rsidRPr="00595884">
              <w:rPr>
                <w:rFonts w:asciiTheme="minorHAnsi" w:hAnsiTheme="minorHAnsi" w:cstheme="minorHAnsi"/>
              </w:rPr>
              <w:t xml:space="preserve"> - Important inconsistency of results across the included studies that can’t be explained by study design</w:t>
            </w:r>
          </w:p>
          <w:p w14:paraId="454C7C1A" w14:textId="77777777" w:rsidR="00232391" w:rsidRPr="00595884" w:rsidRDefault="00274BC6" w:rsidP="00700FDF">
            <w:pPr>
              <w:numPr>
                <w:ilvl w:val="0"/>
                <w:numId w:val="10"/>
              </w:numPr>
              <w:spacing w:before="0" w:after="0" w:line="240" w:lineRule="auto"/>
              <w:rPr>
                <w:rFonts w:asciiTheme="minorHAnsi" w:hAnsiTheme="minorHAnsi" w:cstheme="minorHAnsi"/>
              </w:rPr>
            </w:pPr>
            <w:r w:rsidRPr="00595884">
              <w:rPr>
                <w:rFonts w:asciiTheme="minorHAnsi" w:hAnsiTheme="minorHAnsi" w:cstheme="minorHAnsi"/>
                <w:b/>
              </w:rPr>
              <w:t>Indirectness</w:t>
            </w:r>
            <w:r w:rsidRPr="00595884">
              <w:rPr>
                <w:rFonts w:asciiTheme="minorHAnsi" w:hAnsiTheme="minorHAnsi" w:cstheme="minorHAnsi"/>
              </w:rPr>
              <w:t xml:space="preserve"> - Some or major uncertainty about directness (relevance to the research question that is being answered)</w:t>
            </w:r>
          </w:p>
          <w:p w14:paraId="2241DA33" w14:textId="77777777" w:rsidR="00232391" w:rsidRPr="00595884" w:rsidRDefault="00274BC6" w:rsidP="00700FDF">
            <w:pPr>
              <w:numPr>
                <w:ilvl w:val="0"/>
                <w:numId w:val="10"/>
              </w:numPr>
              <w:spacing w:before="0" w:after="0" w:line="240" w:lineRule="auto"/>
              <w:rPr>
                <w:rFonts w:asciiTheme="minorHAnsi" w:hAnsiTheme="minorHAnsi" w:cstheme="minorHAnsi"/>
              </w:rPr>
            </w:pPr>
            <w:r w:rsidRPr="00595884">
              <w:rPr>
                <w:rFonts w:asciiTheme="minorHAnsi" w:hAnsiTheme="minorHAnsi" w:cstheme="minorHAnsi"/>
                <w:b/>
              </w:rPr>
              <w:t>Imprecision</w:t>
            </w:r>
            <w:r w:rsidRPr="00595884">
              <w:rPr>
                <w:rFonts w:asciiTheme="minorHAnsi" w:hAnsiTheme="minorHAnsi" w:cstheme="minorHAnsi"/>
              </w:rPr>
              <w:t xml:space="preserve"> - Imprecise or sparse data</w:t>
            </w:r>
          </w:p>
          <w:p w14:paraId="535C9E75" w14:textId="77777777" w:rsidR="00232391" w:rsidRPr="00595884" w:rsidRDefault="00274BC6" w:rsidP="00700FDF">
            <w:pPr>
              <w:numPr>
                <w:ilvl w:val="0"/>
                <w:numId w:val="10"/>
              </w:numPr>
              <w:spacing w:before="0" w:after="0" w:line="240" w:lineRule="auto"/>
              <w:rPr>
                <w:rFonts w:asciiTheme="minorHAnsi" w:hAnsiTheme="minorHAnsi" w:cstheme="minorHAnsi"/>
              </w:rPr>
            </w:pPr>
            <w:r w:rsidRPr="00595884">
              <w:rPr>
                <w:rFonts w:asciiTheme="minorHAnsi" w:hAnsiTheme="minorHAnsi" w:cstheme="minorHAnsi"/>
                <w:b/>
              </w:rPr>
              <w:t>Publication bias</w:t>
            </w:r>
            <w:r w:rsidRPr="00595884">
              <w:rPr>
                <w:rFonts w:asciiTheme="minorHAnsi" w:hAnsiTheme="minorHAnsi" w:cstheme="minorHAnsi"/>
              </w:rPr>
              <w:t xml:space="preserve"> - High probability of reporting bias (selective reporting of results across the body of evidence that might skew results)</w:t>
            </w:r>
          </w:p>
        </w:tc>
        <w:tc>
          <w:tcPr>
            <w:tcW w:w="3809" w:type="dxa"/>
          </w:tcPr>
          <w:p w14:paraId="2337D6BB" w14:textId="77777777" w:rsidR="00232391" w:rsidRPr="00595884" w:rsidRDefault="00274BC6" w:rsidP="00700FDF">
            <w:pPr>
              <w:numPr>
                <w:ilvl w:val="0"/>
                <w:numId w:val="10"/>
              </w:num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95884">
              <w:rPr>
                <w:rFonts w:asciiTheme="minorHAnsi" w:hAnsiTheme="minorHAnsi" w:cstheme="minorHAnsi"/>
                <w:b/>
              </w:rPr>
              <w:t>Consistency</w:t>
            </w:r>
            <w:r w:rsidRPr="00595884">
              <w:rPr>
                <w:rFonts w:asciiTheme="minorHAnsi" w:hAnsiTheme="minorHAnsi" w:cstheme="minorHAnsi"/>
              </w:rPr>
              <w:t xml:space="preserve"> - Strong or very strong evidence of association based on consistent evidence from two or more observational studies, with no plausible confounders </w:t>
            </w:r>
          </w:p>
          <w:p w14:paraId="303590D0" w14:textId="77777777" w:rsidR="00232391" w:rsidRPr="00595884" w:rsidRDefault="00274BC6" w:rsidP="00700FDF">
            <w:pPr>
              <w:numPr>
                <w:ilvl w:val="0"/>
                <w:numId w:val="10"/>
              </w:num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95884">
              <w:rPr>
                <w:rFonts w:asciiTheme="minorHAnsi" w:hAnsiTheme="minorHAnsi" w:cstheme="minorHAnsi"/>
                <w:b/>
              </w:rPr>
              <w:t>Magnitude of effect</w:t>
            </w:r>
            <w:r w:rsidRPr="00595884">
              <w:rPr>
                <w:rFonts w:asciiTheme="minorHAnsi" w:hAnsiTheme="minorHAnsi" w:cstheme="minorHAnsi"/>
              </w:rPr>
              <w:t xml:space="preserve"> - Very strong evidence of association based on direct evidence with no major threats to validity</w:t>
            </w:r>
          </w:p>
          <w:p w14:paraId="12013CFA" w14:textId="77777777" w:rsidR="00232391" w:rsidRPr="00595884" w:rsidRDefault="00274BC6" w:rsidP="00700FDF">
            <w:pPr>
              <w:numPr>
                <w:ilvl w:val="0"/>
                <w:numId w:val="10"/>
              </w:num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95884">
              <w:rPr>
                <w:rFonts w:asciiTheme="minorHAnsi" w:hAnsiTheme="minorHAnsi" w:cstheme="minorHAnsi"/>
                <w:b/>
              </w:rPr>
              <w:t>Dose-response</w:t>
            </w:r>
            <w:r w:rsidRPr="00595884">
              <w:rPr>
                <w:rFonts w:asciiTheme="minorHAnsi" w:hAnsiTheme="minorHAnsi" w:cstheme="minorHAnsi"/>
              </w:rPr>
              <w:t xml:space="preserve"> - Evidence of a dose-response gradient</w:t>
            </w:r>
          </w:p>
          <w:p w14:paraId="548D0C40" w14:textId="77777777" w:rsidR="00232391" w:rsidRPr="00595884" w:rsidRDefault="00274BC6" w:rsidP="00700FDF">
            <w:pPr>
              <w:numPr>
                <w:ilvl w:val="0"/>
                <w:numId w:val="10"/>
              </w:num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95884">
              <w:rPr>
                <w:rFonts w:asciiTheme="minorHAnsi" w:hAnsiTheme="minorHAnsi" w:cstheme="minorHAnsi"/>
                <w:b/>
              </w:rPr>
              <w:t>Residual confounding</w:t>
            </w:r>
            <w:r w:rsidRPr="00595884">
              <w:rPr>
                <w:rFonts w:asciiTheme="minorHAnsi" w:hAnsiTheme="minorHAnsi" w:cstheme="minorHAnsi"/>
              </w:rPr>
              <w:t xml:space="preserve"> - All plausible confounders would have reduced the effect</w:t>
            </w:r>
          </w:p>
          <w:p w14:paraId="421BCD64" w14:textId="77777777" w:rsidR="00232391" w:rsidRPr="00595884" w:rsidRDefault="00274BC6" w:rsidP="00700FDF">
            <w:pPr>
              <w:numPr>
                <w:ilvl w:val="0"/>
                <w:numId w:val="10"/>
              </w:numPr>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95884">
              <w:rPr>
                <w:rFonts w:asciiTheme="minorHAnsi" w:hAnsiTheme="minorHAnsi" w:cstheme="minorHAnsi"/>
                <w:b/>
              </w:rPr>
              <w:t>Other reasons</w:t>
            </w:r>
            <w:r w:rsidRPr="00595884">
              <w:rPr>
                <w:rFonts w:asciiTheme="minorHAnsi" w:hAnsiTheme="minorHAnsi" w:cstheme="minorHAnsi"/>
              </w:rPr>
              <w:t xml:space="preserve"> – any topic-specific reasons as determined by experts in the field</w:t>
            </w:r>
          </w:p>
        </w:tc>
      </w:tr>
    </w:tbl>
    <w:p w14:paraId="7455367E" w14:textId="77777777" w:rsidR="00232391" w:rsidRPr="00595884" w:rsidRDefault="00232391" w:rsidP="00232391"/>
    <w:p w14:paraId="041875DD" w14:textId="62F74881" w:rsidR="00232391" w:rsidRPr="00595884" w:rsidRDefault="00274BC6" w:rsidP="00130DC4">
      <w:r w:rsidRPr="00595884">
        <w:t xml:space="preserve">The results of the certainty assessment process were tabulated in a similar manner to that described for the OHAT </w:t>
      </w:r>
      <w:r w:rsidR="0011078F">
        <w:t>r</w:t>
      </w:r>
      <w:r w:rsidRPr="00595884">
        <w:t>isk</w:t>
      </w:r>
      <w:r w:rsidR="0011078F">
        <w:t xml:space="preserve"> </w:t>
      </w:r>
      <w:r w:rsidRPr="00595884">
        <w:t>of</w:t>
      </w:r>
      <w:r w:rsidR="0011078F">
        <w:t xml:space="preserve"> b</w:t>
      </w:r>
      <w:r w:rsidRPr="00595884">
        <w:t>ias</w:t>
      </w:r>
      <w:r w:rsidR="0011078F">
        <w:t xml:space="preserve"> assessment tool </w:t>
      </w:r>
      <w:r w:rsidR="001A7900" w:rsidRPr="00595884">
        <w:fldChar w:fldCharType="begin"/>
      </w:r>
      <w:r w:rsidR="001A7900" w:rsidRPr="00595884">
        <w:instrText xml:space="preserve"> ADDIN ZOTERO_ITEM CSL_CITATION {"citationID":"uJJs828U","properties":{"formattedCitation":"(OHAT, 2019)","plainCitation":"(OHAT, 2019)","noteIndex":0},"citationItems":[{"id":11791,"uris":["http://zotero.org/users/148142/items/QNVMZ3M2"],"uri":["http://zotero.org/users/148142/items/QNVMZ3M2"],"itemData":{"id":11791,"type":"report","page":"101","publisher":"Office of Health Assessment and Translation (OHAT), US Department of Health and Human Services","title":"Handbook for Conducting a Literature-Based Health Assessment Using OHAT Approach for Systematic Review and Evidence Integration","URL":"https://ntp.niehs.nih.gov/go/ohathandbook","author":[{"literal":"OHAT"}],"issued":{"date-parts":[["2019",3,4]]}}}],"schema":"https://github.com/citation-style-language/schema/raw/master/csl-citation.json"} </w:instrText>
      </w:r>
      <w:r w:rsidR="001A7900" w:rsidRPr="00595884">
        <w:fldChar w:fldCharType="separate"/>
      </w:r>
      <w:r w:rsidR="001A7900" w:rsidRPr="00595884">
        <w:rPr>
          <w:rFonts w:cs="Arial"/>
        </w:rPr>
        <w:t>(OHAT, 2019)</w:t>
      </w:r>
      <w:r w:rsidR="001A7900" w:rsidRPr="00595884">
        <w:fldChar w:fldCharType="end"/>
      </w:r>
      <w:r w:rsidR="001A7900" w:rsidRPr="00595884">
        <w:t xml:space="preserve">. </w:t>
      </w:r>
      <w:r w:rsidRPr="00595884">
        <w:t>Where a conclusion was unable to be made by the reviewer around any of the domains this was recorded as ‘not applicable’ or ‘unknown’.</w:t>
      </w:r>
      <w:r w:rsidRPr="00595884">
        <w:rPr>
          <w:vertAlign w:val="superscript"/>
        </w:rPr>
        <w:t xml:space="preserve"> </w:t>
      </w:r>
    </w:p>
    <w:p w14:paraId="396E5CF4" w14:textId="00071211" w:rsidR="00232391" w:rsidRPr="00595884" w:rsidRDefault="00274BC6" w:rsidP="00232391">
      <w:pPr>
        <w:pStyle w:val="Heading3"/>
      </w:pPr>
      <w:bookmarkStart w:id="83" w:name="_Toc71638751"/>
      <w:bookmarkStart w:id="84" w:name="_Toc106811128"/>
      <w:r w:rsidRPr="00595884">
        <w:t xml:space="preserve">Assessment of the body of evidence – </w:t>
      </w:r>
      <w:r w:rsidR="00F97FB8">
        <w:t>Existing g</w:t>
      </w:r>
      <w:r w:rsidR="008A58F8" w:rsidRPr="00595884">
        <w:t>uidelines</w:t>
      </w:r>
      <w:bookmarkEnd w:id="83"/>
      <w:bookmarkEnd w:id="84"/>
    </w:p>
    <w:p w14:paraId="6BC76794" w14:textId="4C16A8BE" w:rsidR="00902878" w:rsidRPr="00595884" w:rsidRDefault="00274BC6" w:rsidP="00232391">
      <w:r>
        <w:t>Existing g</w:t>
      </w:r>
      <w:r w:rsidR="00B42048" w:rsidRPr="00595884">
        <w:t>uidelines</w:t>
      </w:r>
      <w:r>
        <w:t xml:space="preserve"> or guidance documents have been</w:t>
      </w:r>
      <w:r w:rsidR="00B42048" w:rsidRPr="00595884">
        <w:t xml:space="preserve"> largely developed with the goal of providing guidance for management of water quality for differing environmental requirements and contained no primary data</w:t>
      </w:r>
      <w:r>
        <w:t xml:space="preserve"> </w:t>
      </w:r>
      <w:r w:rsidRPr="00811F62">
        <w:t xml:space="preserve">but are usually informed by </w:t>
      </w:r>
      <w:r w:rsidR="00811F62" w:rsidRPr="00811F62">
        <w:t xml:space="preserve">an evidence </w:t>
      </w:r>
      <w:r w:rsidRPr="00811F62">
        <w:t>review.</w:t>
      </w:r>
      <w:r w:rsidR="00232391" w:rsidRPr="00595884">
        <w:t xml:space="preserve"> </w:t>
      </w:r>
      <w:r w:rsidRPr="00595884">
        <w:t xml:space="preserve">If the </w:t>
      </w:r>
      <w:r w:rsidR="006C252F" w:rsidRPr="00595884">
        <w:t xml:space="preserve">GRADE </w:t>
      </w:r>
      <w:r w:rsidRPr="00595884">
        <w:t>criteria</w:t>
      </w:r>
      <w:r w:rsidR="006C252F" w:rsidRPr="00595884">
        <w:t xml:space="preserve"> (summarised in </w:t>
      </w:r>
      <w:r w:rsidR="006C252F" w:rsidRPr="00595884">
        <w:fldChar w:fldCharType="begin"/>
      </w:r>
      <w:r w:rsidR="006C252F" w:rsidRPr="00595884">
        <w:instrText xml:space="preserve"> REF _Ref70435464 \h </w:instrText>
      </w:r>
      <w:r w:rsidR="006C252F" w:rsidRPr="00595884">
        <w:fldChar w:fldCharType="separate"/>
      </w:r>
      <w:r w:rsidR="003132AF" w:rsidRPr="00595884">
        <w:t xml:space="preserve">Table </w:t>
      </w:r>
      <w:r w:rsidR="003132AF">
        <w:rPr>
          <w:noProof/>
        </w:rPr>
        <w:t>2</w:t>
      </w:r>
      <w:r w:rsidR="003132AF">
        <w:noBreakHyphen/>
      </w:r>
      <w:r w:rsidR="003132AF">
        <w:rPr>
          <w:noProof/>
        </w:rPr>
        <w:t>3</w:t>
      </w:r>
      <w:r w:rsidR="006C252F" w:rsidRPr="00595884">
        <w:fldChar w:fldCharType="end"/>
      </w:r>
      <w:r w:rsidR="006C252F" w:rsidRPr="00595884">
        <w:t xml:space="preserve">) </w:t>
      </w:r>
      <w:r w:rsidRPr="00595884">
        <w:t>were to be applied t</w:t>
      </w:r>
      <w:r w:rsidR="006C252F" w:rsidRPr="00595884">
        <w:t>o the guideline literature</w:t>
      </w:r>
      <w:r w:rsidRPr="00595884">
        <w:t xml:space="preserve">, the results would be weak or null responses, </w:t>
      </w:r>
      <w:r w:rsidR="00AB75AC" w:rsidRPr="00595884">
        <w:t>and since no effect estimates are reported, no</w:t>
      </w:r>
      <w:r w:rsidRPr="00595884">
        <w:t xml:space="preserve"> determination of </w:t>
      </w:r>
      <w:r w:rsidR="00AB75AC" w:rsidRPr="00595884">
        <w:t xml:space="preserve">a </w:t>
      </w:r>
      <w:r w:rsidRPr="00595884">
        <w:t>final certainty rating</w:t>
      </w:r>
      <w:r w:rsidR="00AB75AC" w:rsidRPr="00595884">
        <w:t xml:space="preserve"> can be made</w:t>
      </w:r>
      <w:r w:rsidRPr="00595884">
        <w:t xml:space="preserve">.  </w:t>
      </w:r>
      <w:r w:rsidR="003E6104" w:rsidRPr="00595884">
        <w:t xml:space="preserve">Nevertheless, the guideline documents do contain authoritative information that </w:t>
      </w:r>
      <w:r w:rsidR="003E6104" w:rsidRPr="005B6ACD">
        <w:t xml:space="preserve">collectively represents the current state of knowledge </w:t>
      </w:r>
      <w:r w:rsidR="00305708">
        <w:t xml:space="preserve">and practice </w:t>
      </w:r>
      <w:r w:rsidR="003E6104" w:rsidRPr="005B6ACD">
        <w:t xml:space="preserve">on chemical hazards </w:t>
      </w:r>
      <w:r w:rsidR="00305708">
        <w:t>from</w:t>
      </w:r>
      <w:r w:rsidR="00305708" w:rsidRPr="005B6ACD">
        <w:t xml:space="preserve"> </w:t>
      </w:r>
      <w:r w:rsidR="003E6104" w:rsidRPr="005B6ACD">
        <w:t>recreational water quality</w:t>
      </w:r>
      <w:r w:rsidR="003E6104" w:rsidRPr="00595884">
        <w:t>, and therefore is worthy of inclusion in this Evidence Evaluation Report.</w:t>
      </w:r>
    </w:p>
    <w:p w14:paraId="32823F18" w14:textId="18F93352" w:rsidR="00902878" w:rsidRPr="00595884" w:rsidRDefault="00274BC6" w:rsidP="00232391">
      <w:r w:rsidRPr="00595884">
        <w:t xml:space="preserve">Consequently, the assessment </w:t>
      </w:r>
      <w:r w:rsidR="003E6104" w:rsidRPr="00595884">
        <w:t>methodology for</w:t>
      </w:r>
      <w:r w:rsidRPr="00595884">
        <w:t xml:space="preserve"> the body of evidence from </w:t>
      </w:r>
      <w:r w:rsidR="00A1756C">
        <w:t>existing g</w:t>
      </w:r>
      <w:r w:rsidR="008A58F8" w:rsidRPr="00595884">
        <w:t>uidelines</w:t>
      </w:r>
      <w:r w:rsidR="003E6104" w:rsidRPr="00595884">
        <w:t xml:space="preserve"> drew on the GRADE approach as well as the</w:t>
      </w:r>
      <w:r w:rsidR="008360CA" w:rsidRPr="00595884">
        <w:t xml:space="preserve"> outcomes of relevance to the primary and secondary research questions described in </w:t>
      </w:r>
      <w:r w:rsidR="008360CA" w:rsidRPr="00595884">
        <w:fldChar w:fldCharType="begin"/>
      </w:r>
      <w:r w:rsidR="008360CA" w:rsidRPr="00595884">
        <w:instrText xml:space="preserve"> REF _Ref70435464 \h </w:instrText>
      </w:r>
      <w:r w:rsidR="008360CA" w:rsidRPr="00595884">
        <w:fldChar w:fldCharType="separate"/>
      </w:r>
      <w:r w:rsidR="003132AF" w:rsidRPr="00595884">
        <w:t xml:space="preserve">Table </w:t>
      </w:r>
      <w:r w:rsidR="003132AF">
        <w:rPr>
          <w:noProof/>
        </w:rPr>
        <w:t>2</w:t>
      </w:r>
      <w:r w:rsidR="003132AF">
        <w:noBreakHyphen/>
      </w:r>
      <w:r w:rsidR="003132AF">
        <w:rPr>
          <w:noProof/>
        </w:rPr>
        <w:t>3</w:t>
      </w:r>
      <w:r w:rsidR="008360CA" w:rsidRPr="00595884">
        <w:fldChar w:fldCharType="end"/>
      </w:r>
      <w:r w:rsidR="00426A2D" w:rsidRPr="00595884">
        <w:t xml:space="preserve">.  </w:t>
      </w:r>
      <w:r w:rsidR="005733CB" w:rsidRPr="00595884">
        <w:t xml:space="preserve">The criteria for assessing the body of evidence for </w:t>
      </w:r>
      <w:r w:rsidR="00A1756C">
        <w:t>existing g</w:t>
      </w:r>
      <w:r w:rsidR="008A58F8" w:rsidRPr="00595884">
        <w:t>uidelines</w:t>
      </w:r>
      <w:r w:rsidR="005733CB" w:rsidRPr="00595884">
        <w:t xml:space="preserve"> in </w:t>
      </w:r>
      <w:r w:rsidR="005733CB" w:rsidRPr="00595884">
        <w:fldChar w:fldCharType="begin"/>
      </w:r>
      <w:r w:rsidR="005733CB" w:rsidRPr="00595884">
        <w:instrText xml:space="preserve"> REF _Ref71731922 \h </w:instrText>
      </w:r>
      <w:r w:rsidR="005733CB" w:rsidRPr="00595884">
        <w:fldChar w:fldCharType="separate"/>
      </w:r>
      <w:r w:rsidR="003132AF" w:rsidRPr="00595884">
        <w:t xml:space="preserve">Table </w:t>
      </w:r>
      <w:r w:rsidR="003132AF">
        <w:rPr>
          <w:noProof/>
        </w:rPr>
        <w:t>2</w:t>
      </w:r>
      <w:r w:rsidR="003132AF">
        <w:noBreakHyphen/>
      </w:r>
      <w:r w:rsidR="003132AF">
        <w:rPr>
          <w:noProof/>
        </w:rPr>
        <w:t>8</w:t>
      </w:r>
      <w:r w:rsidR="005733CB" w:rsidRPr="00595884">
        <w:fldChar w:fldCharType="end"/>
      </w:r>
      <w:r w:rsidR="005733CB" w:rsidRPr="00595884">
        <w:t xml:space="preserve"> were largely derived from the guidance and commentary supplied by </w:t>
      </w:r>
      <w:r w:rsidR="00AC10FC">
        <w:t>the Committee</w:t>
      </w:r>
      <w:r w:rsidR="005733CB" w:rsidRPr="00595884">
        <w:t xml:space="preserve"> (Section </w:t>
      </w:r>
      <w:r w:rsidR="005733CB" w:rsidRPr="00595884">
        <w:fldChar w:fldCharType="begin"/>
      </w:r>
      <w:r w:rsidR="005733CB" w:rsidRPr="00595884">
        <w:instrText xml:space="preserve"> REF _Hlk42771129 \r \h </w:instrText>
      </w:r>
      <w:r w:rsidR="005733CB" w:rsidRPr="00595884">
        <w:fldChar w:fldCharType="separate"/>
      </w:r>
      <w:r w:rsidR="003132AF">
        <w:t>2.3.3</w:t>
      </w:r>
      <w:r w:rsidR="005733CB" w:rsidRPr="00595884">
        <w:fldChar w:fldCharType="end"/>
      </w:r>
      <w:r w:rsidR="005733CB" w:rsidRPr="00595884">
        <w:t xml:space="preserve">) to assist in developing responses for the research questions. </w:t>
      </w:r>
    </w:p>
    <w:p w14:paraId="17907DD0" w14:textId="3EBC973C" w:rsidR="004851A5" w:rsidRPr="00595884" w:rsidRDefault="00274BC6" w:rsidP="004E395B">
      <w:pPr>
        <w:pStyle w:val="Caption"/>
        <w:rPr>
          <w:rFonts w:ascii="Calibri" w:hAnsi="Calibri" w:cs="Calibri"/>
          <w:color w:val="000000"/>
          <w:sz w:val="22"/>
          <w:szCs w:val="22"/>
        </w:rPr>
      </w:pPr>
      <w:bookmarkStart w:id="85" w:name="_Ref71731922"/>
      <w:bookmarkStart w:id="86" w:name="_Toc106811170"/>
      <w:r w:rsidRPr="00595884">
        <w:t xml:space="preserve">Table </w:t>
      </w:r>
      <w:r w:rsidR="003132AF">
        <w:fldChar w:fldCharType="begin"/>
      </w:r>
      <w:r w:rsidR="003132AF">
        <w:instrText xml:space="preserve"> STYLEREF 1 \s </w:instrText>
      </w:r>
      <w:r w:rsidR="003132AF">
        <w:fldChar w:fldCharType="separate"/>
      </w:r>
      <w:r w:rsidR="003132AF">
        <w:rPr>
          <w:noProof/>
        </w:rPr>
        <w:t>2</w:t>
      </w:r>
      <w:r w:rsidR="003132AF">
        <w:rPr>
          <w:noProof/>
        </w:rPr>
        <w:fldChar w:fldCharType="end"/>
      </w:r>
      <w:r w:rsidR="00CE064A">
        <w:noBreakHyphen/>
      </w:r>
      <w:r w:rsidR="003132AF">
        <w:fldChar w:fldCharType="begin"/>
      </w:r>
      <w:r w:rsidR="003132AF">
        <w:instrText xml:space="preserve"> SEQ Table \* ARABIC \s 1 </w:instrText>
      </w:r>
      <w:r w:rsidR="003132AF">
        <w:fldChar w:fldCharType="separate"/>
      </w:r>
      <w:r w:rsidR="003132AF">
        <w:rPr>
          <w:noProof/>
        </w:rPr>
        <w:t>8</w:t>
      </w:r>
      <w:r w:rsidR="003132AF">
        <w:rPr>
          <w:noProof/>
        </w:rPr>
        <w:fldChar w:fldCharType="end"/>
      </w:r>
      <w:bookmarkEnd w:id="85"/>
      <w:r w:rsidRPr="00595884">
        <w:t xml:space="preserve">. </w:t>
      </w:r>
      <w:r w:rsidR="005733CB" w:rsidRPr="00595884">
        <w:t xml:space="preserve">Criteria for assessing the body of evidence for </w:t>
      </w:r>
      <w:r w:rsidR="00F76269">
        <w:t>existing g</w:t>
      </w:r>
      <w:r w:rsidR="008A58F8" w:rsidRPr="00595884">
        <w:t>uidelines</w:t>
      </w:r>
      <w:bookmarkEnd w:id="86"/>
    </w:p>
    <w:tbl>
      <w:tblPr>
        <w:tblStyle w:val="EcosleftTableStyle"/>
        <w:tblW w:w="0" w:type="auto"/>
        <w:tblLook w:val="04A0" w:firstRow="1" w:lastRow="0" w:firstColumn="1" w:lastColumn="0" w:noHBand="0" w:noVBand="1"/>
      </w:tblPr>
      <w:tblGrid>
        <w:gridCol w:w="3539"/>
        <w:gridCol w:w="4104"/>
      </w:tblGrid>
      <w:tr w:rsidR="004254E5" w14:paraId="250F2B47" w14:textId="77777777" w:rsidTr="004254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3D15303E" w14:textId="6F2A2883" w:rsidR="00C74979" w:rsidRPr="00595884" w:rsidRDefault="00274BC6" w:rsidP="00C74979">
            <w:pPr>
              <w:spacing w:line="240" w:lineRule="auto"/>
              <w:rPr>
                <w:rFonts w:asciiTheme="minorHAnsi" w:hAnsiTheme="minorHAnsi" w:cstheme="minorHAnsi"/>
              </w:rPr>
            </w:pPr>
            <w:r w:rsidRPr="00595884">
              <w:rPr>
                <w:rFonts w:asciiTheme="minorHAnsi" w:hAnsiTheme="minorHAnsi" w:cstheme="minorHAnsi"/>
              </w:rPr>
              <w:t>Item</w:t>
            </w:r>
          </w:p>
        </w:tc>
        <w:tc>
          <w:tcPr>
            <w:tcW w:w="4104" w:type="dxa"/>
          </w:tcPr>
          <w:p w14:paraId="70E890FD" w14:textId="26BC9F58" w:rsidR="00C74979" w:rsidRPr="00595884" w:rsidRDefault="00274BC6" w:rsidP="00C74979">
            <w:pPr>
              <w:spacing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595884">
              <w:rPr>
                <w:rFonts w:asciiTheme="minorHAnsi" w:hAnsiTheme="minorHAnsi" w:cstheme="minorHAnsi"/>
              </w:rPr>
              <w:t>Description</w:t>
            </w:r>
            <w:r w:rsidR="00435BBE" w:rsidRPr="00595884">
              <w:rPr>
                <w:rFonts w:asciiTheme="minorHAnsi" w:hAnsiTheme="minorHAnsi" w:cstheme="minorHAnsi"/>
              </w:rPr>
              <w:t xml:space="preserve"> (responses)</w:t>
            </w:r>
          </w:p>
        </w:tc>
      </w:tr>
      <w:tr w:rsidR="004254E5" w14:paraId="0C205B9F" w14:textId="1009EACB" w:rsidTr="004254E5">
        <w:tc>
          <w:tcPr>
            <w:cnfStyle w:val="001000000000" w:firstRow="0" w:lastRow="0" w:firstColumn="1" w:lastColumn="0" w:oddVBand="0" w:evenVBand="0" w:oddHBand="0" w:evenHBand="0" w:firstRowFirstColumn="0" w:firstRowLastColumn="0" w:lastRowFirstColumn="0" w:lastRowLastColumn="0"/>
            <w:tcW w:w="3539" w:type="dxa"/>
          </w:tcPr>
          <w:p w14:paraId="0B8F1B8B" w14:textId="3F37F839" w:rsidR="00C74979" w:rsidRPr="00595884" w:rsidRDefault="00274BC6" w:rsidP="00C74979">
            <w:pPr>
              <w:spacing w:before="20" w:after="20" w:line="240" w:lineRule="auto"/>
              <w:rPr>
                <w:rFonts w:asciiTheme="minorHAnsi" w:hAnsiTheme="minorHAnsi" w:cstheme="minorHAnsi"/>
              </w:rPr>
            </w:pPr>
            <w:r>
              <w:rPr>
                <w:rFonts w:asciiTheme="minorHAnsi" w:hAnsiTheme="minorHAnsi" w:cstheme="minorHAnsi"/>
              </w:rPr>
              <w:t>Existing g</w:t>
            </w:r>
            <w:r w:rsidRPr="00595884">
              <w:rPr>
                <w:rFonts w:asciiTheme="minorHAnsi" w:hAnsiTheme="minorHAnsi" w:cstheme="minorHAnsi"/>
              </w:rPr>
              <w:t>uideline</w:t>
            </w:r>
          </w:p>
        </w:tc>
        <w:tc>
          <w:tcPr>
            <w:tcW w:w="4104" w:type="dxa"/>
          </w:tcPr>
          <w:p w14:paraId="67813586" w14:textId="57B2F562" w:rsidR="00C74979" w:rsidRPr="00595884" w:rsidRDefault="00274BC6" w:rsidP="00C74979">
            <w:pPr>
              <w:spacing w:before="20" w:after="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95884">
              <w:rPr>
                <w:rFonts w:asciiTheme="minorHAnsi" w:hAnsiTheme="minorHAnsi" w:cstheme="minorHAnsi"/>
              </w:rPr>
              <w:t>Document identity</w:t>
            </w:r>
          </w:p>
        </w:tc>
      </w:tr>
      <w:tr w:rsidR="004254E5" w14:paraId="3143509A" w14:textId="62EF5654" w:rsidTr="004254E5">
        <w:tc>
          <w:tcPr>
            <w:cnfStyle w:val="001000000000" w:firstRow="0" w:lastRow="0" w:firstColumn="1" w:lastColumn="0" w:oddVBand="0" w:evenVBand="0" w:oddHBand="0" w:evenHBand="0" w:firstRowFirstColumn="0" w:firstRowLastColumn="0" w:lastRowFirstColumn="0" w:lastRowLastColumn="0"/>
            <w:tcW w:w="3539" w:type="dxa"/>
          </w:tcPr>
          <w:p w14:paraId="5067981C" w14:textId="77777777" w:rsidR="00C74979" w:rsidRPr="00595884" w:rsidRDefault="00274BC6" w:rsidP="00C74979">
            <w:pPr>
              <w:spacing w:before="20" w:after="20" w:line="240" w:lineRule="auto"/>
              <w:rPr>
                <w:rFonts w:asciiTheme="minorHAnsi" w:hAnsiTheme="minorHAnsi" w:cstheme="minorHAnsi"/>
              </w:rPr>
            </w:pPr>
            <w:r w:rsidRPr="00595884">
              <w:rPr>
                <w:rFonts w:asciiTheme="minorHAnsi" w:hAnsiTheme="minorHAnsi" w:cstheme="minorHAnsi"/>
              </w:rPr>
              <w:t>Contribution to primary research question outcome?</w:t>
            </w:r>
          </w:p>
        </w:tc>
        <w:tc>
          <w:tcPr>
            <w:tcW w:w="4104" w:type="dxa"/>
          </w:tcPr>
          <w:p w14:paraId="12CFD000" w14:textId="3281F1B0" w:rsidR="00C74979" w:rsidRPr="00595884" w:rsidRDefault="00274BC6" w:rsidP="00C74979">
            <w:pPr>
              <w:spacing w:before="20" w:after="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95884">
              <w:rPr>
                <w:rFonts w:asciiTheme="minorHAnsi" w:hAnsiTheme="minorHAnsi" w:cstheme="minorHAnsi"/>
              </w:rPr>
              <w:t>Does the document contain any information useful for responding to the primary research question</w:t>
            </w:r>
            <w:r w:rsidR="00430867" w:rsidRPr="00595884">
              <w:rPr>
                <w:rFonts w:asciiTheme="minorHAnsi" w:hAnsiTheme="minorHAnsi" w:cstheme="minorHAnsi"/>
              </w:rPr>
              <w:t>?</w:t>
            </w:r>
            <w:r w:rsidRPr="00595884">
              <w:rPr>
                <w:rFonts w:asciiTheme="minorHAnsi" w:hAnsiTheme="minorHAnsi" w:cstheme="minorHAnsi"/>
              </w:rPr>
              <w:t xml:space="preserve"> (Yes or </w:t>
            </w:r>
            <w:proofErr w:type="gramStart"/>
            <w:r w:rsidRPr="00595884">
              <w:rPr>
                <w:rFonts w:asciiTheme="minorHAnsi" w:hAnsiTheme="minorHAnsi" w:cstheme="minorHAnsi"/>
              </w:rPr>
              <w:t>No</w:t>
            </w:r>
            <w:proofErr w:type="gramEnd"/>
            <w:r w:rsidRPr="00595884">
              <w:rPr>
                <w:rFonts w:asciiTheme="minorHAnsi" w:hAnsiTheme="minorHAnsi" w:cstheme="minorHAnsi"/>
              </w:rPr>
              <w:t>)</w:t>
            </w:r>
          </w:p>
        </w:tc>
      </w:tr>
      <w:tr w:rsidR="004254E5" w14:paraId="584DA7DC" w14:textId="496B50AA" w:rsidTr="004254E5">
        <w:tc>
          <w:tcPr>
            <w:cnfStyle w:val="001000000000" w:firstRow="0" w:lastRow="0" w:firstColumn="1" w:lastColumn="0" w:oddVBand="0" w:evenVBand="0" w:oddHBand="0" w:evenHBand="0" w:firstRowFirstColumn="0" w:firstRowLastColumn="0" w:lastRowFirstColumn="0" w:lastRowLastColumn="0"/>
            <w:tcW w:w="3539" w:type="dxa"/>
          </w:tcPr>
          <w:p w14:paraId="7E77E308" w14:textId="77777777" w:rsidR="00C74979" w:rsidRPr="00595884" w:rsidRDefault="00274BC6" w:rsidP="00C74979">
            <w:pPr>
              <w:spacing w:before="20" w:after="20" w:line="240" w:lineRule="auto"/>
              <w:rPr>
                <w:rFonts w:asciiTheme="minorHAnsi" w:hAnsiTheme="minorHAnsi" w:cstheme="minorHAnsi"/>
              </w:rPr>
            </w:pPr>
            <w:r w:rsidRPr="00595884">
              <w:rPr>
                <w:rFonts w:asciiTheme="minorHAnsi" w:hAnsiTheme="minorHAnsi" w:cstheme="minorHAnsi"/>
              </w:rPr>
              <w:t>Contribution to secondary research questions outcomes?</w:t>
            </w:r>
          </w:p>
        </w:tc>
        <w:tc>
          <w:tcPr>
            <w:tcW w:w="4104" w:type="dxa"/>
          </w:tcPr>
          <w:p w14:paraId="35025A3B" w14:textId="140F5CD1" w:rsidR="00C74979" w:rsidRPr="00595884" w:rsidRDefault="00274BC6" w:rsidP="00C74979">
            <w:pPr>
              <w:spacing w:before="20" w:after="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95884">
              <w:rPr>
                <w:rFonts w:asciiTheme="minorHAnsi" w:hAnsiTheme="minorHAnsi" w:cstheme="minorHAnsi"/>
              </w:rPr>
              <w:t>Does the document contain any information useful for responding to the secondary research questions</w:t>
            </w:r>
            <w:r w:rsidR="00430867" w:rsidRPr="00595884">
              <w:rPr>
                <w:rFonts w:asciiTheme="minorHAnsi" w:hAnsiTheme="minorHAnsi" w:cstheme="minorHAnsi"/>
              </w:rPr>
              <w:t>?</w:t>
            </w:r>
            <w:r w:rsidRPr="00595884">
              <w:rPr>
                <w:rFonts w:asciiTheme="minorHAnsi" w:hAnsiTheme="minorHAnsi" w:cstheme="minorHAnsi"/>
              </w:rPr>
              <w:t xml:space="preserve"> (</w:t>
            </w:r>
            <w:r w:rsidR="00430867" w:rsidRPr="00595884">
              <w:rPr>
                <w:rFonts w:asciiTheme="minorHAnsi" w:hAnsiTheme="minorHAnsi" w:cstheme="minorHAnsi"/>
              </w:rPr>
              <w:t xml:space="preserve">If </w:t>
            </w:r>
            <w:r w:rsidRPr="00595884">
              <w:rPr>
                <w:rFonts w:asciiTheme="minorHAnsi" w:hAnsiTheme="minorHAnsi" w:cstheme="minorHAnsi"/>
              </w:rPr>
              <w:t xml:space="preserve">Yes </w:t>
            </w:r>
            <w:r w:rsidR="00430867" w:rsidRPr="00595884">
              <w:rPr>
                <w:rFonts w:asciiTheme="minorHAnsi" w:hAnsiTheme="minorHAnsi" w:cstheme="minorHAnsi"/>
              </w:rPr>
              <w:t>list</w:t>
            </w:r>
            <w:r w:rsidRPr="00595884">
              <w:rPr>
                <w:rFonts w:asciiTheme="minorHAnsi" w:hAnsiTheme="minorHAnsi" w:cstheme="minorHAnsi"/>
              </w:rPr>
              <w:t xml:space="preserve"> which question, No)</w:t>
            </w:r>
          </w:p>
        </w:tc>
      </w:tr>
      <w:tr w:rsidR="004254E5" w14:paraId="0C0C4003" w14:textId="364C666C" w:rsidTr="004254E5">
        <w:tc>
          <w:tcPr>
            <w:cnfStyle w:val="001000000000" w:firstRow="0" w:lastRow="0" w:firstColumn="1" w:lastColumn="0" w:oddVBand="0" w:evenVBand="0" w:oddHBand="0" w:evenHBand="0" w:firstRowFirstColumn="0" w:firstRowLastColumn="0" w:lastRowFirstColumn="0" w:lastRowLastColumn="0"/>
            <w:tcW w:w="3539" w:type="dxa"/>
          </w:tcPr>
          <w:p w14:paraId="362D89CD" w14:textId="77777777" w:rsidR="00C74979" w:rsidRPr="00595884" w:rsidRDefault="00274BC6" w:rsidP="00C74979">
            <w:pPr>
              <w:spacing w:before="20" w:after="20" w:line="240" w:lineRule="auto"/>
              <w:rPr>
                <w:rFonts w:asciiTheme="minorHAnsi" w:hAnsiTheme="minorHAnsi" w:cstheme="minorHAnsi"/>
              </w:rPr>
            </w:pPr>
            <w:r w:rsidRPr="00595884">
              <w:rPr>
                <w:rFonts w:asciiTheme="minorHAnsi" w:hAnsiTheme="minorHAnsi" w:cstheme="minorHAnsi"/>
              </w:rPr>
              <w:t>Lists key contaminants of concern in recreational waters?</w:t>
            </w:r>
          </w:p>
        </w:tc>
        <w:tc>
          <w:tcPr>
            <w:tcW w:w="4104" w:type="dxa"/>
          </w:tcPr>
          <w:p w14:paraId="2C0200AC" w14:textId="1ED496C6" w:rsidR="00C74979" w:rsidRPr="00595884" w:rsidRDefault="00274BC6" w:rsidP="00C74979">
            <w:pPr>
              <w:spacing w:before="20" w:after="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95884">
              <w:rPr>
                <w:rFonts w:asciiTheme="minorHAnsi" w:hAnsiTheme="minorHAnsi" w:cstheme="minorHAnsi"/>
              </w:rPr>
              <w:t xml:space="preserve">Does the document list any key contaminants of concern in recreational waters? </w:t>
            </w:r>
            <w:r w:rsidR="00430867" w:rsidRPr="00595884">
              <w:rPr>
                <w:rFonts w:asciiTheme="minorHAnsi" w:hAnsiTheme="minorHAnsi" w:cstheme="minorHAnsi"/>
              </w:rPr>
              <w:t xml:space="preserve">(If </w:t>
            </w:r>
            <w:proofErr w:type="gramStart"/>
            <w:r w:rsidR="00430867" w:rsidRPr="00595884">
              <w:rPr>
                <w:rFonts w:asciiTheme="minorHAnsi" w:hAnsiTheme="minorHAnsi" w:cstheme="minorHAnsi"/>
              </w:rPr>
              <w:t>Yes</w:t>
            </w:r>
            <w:proofErr w:type="gramEnd"/>
            <w:r w:rsidR="00430867" w:rsidRPr="00595884">
              <w:rPr>
                <w:rFonts w:asciiTheme="minorHAnsi" w:hAnsiTheme="minorHAnsi" w:cstheme="minorHAnsi"/>
              </w:rPr>
              <w:t>, list information, No)</w:t>
            </w:r>
          </w:p>
        </w:tc>
      </w:tr>
      <w:tr w:rsidR="004254E5" w14:paraId="252086B1" w14:textId="63E08C3E" w:rsidTr="004254E5">
        <w:tc>
          <w:tcPr>
            <w:cnfStyle w:val="001000000000" w:firstRow="0" w:lastRow="0" w:firstColumn="1" w:lastColumn="0" w:oddVBand="0" w:evenVBand="0" w:oddHBand="0" w:evenHBand="0" w:firstRowFirstColumn="0" w:firstRowLastColumn="0" w:lastRowFirstColumn="0" w:lastRowLastColumn="0"/>
            <w:tcW w:w="3539" w:type="dxa"/>
          </w:tcPr>
          <w:p w14:paraId="4D0071F4" w14:textId="7DD5C3A2" w:rsidR="00C74979" w:rsidRPr="00595884" w:rsidRDefault="00274BC6" w:rsidP="00C74979">
            <w:pPr>
              <w:spacing w:before="20" w:after="20" w:line="240" w:lineRule="auto"/>
              <w:rPr>
                <w:rFonts w:asciiTheme="minorHAnsi" w:hAnsiTheme="minorHAnsi" w:cstheme="minorHAnsi"/>
              </w:rPr>
            </w:pPr>
            <w:r w:rsidRPr="00595884">
              <w:rPr>
                <w:rFonts w:asciiTheme="minorHAnsi" w:hAnsiTheme="minorHAnsi" w:cstheme="minorHAnsi"/>
              </w:rPr>
              <w:t>Contains risk assessment methods</w:t>
            </w:r>
            <w:r w:rsidR="00430867" w:rsidRPr="00595884">
              <w:rPr>
                <w:rFonts w:asciiTheme="minorHAnsi" w:hAnsiTheme="minorHAnsi" w:cstheme="minorHAnsi"/>
              </w:rPr>
              <w:t>?</w:t>
            </w:r>
          </w:p>
        </w:tc>
        <w:tc>
          <w:tcPr>
            <w:tcW w:w="4104" w:type="dxa"/>
          </w:tcPr>
          <w:p w14:paraId="3871047C" w14:textId="1642020B" w:rsidR="00C74979" w:rsidRPr="00595884" w:rsidRDefault="00274BC6" w:rsidP="00C74979">
            <w:pPr>
              <w:spacing w:before="20" w:after="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95884">
              <w:rPr>
                <w:rFonts w:asciiTheme="minorHAnsi" w:hAnsiTheme="minorHAnsi" w:cstheme="minorHAnsi"/>
              </w:rPr>
              <w:t>Does the document contain risk assessment methods, including exposure assessment calculations and assumptions</w:t>
            </w:r>
            <w:r w:rsidR="00A82939" w:rsidRPr="00595884">
              <w:rPr>
                <w:rFonts w:asciiTheme="minorHAnsi" w:hAnsiTheme="minorHAnsi" w:cstheme="minorHAnsi"/>
              </w:rPr>
              <w:t xml:space="preserve">? (If </w:t>
            </w:r>
            <w:proofErr w:type="gramStart"/>
            <w:r w:rsidR="00A82939" w:rsidRPr="00595884">
              <w:rPr>
                <w:rFonts w:asciiTheme="minorHAnsi" w:hAnsiTheme="minorHAnsi" w:cstheme="minorHAnsi"/>
              </w:rPr>
              <w:t>Yes</w:t>
            </w:r>
            <w:proofErr w:type="gramEnd"/>
            <w:r w:rsidR="00A82939" w:rsidRPr="00595884">
              <w:rPr>
                <w:rFonts w:asciiTheme="minorHAnsi" w:hAnsiTheme="minorHAnsi" w:cstheme="minorHAnsi"/>
              </w:rPr>
              <w:t>, list information, No)</w:t>
            </w:r>
            <w:r w:rsidR="00435BBE" w:rsidRPr="00595884">
              <w:rPr>
                <w:rFonts w:asciiTheme="minorHAnsi" w:hAnsiTheme="minorHAnsi" w:cstheme="minorHAnsi"/>
              </w:rPr>
              <w:t xml:space="preserve">.  </w:t>
            </w:r>
          </w:p>
        </w:tc>
      </w:tr>
      <w:tr w:rsidR="004254E5" w14:paraId="72232340" w14:textId="62C5DA58" w:rsidTr="004254E5">
        <w:tc>
          <w:tcPr>
            <w:cnfStyle w:val="001000000000" w:firstRow="0" w:lastRow="0" w:firstColumn="1" w:lastColumn="0" w:oddVBand="0" w:evenVBand="0" w:oddHBand="0" w:evenHBand="0" w:firstRowFirstColumn="0" w:firstRowLastColumn="0" w:lastRowFirstColumn="0" w:lastRowLastColumn="0"/>
            <w:tcW w:w="3539" w:type="dxa"/>
          </w:tcPr>
          <w:p w14:paraId="6BDC011A" w14:textId="77777777" w:rsidR="00C74979" w:rsidRPr="00595884" w:rsidRDefault="00274BC6" w:rsidP="00C74979">
            <w:pPr>
              <w:spacing w:before="20" w:after="20" w:line="240" w:lineRule="auto"/>
              <w:rPr>
                <w:rFonts w:asciiTheme="minorHAnsi" w:hAnsiTheme="minorHAnsi" w:cstheme="minorHAnsi"/>
              </w:rPr>
            </w:pPr>
            <w:r w:rsidRPr="00595884">
              <w:rPr>
                <w:rFonts w:asciiTheme="minorHAnsi" w:hAnsiTheme="minorHAnsi" w:cstheme="minorHAnsi"/>
              </w:rPr>
              <w:t xml:space="preserve">Consideration of short, medium- and long-term exposures; </w:t>
            </w:r>
          </w:p>
        </w:tc>
        <w:tc>
          <w:tcPr>
            <w:tcW w:w="4104" w:type="dxa"/>
          </w:tcPr>
          <w:p w14:paraId="5B563EE1" w14:textId="2C7E4671" w:rsidR="00C74979" w:rsidRPr="00595884" w:rsidRDefault="00274BC6" w:rsidP="00C74979">
            <w:pPr>
              <w:spacing w:before="20" w:after="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95884">
              <w:rPr>
                <w:rFonts w:asciiTheme="minorHAnsi" w:hAnsiTheme="minorHAnsi" w:cstheme="minorHAnsi"/>
              </w:rPr>
              <w:t>Does the document provide any information on short-, medium- or long-term exposures to chemical hazards in the context of recreational water use?</w:t>
            </w:r>
            <w:r w:rsidR="00A82939" w:rsidRPr="00595884">
              <w:rPr>
                <w:rFonts w:asciiTheme="minorHAnsi" w:hAnsiTheme="minorHAnsi" w:cstheme="minorHAnsi"/>
              </w:rPr>
              <w:t xml:space="preserve"> (If </w:t>
            </w:r>
            <w:proofErr w:type="gramStart"/>
            <w:r w:rsidR="00A82939" w:rsidRPr="00595884">
              <w:rPr>
                <w:rFonts w:asciiTheme="minorHAnsi" w:hAnsiTheme="minorHAnsi" w:cstheme="minorHAnsi"/>
              </w:rPr>
              <w:t>Yes</w:t>
            </w:r>
            <w:proofErr w:type="gramEnd"/>
            <w:r w:rsidR="00A82939" w:rsidRPr="00595884">
              <w:rPr>
                <w:rFonts w:asciiTheme="minorHAnsi" w:hAnsiTheme="minorHAnsi" w:cstheme="minorHAnsi"/>
              </w:rPr>
              <w:t>, list information, No)</w:t>
            </w:r>
          </w:p>
        </w:tc>
      </w:tr>
      <w:tr w:rsidR="004254E5" w14:paraId="76531F18" w14:textId="16B72092" w:rsidTr="004254E5">
        <w:tc>
          <w:tcPr>
            <w:cnfStyle w:val="001000000000" w:firstRow="0" w:lastRow="0" w:firstColumn="1" w:lastColumn="0" w:oddVBand="0" w:evenVBand="0" w:oddHBand="0" w:evenHBand="0" w:firstRowFirstColumn="0" w:firstRowLastColumn="0" w:lastRowFirstColumn="0" w:lastRowLastColumn="0"/>
            <w:tcW w:w="3539" w:type="dxa"/>
          </w:tcPr>
          <w:p w14:paraId="490C422A" w14:textId="77777777" w:rsidR="00C74979" w:rsidRPr="00595884" w:rsidRDefault="00274BC6" w:rsidP="00C74979">
            <w:pPr>
              <w:spacing w:before="20" w:after="20" w:line="240" w:lineRule="auto"/>
              <w:rPr>
                <w:rFonts w:asciiTheme="minorHAnsi" w:hAnsiTheme="minorHAnsi" w:cstheme="minorHAnsi"/>
              </w:rPr>
            </w:pPr>
            <w:r w:rsidRPr="00595884">
              <w:rPr>
                <w:rFonts w:asciiTheme="minorHAnsi" w:hAnsiTheme="minorHAnsi" w:cstheme="minorHAnsi"/>
              </w:rPr>
              <w:t>Consideration of the use of indicator substances for chemical risk</w:t>
            </w:r>
          </w:p>
        </w:tc>
        <w:tc>
          <w:tcPr>
            <w:tcW w:w="4104" w:type="dxa"/>
          </w:tcPr>
          <w:p w14:paraId="0A694AEC" w14:textId="7DAE4D80" w:rsidR="00C74979" w:rsidRPr="00595884" w:rsidRDefault="00274BC6" w:rsidP="00C74979">
            <w:pPr>
              <w:spacing w:before="20" w:after="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95884">
              <w:rPr>
                <w:rFonts w:asciiTheme="minorHAnsi" w:hAnsiTheme="minorHAnsi" w:cstheme="minorHAnsi"/>
              </w:rPr>
              <w:t xml:space="preserve">Does the document discuss the use of indicator substances for the assessment of risk for chemical hazards in the context of recreational water use? </w:t>
            </w:r>
            <w:r w:rsidR="00A82939" w:rsidRPr="00595884">
              <w:rPr>
                <w:rFonts w:asciiTheme="minorHAnsi" w:hAnsiTheme="minorHAnsi" w:cstheme="minorHAnsi"/>
              </w:rPr>
              <w:t xml:space="preserve">(If </w:t>
            </w:r>
            <w:proofErr w:type="gramStart"/>
            <w:r w:rsidR="00A82939" w:rsidRPr="00595884">
              <w:rPr>
                <w:rFonts w:asciiTheme="minorHAnsi" w:hAnsiTheme="minorHAnsi" w:cstheme="minorHAnsi"/>
              </w:rPr>
              <w:t>Yes</w:t>
            </w:r>
            <w:proofErr w:type="gramEnd"/>
            <w:r w:rsidR="00A82939" w:rsidRPr="00595884">
              <w:rPr>
                <w:rFonts w:asciiTheme="minorHAnsi" w:hAnsiTheme="minorHAnsi" w:cstheme="minorHAnsi"/>
              </w:rPr>
              <w:t>, list information, No)</w:t>
            </w:r>
          </w:p>
        </w:tc>
      </w:tr>
      <w:tr w:rsidR="004254E5" w14:paraId="4BB46CA7" w14:textId="046BF6F6" w:rsidTr="004254E5">
        <w:tc>
          <w:tcPr>
            <w:cnfStyle w:val="001000000000" w:firstRow="0" w:lastRow="0" w:firstColumn="1" w:lastColumn="0" w:oddVBand="0" w:evenVBand="0" w:oddHBand="0" w:evenHBand="0" w:firstRowFirstColumn="0" w:firstRowLastColumn="0" w:lastRowFirstColumn="0" w:lastRowLastColumn="0"/>
            <w:tcW w:w="3539" w:type="dxa"/>
          </w:tcPr>
          <w:p w14:paraId="6DDCD3C0" w14:textId="1D5019AE" w:rsidR="00C74979" w:rsidRPr="00595884" w:rsidRDefault="00274BC6" w:rsidP="00C74979">
            <w:pPr>
              <w:spacing w:before="20" w:after="20" w:line="240" w:lineRule="auto"/>
              <w:rPr>
                <w:rFonts w:asciiTheme="minorHAnsi" w:hAnsiTheme="minorHAnsi" w:cstheme="minorHAnsi"/>
              </w:rPr>
            </w:pPr>
            <w:r w:rsidRPr="00595884">
              <w:rPr>
                <w:rFonts w:asciiTheme="minorHAnsi" w:hAnsiTheme="minorHAnsi" w:cstheme="minorHAnsi"/>
              </w:rPr>
              <w:t>Reviewer’s comments</w:t>
            </w:r>
          </w:p>
        </w:tc>
        <w:tc>
          <w:tcPr>
            <w:tcW w:w="4104" w:type="dxa"/>
          </w:tcPr>
          <w:p w14:paraId="3CEDE9D3" w14:textId="49F0996C" w:rsidR="00C74979" w:rsidRPr="00595884" w:rsidRDefault="00274BC6" w:rsidP="00C74979">
            <w:pPr>
              <w:spacing w:before="20" w:after="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95884">
              <w:rPr>
                <w:rFonts w:asciiTheme="minorHAnsi" w:hAnsiTheme="minorHAnsi" w:cstheme="minorHAnsi"/>
              </w:rPr>
              <w:t>Reviewer’s comments on key attributes of the document justifying its inclusion in the review.</w:t>
            </w:r>
          </w:p>
        </w:tc>
      </w:tr>
      <w:tr w:rsidR="004254E5" w14:paraId="4FE374C2" w14:textId="0E300ECF" w:rsidTr="004254E5">
        <w:tc>
          <w:tcPr>
            <w:cnfStyle w:val="001000000000" w:firstRow="0" w:lastRow="0" w:firstColumn="1" w:lastColumn="0" w:oddVBand="0" w:evenVBand="0" w:oddHBand="0" w:evenHBand="0" w:firstRowFirstColumn="0" w:firstRowLastColumn="0" w:lastRowFirstColumn="0" w:lastRowLastColumn="0"/>
            <w:tcW w:w="3539" w:type="dxa"/>
          </w:tcPr>
          <w:p w14:paraId="63B91EE7" w14:textId="2A0621F7" w:rsidR="00C74979" w:rsidRPr="00595884" w:rsidRDefault="00274BC6" w:rsidP="00C74979">
            <w:pPr>
              <w:spacing w:before="20" w:after="20" w:line="240" w:lineRule="auto"/>
              <w:rPr>
                <w:rFonts w:asciiTheme="minorHAnsi" w:hAnsiTheme="minorHAnsi" w:cstheme="minorHAnsi"/>
              </w:rPr>
            </w:pPr>
            <w:r w:rsidRPr="00595884">
              <w:rPr>
                <w:rFonts w:asciiTheme="minorHAnsi" w:hAnsiTheme="minorHAnsi" w:cstheme="minorHAnsi"/>
              </w:rPr>
              <w:t>Overall assessment</w:t>
            </w:r>
          </w:p>
        </w:tc>
        <w:tc>
          <w:tcPr>
            <w:tcW w:w="4104" w:type="dxa"/>
          </w:tcPr>
          <w:p w14:paraId="64B4D5CB" w14:textId="19B8B2A4" w:rsidR="00C74979" w:rsidRPr="00595884" w:rsidRDefault="00274BC6" w:rsidP="00C74979">
            <w:pPr>
              <w:spacing w:before="20" w:after="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95884">
              <w:rPr>
                <w:rFonts w:asciiTheme="minorHAnsi" w:hAnsiTheme="minorHAnsi" w:cstheme="minorHAnsi"/>
              </w:rPr>
              <w:t>Reviewer’s concise assessment of the overall contribution made by the document in responding to the primary and secondary questions.</w:t>
            </w:r>
          </w:p>
        </w:tc>
      </w:tr>
    </w:tbl>
    <w:p w14:paraId="4721477F" w14:textId="77777777" w:rsidR="00911633" w:rsidRPr="00595884" w:rsidRDefault="00911633" w:rsidP="00911633">
      <w:pPr>
        <w:rPr>
          <w:highlight w:val="yellow"/>
        </w:rPr>
      </w:pPr>
    </w:p>
    <w:p w14:paraId="2FC82E3B" w14:textId="13FEA904" w:rsidR="00632FED" w:rsidRPr="00595884" w:rsidRDefault="00274BC6" w:rsidP="005B36E3">
      <w:pPr>
        <w:pStyle w:val="Heading1"/>
      </w:pPr>
      <w:bookmarkStart w:id="87" w:name="_Toc9259352"/>
      <w:bookmarkStart w:id="88" w:name="_Toc9260186"/>
      <w:bookmarkStart w:id="89" w:name="_Toc9413532"/>
      <w:bookmarkStart w:id="90" w:name="_Toc11410244"/>
      <w:bookmarkStart w:id="91" w:name="_Toc9259353"/>
      <w:bookmarkStart w:id="92" w:name="_Toc9260187"/>
      <w:bookmarkStart w:id="93" w:name="_Toc9413533"/>
      <w:bookmarkStart w:id="94" w:name="_Toc11410245"/>
      <w:bookmarkStart w:id="95" w:name="_Toc9259354"/>
      <w:bookmarkStart w:id="96" w:name="_Toc9260188"/>
      <w:bookmarkStart w:id="97" w:name="_Toc9413534"/>
      <w:bookmarkStart w:id="98" w:name="_Toc11410246"/>
      <w:bookmarkStart w:id="99" w:name="_Toc9259355"/>
      <w:bookmarkStart w:id="100" w:name="_Toc9260189"/>
      <w:bookmarkStart w:id="101" w:name="_Toc9413535"/>
      <w:bookmarkStart w:id="102" w:name="_Toc11410247"/>
      <w:bookmarkStart w:id="103" w:name="_Toc9259356"/>
      <w:bookmarkStart w:id="104" w:name="_Toc9260190"/>
      <w:bookmarkStart w:id="105" w:name="_Toc9413536"/>
      <w:bookmarkStart w:id="106" w:name="_Toc11410248"/>
      <w:bookmarkStart w:id="107" w:name="_Toc9259357"/>
      <w:bookmarkStart w:id="108" w:name="_Toc9260191"/>
      <w:bookmarkStart w:id="109" w:name="_Toc9413537"/>
      <w:bookmarkStart w:id="110" w:name="_Toc11410249"/>
      <w:bookmarkStart w:id="111" w:name="_Toc9259358"/>
      <w:bookmarkStart w:id="112" w:name="_Toc9260192"/>
      <w:bookmarkStart w:id="113" w:name="_Toc9413538"/>
      <w:bookmarkStart w:id="114" w:name="_Toc11410250"/>
      <w:bookmarkStart w:id="115" w:name="_Toc9259359"/>
      <w:bookmarkStart w:id="116" w:name="_Toc9260193"/>
      <w:bookmarkStart w:id="117" w:name="_Toc9413539"/>
      <w:bookmarkStart w:id="118" w:name="_Toc11410251"/>
      <w:bookmarkStart w:id="119" w:name="_Toc9259360"/>
      <w:bookmarkStart w:id="120" w:name="_Toc9260194"/>
      <w:bookmarkStart w:id="121" w:name="_Toc9413540"/>
      <w:bookmarkStart w:id="122" w:name="_Toc11410252"/>
      <w:bookmarkStart w:id="123" w:name="_Toc9259361"/>
      <w:bookmarkStart w:id="124" w:name="_Toc9260195"/>
      <w:bookmarkStart w:id="125" w:name="_Toc9413541"/>
      <w:bookmarkStart w:id="126" w:name="_Toc11410253"/>
      <w:bookmarkStart w:id="127" w:name="_Toc9259362"/>
      <w:bookmarkStart w:id="128" w:name="_Toc9260196"/>
      <w:bookmarkStart w:id="129" w:name="_Toc9413542"/>
      <w:bookmarkStart w:id="130" w:name="_Toc11410254"/>
      <w:bookmarkStart w:id="131" w:name="_Toc9259363"/>
      <w:bookmarkStart w:id="132" w:name="_Toc9260197"/>
      <w:bookmarkStart w:id="133" w:name="_Toc9413543"/>
      <w:bookmarkStart w:id="134" w:name="_Toc11410255"/>
      <w:bookmarkStart w:id="135" w:name="_Toc9259364"/>
      <w:bookmarkStart w:id="136" w:name="_Toc9260198"/>
      <w:bookmarkStart w:id="137" w:name="_Toc9413544"/>
      <w:bookmarkStart w:id="138" w:name="_Toc11410256"/>
      <w:bookmarkStart w:id="139" w:name="_Toc9259365"/>
      <w:bookmarkStart w:id="140" w:name="_Toc9260199"/>
      <w:bookmarkStart w:id="141" w:name="_Toc9413545"/>
      <w:bookmarkStart w:id="142" w:name="_Toc11410257"/>
      <w:bookmarkStart w:id="143" w:name="_Toc9259366"/>
      <w:bookmarkStart w:id="144" w:name="_Toc9260200"/>
      <w:bookmarkStart w:id="145" w:name="_Toc9413546"/>
      <w:bookmarkStart w:id="146" w:name="_Toc11410258"/>
      <w:bookmarkStart w:id="147" w:name="_Toc9259367"/>
      <w:bookmarkStart w:id="148" w:name="_Toc9260201"/>
      <w:bookmarkStart w:id="149" w:name="_Toc9413547"/>
      <w:bookmarkStart w:id="150" w:name="_Toc11410259"/>
      <w:bookmarkStart w:id="151" w:name="_Toc9259368"/>
      <w:bookmarkStart w:id="152" w:name="_Toc9260202"/>
      <w:bookmarkStart w:id="153" w:name="_Toc9413548"/>
      <w:bookmarkStart w:id="154" w:name="_Toc11410260"/>
      <w:bookmarkStart w:id="155" w:name="_Toc9259369"/>
      <w:bookmarkStart w:id="156" w:name="_Toc9260203"/>
      <w:bookmarkStart w:id="157" w:name="_Toc9413549"/>
      <w:bookmarkStart w:id="158" w:name="_Toc11410261"/>
      <w:bookmarkStart w:id="159" w:name="_Toc9259370"/>
      <w:bookmarkStart w:id="160" w:name="_Toc9260204"/>
      <w:bookmarkStart w:id="161" w:name="_Toc9413550"/>
      <w:bookmarkStart w:id="162" w:name="_Toc11410262"/>
      <w:bookmarkStart w:id="163" w:name="_Toc9259371"/>
      <w:bookmarkStart w:id="164" w:name="_Toc9260205"/>
      <w:bookmarkStart w:id="165" w:name="_Toc9413551"/>
      <w:bookmarkStart w:id="166" w:name="_Toc11410263"/>
      <w:bookmarkStart w:id="167" w:name="_Toc9259507"/>
      <w:bookmarkStart w:id="168" w:name="_Toc9260341"/>
      <w:bookmarkStart w:id="169" w:name="_Toc9413687"/>
      <w:bookmarkStart w:id="170" w:name="_Toc11410399"/>
      <w:bookmarkStart w:id="171" w:name="_Toc9259508"/>
      <w:bookmarkStart w:id="172" w:name="_Toc9260342"/>
      <w:bookmarkStart w:id="173" w:name="_Toc9413688"/>
      <w:bookmarkStart w:id="174" w:name="_Toc11410400"/>
      <w:bookmarkStart w:id="175" w:name="_Toc9259509"/>
      <w:bookmarkStart w:id="176" w:name="_Toc9260343"/>
      <w:bookmarkStart w:id="177" w:name="_Toc9413689"/>
      <w:bookmarkStart w:id="178" w:name="_Toc11410401"/>
      <w:bookmarkStart w:id="179" w:name="_Toc9259510"/>
      <w:bookmarkStart w:id="180" w:name="_Toc9260344"/>
      <w:bookmarkStart w:id="181" w:name="_Toc9413690"/>
      <w:bookmarkStart w:id="182" w:name="_Toc11410402"/>
      <w:bookmarkStart w:id="183" w:name="_Toc9259511"/>
      <w:bookmarkStart w:id="184" w:name="_Toc9260345"/>
      <w:bookmarkStart w:id="185" w:name="_Toc9413691"/>
      <w:bookmarkStart w:id="186" w:name="_Toc11410403"/>
      <w:bookmarkStart w:id="187" w:name="_Toc9259512"/>
      <w:bookmarkStart w:id="188" w:name="_Toc9260346"/>
      <w:bookmarkStart w:id="189" w:name="_Toc9413692"/>
      <w:bookmarkStart w:id="190" w:name="_Toc11410404"/>
      <w:bookmarkStart w:id="191" w:name="_Toc9259513"/>
      <w:bookmarkStart w:id="192" w:name="_Toc9260347"/>
      <w:bookmarkStart w:id="193" w:name="_Toc9413693"/>
      <w:bookmarkStart w:id="194" w:name="_Toc11410405"/>
      <w:bookmarkStart w:id="195" w:name="_Toc9259514"/>
      <w:bookmarkStart w:id="196" w:name="_Toc9260348"/>
      <w:bookmarkStart w:id="197" w:name="_Toc9413694"/>
      <w:bookmarkStart w:id="198" w:name="_Toc11410406"/>
      <w:bookmarkStart w:id="199" w:name="_Toc9259515"/>
      <w:bookmarkStart w:id="200" w:name="_Toc9260349"/>
      <w:bookmarkStart w:id="201" w:name="_Toc9413695"/>
      <w:bookmarkStart w:id="202" w:name="_Toc11410407"/>
      <w:bookmarkStart w:id="203" w:name="_Toc9259516"/>
      <w:bookmarkStart w:id="204" w:name="_Toc9260350"/>
      <w:bookmarkStart w:id="205" w:name="_Toc9413696"/>
      <w:bookmarkStart w:id="206" w:name="_Toc11410408"/>
      <w:bookmarkStart w:id="207" w:name="_Toc9259517"/>
      <w:bookmarkStart w:id="208" w:name="_Toc9260351"/>
      <w:bookmarkStart w:id="209" w:name="_Toc9413697"/>
      <w:bookmarkStart w:id="210" w:name="_Toc11410409"/>
      <w:bookmarkStart w:id="211" w:name="_Toc9259518"/>
      <w:bookmarkStart w:id="212" w:name="_Toc9260352"/>
      <w:bookmarkStart w:id="213" w:name="_Toc9413698"/>
      <w:bookmarkStart w:id="214" w:name="_Toc11410410"/>
      <w:bookmarkStart w:id="215" w:name="_Toc9259519"/>
      <w:bookmarkStart w:id="216" w:name="_Toc9260353"/>
      <w:bookmarkStart w:id="217" w:name="_Toc9413699"/>
      <w:bookmarkStart w:id="218" w:name="_Toc11410411"/>
      <w:bookmarkStart w:id="219" w:name="_Toc9259520"/>
      <w:bookmarkStart w:id="220" w:name="_Toc9260354"/>
      <w:bookmarkStart w:id="221" w:name="_Toc9413700"/>
      <w:bookmarkStart w:id="222" w:name="_Toc11410412"/>
      <w:bookmarkStart w:id="223" w:name="_Toc9259521"/>
      <w:bookmarkStart w:id="224" w:name="_Toc9260355"/>
      <w:bookmarkStart w:id="225" w:name="_Toc9413701"/>
      <w:bookmarkStart w:id="226" w:name="_Toc11410413"/>
      <w:bookmarkStart w:id="227" w:name="_Toc9259522"/>
      <w:bookmarkStart w:id="228" w:name="_Toc9260356"/>
      <w:bookmarkStart w:id="229" w:name="_Toc9413702"/>
      <w:bookmarkStart w:id="230" w:name="_Toc11410414"/>
      <w:bookmarkStart w:id="231" w:name="_Toc9259523"/>
      <w:bookmarkStart w:id="232" w:name="_Toc9260357"/>
      <w:bookmarkStart w:id="233" w:name="_Toc9413703"/>
      <w:bookmarkStart w:id="234" w:name="_Toc11410415"/>
      <w:bookmarkStart w:id="235" w:name="_Toc9259524"/>
      <w:bookmarkStart w:id="236" w:name="_Toc9260358"/>
      <w:bookmarkStart w:id="237" w:name="_Toc9413704"/>
      <w:bookmarkStart w:id="238" w:name="_Toc11410416"/>
      <w:bookmarkStart w:id="239" w:name="_Toc9259525"/>
      <w:bookmarkStart w:id="240" w:name="_Toc9260359"/>
      <w:bookmarkStart w:id="241" w:name="_Toc9413705"/>
      <w:bookmarkStart w:id="242" w:name="_Toc11410417"/>
      <w:bookmarkStart w:id="243" w:name="_Toc9259526"/>
      <w:bookmarkStart w:id="244" w:name="_Toc9260360"/>
      <w:bookmarkStart w:id="245" w:name="_Toc9413706"/>
      <w:bookmarkStart w:id="246" w:name="_Toc11410418"/>
      <w:bookmarkStart w:id="247" w:name="_Toc9259527"/>
      <w:bookmarkStart w:id="248" w:name="_Toc9260361"/>
      <w:bookmarkStart w:id="249" w:name="_Toc9413707"/>
      <w:bookmarkStart w:id="250" w:name="_Toc11410419"/>
      <w:bookmarkStart w:id="251" w:name="_Toc9259528"/>
      <w:bookmarkStart w:id="252" w:name="_Toc9260362"/>
      <w:bookmarkStart w:id="253" w:name="_Toc9413708"/>
      <w:bookmarkStart w:id="254" w:name="_Toc11410420"/>
      <w:bookmarkStart w:id="255" w:name="_Toc9259529"/>
      <w:bookmarkStart w:id="256" w:name="_Toc9260363"/>
      <w:bookmarkStart w:id="257" w:name="_Toc9413709"/>
      <w:bookmarkStart w:id="258" w:name="_Toc11410421"/>
      <w:bookmarkStart w:id="259" w:name="_Toc9259530"/>
      <w:bookmarkStart w:id="260" w:name="_Toc9260364"/>
      <w:bookmarkStart w:id="261" w:name="_Toc9413710"/>
      <w:bookmarkStart w:id="262" w:name="_Toc11410422"/>
      <w:bookmarkStart w:id="263" w:name="_Toc9259538"/>
      <w:bookmarkStart w:id="264" w:name="_Toc9260372"/>
      <w:bookmarkStart w:id="265" w:name="_Toc9413718"/>
      <w:bookmarkStart w:id="266" w:name="_Toc11410430"/>
      <w:bookmarkStart w:id="267" w:name="_Toc9259736"/>
      <w:bookmarkStart w:id="268" w:name="_Toc9260570"/>
      <w:bookmarkStart w:id="269" w:name="_Toc9413916"/>
      <w:bookmarkStart w:id="270" w:name="_Toc11410628"/>
      <w:bookmarkStart w:id="271" w:name="_Toc9259737"/>
      <w:bookmarkStart w:id="272" w:name="_Toc9260571"/>
      <w:bookmarkStart w:id="273" w:name="_Toc9413917"/>
      <w:bookmarkStart w:id="274" w:name="_Toc11410629"/>
      <w:bookmarkStart w:id="275" w:name="_Toc9259738"/>
      <w:bookmarkStart w:id="276" w:name="_Toc9260572"/>
      <w:bookmarkStart w:id="277" w:name="_Toc9413918"/>
      <w:bookmarkStart w:id="278" w:name="_Toc11410630"/>
      <w:bookmarkStart w:id="279" w:name="_Toc9259739"/>
      <w:bookmarkStart w:id="280" w:name="_Toc9260573"/>
      <w:bookmarkStart w:id="281" w:name="_Toc9413919"/>
      <w:bookmarkStart w:id="282" w:name="_Toc11410631"/>
      <w:bookmarkStart w:id="283" w:name="_Toc9259740"/>
      <w:bookmarkStart w:id="284" w:name="_Toc9260574"/>
      <w:bookmarkStart w:id="285" w:name="_Toc9413920"/>
      <w:bookmarkStart w:id="286" w:name="_Toc11410632"/>
      <w:bookmarkStart w:id="287" w:name="_Toc106811129"/>
      <w:bookmarkEnd w:id="10"/>
      <w:bookmarkEnd w:id="11"/>
      <w:bookmarkEnd w:id="12"/>
      <w:bookmarkEnd w:id="54"/>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r w:rsidRPr="00595884">
        <w:t>Literature search results</w:t>
      </w:r>
      <w:bookmarkEnd w:id="287"/>
    </w:p>
    <w:p w14:paraId="1A273C67" w14:textId="613A81B7" w:rsidR="00D358C6" w:rsidRPr="00595884" w:rsidRDefault="00274BC6" w:rsidP="00D95B6A">
      <w:pPr>
        <w:pStyle w:val="Heading2"/>
      </w:pPr>
      <w:bookmarkStart w:id="288" w:name="_Toc106811130"/>
      <w:r>
        <w:t>Existing g</w:t>
      </w:r>
      <w:r w:rsidRPr="00595884">
        <w:t>uidelines</w:t>
      </w:r>
      <w:bookmarkEnd w:id="288"/>
    </w:p>
    <w:p w14:paraId="0D53ED53" w14:textId="2795F0FB" w:rsidR="0079773D" w:rsidRPr="00595884" w:rsidRDefault="00274BC6" w:rsidP="0079773D">
      <w:r w:rsidRPr="00595884">
        <w:t>Searches for grey literature</w:t>
      </w:r>
      <w:r>
        <w:rPr>
          <w:rStyle w:val="FootnoteReference"/>
        </w:rPr>
        <w:footnoteReference w:id="2"/>
      </w:r>
      <w:r w:rsidRPr="00595884">
        <w:t xml:space="preserve"> identified 40 documents.  Each document was evaluated for its relevance to the primary and secondary research questions and</w:t>
      </w:r>
      <w:r w:rsidR="002E7864">
        <w:t xml:space="preserve"> </w:t>
      </w:r>
      <w:r w:rsidR="00D76DFB">
        <w:t>excluded</w:t>
      </w:r>
      <w:r w:rsidRPr="00595884">
        <w:t xml:space="preserve"> if not relevant.</w:t>
      </w:r>
      <w:r w:rsidR="003F7EBD" w:rsidRPr="00595884">
        <w:t xml:space="preserve">  This process identified </w:t>
      </w:r>
      <w:r w:rsidRPr="00595884">
        <w:t xml:space="preserve">11 documents relevant to </w:t>
      </w:r>
      <w:r w:rsidR="00D741A4" w:rsidRPr="00595884">
        <w:t xml:space="preserve">the </w:t>
      </w:r>
      <w:r w:rsidRPr="00595884">
        <w:t>primary and secondary research questions (</w:t>
      </w:r>
      <w:r w:rsidR="003F7EBD" w:rsidRPr="00595884">
        <w:t>i.e.</w:t>
      </w:r>
      <w:r w:rsidR="005D3D0D">
        <w:t xml:space="preserve">, addresses </w:t>
      </w:r>
      <w:r w:rsidR="003F7EBD" w:rsidRPr="00595884">
        <w:t>chemical</w:t>
      </w:r>
      <w:r w:rsidRPr="00595884">
        <w:t xml:space="preserve"> hazards in recreational water)</w:t>
      </w:r>
      <w:r w:rsidR="003F7EBD" w:rsidRPr="00595884">
        <w:t xml:space="preserve">, </w:t>
      </w:r>
      <w:r w:rsidRPr="00595884">
        <w:t xml:space="preserve">including </w:t>
      </w:r>
      <w:r w:rsidR="00305708">
        <w:t>four</w:t>
      </w:r>
      <w:r w:rsidR="00305708" w:rsidRPr="00595884">
        <w:t xml:space="preserve"> </w:t>
      </w:r>
      <w:r w:rsidR="005D3D0D">
        <w:t xml:space="preserve">documents </w:t>
      </w:r>
      <w:r w:rsidRPr="00595884">
        <w:t xml:space="preserve">listed by </w:t>
      </w:r>
      <w:r w:rsidR="00AC10FC">
        <w:t>the Committee</w:t>
      </w:r>
      <w:r w:rsidRPr="00595884">
        <w:t xml:space="preserve">. </w:t>
      </w:r>
      <w:r w:rsidR="003F7EBD" w:rsidRPr="00595884">
        <w:t xml:space="preserve"> </w:t>
      </w:r>
      <w:r w:rsidR="00596281" w:rsidRPr="00595884">
        <w:t xml:space="preserve">Each of the 11 shortlisted documents was subject to the quality assessment process described in </w:t>
      </w:r>
      <w:r w:rsidR="00596281" w:rsidRPr="00595884">
        <w:fldChar w:fldCharType="begin"/>
      </w:r>
      <w:r w:rsidR="00596281" w:rsidRPr="00595884">
        <w:instrText xml:space="preserve"> REF _Ref70948231 \r \h </w:instrText>
      </w:r>
      <w:r w:rsidR="00596281" w:rsidRPr="00595884">
        <w:fldChar w:fldCharType="separate"/>
      </w:r>
      <w:r w:rsidR="003132AF">
        <w:t>2.5.2.1</w:t>
      </w:r>
      <w:r w:rsidR="00596281" w:rsidRPr="00595884">
        <w:fldChar w:fldCharType="end"/>
      </w:r>
      <w:r w:rsidR="00CE3C4E">
        <w:t>,</w:t>
      </w:r>
      <w:r w:rsidR="00596281" w:rsidRPr="00595884">
        <w:t xml:space="preserve"> which resulted in </w:t>
      </w:r>
      <w:r w:rsidR="0093386C" w:rsidRPr="00595884">
        <w:t xml:space="preserve">a further </w:t>
      </w:r>
      <w:r w:rsidR="00305708">
        <w:t>four</w:t>
      </w:r>
      <w:r w:rsidR="00305708" w:rsidRPr="00595884">
        <w:t xml:space="preserve"> </w:t>
      </w:r>
      <w:r w:rsidR="00596281" w:rsidRPr="00595884">
        <w:t>documents being screened</w:t>
      </w:r>
      <w:r w:rsidR="0093386C" w:rsidRPr="00595884">
        <w:t xml:space="preserve"> out</w:t>
      </w:r>
      <w:r w:rsidR="003A1C33" w:rsidRPr="00595884">
        <w:t xml:space="preserve"> on eligibility grounds</w:t>
      </w:r>
      <w:r w:rsidR="0093386C" w:rsidRPr="00595884">
        <w:t xml:space="preserve">. Although the </w:t>
      </w:r>
      <w:r w:rsidR="00305708">
        <w:t>four</w:t>
      </w:r>
      <w:r w:rsidR="00305708" w:rsidRPr="00595884">
        <w:t xml:space="preserve"> </w:t>
      </w:r>
      <w:r w:rsidR="0093386C" w:rsidRPr="00595884">
        <w:t xml:space="preserve">documents were of satisfactory quality, the closer inspection afforded by the full text review </w:t>
      </w:r>
      <w:r w:rsidR="003A1C33" w:rsidRPr="00595884">
        <w:t>led</w:t>
      </w:r>
      <w:r w:rsidR="0093386C" w:rsidRPr="00595884">
        <w:t xml:space="preserve"> to the conclusion that the documents did not adequately address the primary or secondary research questions</w:t>
      </w:r>
      <w:r w:rsidR="007F1300" w:rsidRPr="00595884">
        <w:t xml:space="preserve"> and thus were ineligible for inclusion in the final list of documents for review</w:t>
      </w:r>
      <w:r w:rsidR="0093386C" w:rsidRPr="00595884">
        <w:t>.</w:t>
      </w:r>
      <w:r w:rsidR="00012422" w:rsidRPr="00595884">
        <w:t xml:space="preserve">  The final list of </w:t>
      </w:r>
      <w:r w:rsidR="00305708">
        <w:t>seven</w:t>
      </w:r>
      <w:r w:rsidR="00305708" w:rsidRPr="00595884">
        <w:t xml:space="preserve"> </w:t>
      </w:r>
      <w:r w:rsidR="00012422" w:rsidRPr="00595884">
        <w:t xml:space="preserve">guidelines meeting the </w:t>
      </w:r>
      <w:r w:rsidR="003A1C33" w:rsidRPr="00595884">
        <w:t>eligibility</w:t>
      </w:r>
      <w:r w:rsidR="00012422" w:rsidRPr="00595884">
        <w:t xml:space="preserve"> criteria are shown in </w:t>
      </w:r>
      <w:r w:rsidR="00012422" w:rsidRPr="00595884">
        <w:fldChar w:fldCharType="begin"/>
      </w:r>
      <w:r w:rsidR="00012422" w:rsidRPr="00595884">
        <w:instrText xml:space="preserve"> REF _Ref70947379 \h </w:instrText>
      </w:r>
      <w:r w:rsidR="00012422" w:rsidRPr="00595884">
        <w:fldChar w:fldCharType="separate"/>
      </w:r>
      <w:r w:rsidR="003132AF" w:rsidRPr="00595884">
        <w:t xml:space="preserve">Table </w:t>
      </w:r>
      <w:r w:rsidR="003132AF">
        <w:rPr>
          <w:noProof/>
        </w:rPr>
        <w:t>5</w:t>
      </w:r>
      <w:r w:rsidR="003132AF">
        <w:noBreakHyphen/>
      </w:r>
      <w:r w:rsidR="003132AF">
        <w:rPr>
          <w:noProof/>
        </w:rPr>
        <w:t>1</w:t>
      </w:r>
      <w:r w:rsidR="00012422" w:rsidRPr="00595884">
        <w:fldChar w:fldCharType="end"/>
      </w:r>
      <w:r w:rsidR="00012422" w:rsidRPr="00595884">
        <w:t xml:space="preserve">, Section </w:t>
      </w:r>
      <w:r w:rsidR="00012422" w:rsidRPr="00595884">
        <w:fldChar w:fldCharType="begin"/>
      </w:r>
      <w:r w:rsidR="00012422" w:rsidRPr="00595884">
        <w:instrText xml:space="preserve"> REF _Ref70949326 \r \h </w:instrText>
      </w:r>
      <w:r w:rsidR="00012422" w:rsidRPr="00595884">
        <w:fldChar w:fldCharType="separate"/>
      </w:r>
      <w:r w:rsidR="003132AF">
        <w:t>5.1</w:t>
      </w:r>
      <w:r w:rsidR="00012422" w:rsidRPr="00595884">
        <w:fldChar w:fldCharType="end"/>
      </w:r>
      <w:r w:rsidR="00012422" w:rsidRPr="00595884">
        <w:t>.</w:t>
      </w:r>
      <w:r w:rsidR="007F1300" w:rsidRPr="00595884">
        <w:t xml:space="preserve">  </w:t>
      </w:r>
      <w:r w:rsidRPr="00595884">
        <w:t>The screening process is summarised graphically in</w:t>
      </w:r>
      <w:r w:rsidR="00D95B6A" w:rsidRPr="00595884">
        <w:t xml:space="preserve"> </w:t>
      </w:r>
      <w:r w:rsidR="00D95B6A" w:rsidRPr="00595884">
        <w:fldChar w:fldCharType="begin"/>
      </w:r>
      <w:r w:rsidR="00D95B6A" w:rsidRPr="00595884">
        <w:instrText xml:space="preserve"> REF _Ref70951831 \h </w:instrText>
      </w:r>
      <w:r w:rsidR="00D95B6A" w:rsidRPr="00595884">
        <w:fldChar w:fldCharType="separate"/>
      </w:r>
      <w:r w:rsidR="003132AF" w:rsidRPr="00595884">
        <w:t xml:space="preserve">Figure </w:t>
      </w:r>
      <w:r w:rsidR="003132AF">
        <w:rPr>
          <w:noProof/>
        </w:rPr>
        <w:t>3</w:t>
      </w:r>
      <w:r w:rsidR="003132AF" w:rsidRPr="00595884">
        <w:noBreakHyphen/>
      </w:r>
      <w:r w:rsidR="003132AF">
        <w:rPr>
          <w:noProof/>
        </w:rPr>
        <w:t>1</w:t>
      </w:r>
      <w:r w:rsidR="00D95B6A" w:rsidRPr="00595884">
        <w:fldChar w:fldCharType="end"/>
      </w:r>
      <w:r w:rsidR="00D95B6A" w:rsidRPr="00595884">
        <w:t>.</w:t>
      </w:r>
    </w:p>
    <w:p w14:paraId="6D11AF4D" w14:textId="77777777" w:rsidR="007F1300" w:rsidRPr="00595884" w:rsidRDefault="00274BC6" w:rsidP="007F1300">
      <w:pPr>
        <w:pStyle w:val="Heading2"/>
      </w:pPr>
      <w:bookmarkStart w:id="289" w:name="_Toc106811131"/>
      <w:r w:rsidRPr="00595884">
        <w:t>Primary studies</w:t>
      </w:r>
      <w:bookmarkEnd w:id="289"/>
    </w:p>
    <w:p w14:paraId="5A7F21AB" w14:textId="7CCBA0A1" w:rsidR="007F1300" w:rsidRPr="00595884" w:rsidRDefault="00274BC6" w:rsidP="007F1300">
      <w:r w:rsidRPr="00595884">
        <w:t xml:space="preserve">Search results by database </w:t>
      </w:r>
      <w:r w:rsidR="005D3D0D" w:rsidRPr="00595884">
        <w:t xml:space="preserve">initially </w:t>
      </w:r>
      <w:r w:rsidRPr="00595884">
        <w:t>yielded 3523 citations</w:t>
      </w:r>
      <w:r w:rsidR="00B7530C">
        <w:t>.</w:t>
      </w:r>
      <w:r w:rsidRPr="00595884">
        <w:t xml:space="preserve"> </w:t>
      </w:r>
      <w:r w:rsidR="00B7530C">
        <w:t>A</w:t>
      </w:r>
      <w:r w:rsidRPr="00595884">
        <w:t>fter removal of duplicates within each database (i.e. Scopus, Web of Science, PubMed) this number was reduced to 2486 citations.  After combining the lists, further removal of citations that were duplicated between the databases brought the number of citations down to 1769. Initial duplicate filtering focussed on easy</w:t>
      </w:r>
      <w:r w:rsidR="005D3D0D">
        <w:t>-</w:t>
      </w:r>
      <w:r w:rsidRPr="00595884">
        <w:t>to</w:t>
      </w:r>
      <w:r w:rsidR="005D3D0D">
        <w:t>-</w:t>
      </w:r>
      <w:r w:rsidRPr="00595884">
        <w:t>detect exact matches whilst later filtering of harder</w:t>
      </w:r>
      <w:r w:rsidR="005D3D0D">
        <w:t>-</w:t>
      </w:r>
      <w:r w:rsidRPr="00595884">
        <w:t>to</w:t>
      </w:r>
      <w:r w:rsidR="005D3D0D">
        <w:t>-</w:t>
      </w:r>
      <w:r w:rsidRPr="00595884">
        <w:t xml:space="preserve">identify non-exact duplicate records was carried out iteratively during the screening process.  After screening, </w:t>
      </w:r>
      <w:r w:rsidR="00305708">
        <w:t>six</w:t>
      </w:r>
      <w:r w:rsidR="00305708" w:rsidRPr="00595884">
        <w:t xml:space="preserve"> </w:t>
      </w:r>
      <w:r w:rsidRPr="00595884">
        <w:t xml:space="preserve">full text articles were assessed for eligibility (see Section </w:t>
      </w:r>
      <w:r w:rsidRPr="00595884">
        <w:fldChar w:fldCharType="begin"/>
      </w:r>
      <w:r w:rsidRPr="00595884">
        <w:instrText xml:space="preserve"> REF _Ref71819937 \r \h </w:instrText>
      </w:r>
      <w:r w:rsidRPr="00595884">
        <w:fldChar w:fldCharType="separate"/>
      </w:r>
      <w:r w:rsidR="003132AF">
        <w:t>4.2</w:t>
      </w:r>
      <w:r w:rsidRPr="00595884">
        <w:fldChar w:fldCharType="end"/>
      </w:r>
      <w:r w:rsidRPr="00595884">
        <w:t xml:space="preserve">) of which </w:t>
      </w:r>
      <w:r w:rsidR="00305708">
        <w:t>three</w:t>
      </w:r>
      <w:r w:rsidR="00305708" w:rsidRPr="00595884">
        <w:t xml:space="preserve"> </w:t>
      </w:r>
      <w:r w:rsidRPr="00595884">
        <w:t xml:space="preserve">were excluded </w:t>
      </w:r>
      <w:proofErr w:type="gramStart"/>
      <w:r w:rsidRPr="00595884">
        <w:t xml:space="preserve">on </w:t>
      </w:r>
      <w:r w:rsidR="00305708">
        <w:t>the basis of</w:t>
      </w:r>
      <w:proofErr w:type="gramEnd"/>
      <w:r w:rsidR="00305708">
        <w:t xml:space="preserve"> quality and relevance</w:t>
      </w:r>
      <w:r w:rsidRPr="00595884">
        <w:t xml:space="preserve">. A description of the stepwise screening process is summarised graphically in </w:t>
      </w:r>
      <w:r w:rsidRPr="00595884">
        <w:fldChar w:fldCharType="begin"/>
      </w:r>
      <w:r w:rsidRPr="00595884">
        <w:instrText xml:space="preserve"> REF _Ref70940740 \h </w:instrText>
      </w:r>
      <w:r w:rsidRPr="00595884">
        <w:fldChar w:fldCharType="separate"/>
      </w:r>
      <w:r w:rsidR="003132AF" w:rsidRPr="00595884">
        <w:t xml:space="preserve">Figure </w:t>
      </w:r>
      <w:r w:rsidR="003132AF">
        <w:rPr>
          <w:noProof/>
        </w:rPr>
        <w:t>3</w:t>
      </w:r>
      <w:r w:rsidR="003132AF" w:rsidRPr="00595884">
        <w:noBreakHyphen/>
      </w:r>
      <w:r w:rsidR="003132AF">
        <w:rPr>
          <w:noProof/>
        </w:rPr>
        <w:t>2</w:t>
      </w:r>
      <w:r w:rsidRPr="00595884">
        <w:fldChar w:fldCharType="end"/>
      </w:r>
      <w:r w:rsidRPr="00595884">
        <w:t xml:space="preserve">. </w:t>
      </w:r>
    </w:p>
    <w:p w14:paraId="710522B7" w14:textId="77777777" w:rsidR="007F1300" w:rsidRPr="00595884" w:rsidRDefault="007F1300" w:rsidP="0079773D"/>
    <w:p w14:paraId="1CCB3D91" w14:textId="529F658E" w:rsidR="0093386C" w:rsidRPr="00595884" w:rsidRDefault="00274BC6" w:rsidP="00D95B6A">
      <w:r w:rsidRPr="00F95F63">
        <w:rPr>
          <w:noProof/>
        </w:rPr>
        <w:drawing>
          <wp:inline distT="0" distB="0" distL="0" distR="0" wp14:anchorId="7E00CC8E" wp14:editId="7FB45BEB">
            <wp:extent cx="4859655" cy="66389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9"/>
                    <a:stretch>
                      <a:fillRect/>
                    </a:stretch>
                  </pic:blipFill>
                  <pic:spPr>
                    <a:xfrm>
                      <a:off x="0" y="0"/>
                      <a:ext cx="4859655" cy="6638925"/>
                    </a:xfrm>
                    <a:prstGeom prst="rect">
                      <a:avLst/>
                    </a:prstGeom>
                  </pic:spPr>
                </pic:pic>
              </a:graphicData>
            </a:graphic>
          </wp:inline>
        </w:drawing>
      </w:r>
    </w:p>
    <w:p w14:paraId="11AB7C77" w14:textId="0911BFB8" w:rsidR="00D95B6A" w:rsidRPr="00595884" w:rsidRDefault="00274BC6" w:rsidP="00A413FE">
      <w:pPr>
        <w:pStyle w:val="Caption"/>
        <w:spacing w:before="0" w:after="0" w:line="240" w:lineRule="auto"/>
      </w:pPr>
      <w:bookmarkStart w:id="290" w:name="_Ref70951831"/>
      <w:bookmarkStart w:id="291" w:name="_Toc71717476"/>
      <w:bookmarkStart w:id="292" w:name="_Toc106811185"/>
      <w:r w:rsidRPr="00595884">
        <w:t xml:space="preserve">Figure </w:t>
      </w:r>
      <w:r w:rsidR="002457D1">
        <w:fldChar w:fldCharType="begin"/>
      </w:r>
      <w:r>
        <w:instrText xml:space="preserve"> STYLEREF 1 \s </w:instrText>
      </w:r>
      <w:r w:rsidR="002457D1">
        <w:fldChar w:fldCharType="separate"/>
      </w:r>
      <w:r w:rsidR="003132AF">
        <w:rPr>
          <w:noProof/>
        </w:rPr>
        <w:t>3</w:t>
      </w:r>
      <w:r w:rsidR="002457D1">
        <w:rPr>
          <w:noProof/>
        </w:rPr>
        <w:fldChar w:fldCharType="end"/>
      </w:r>
      <w:r w:rsidRPr="00595884">
        <w:noBreakHyphen/>
      </w:r>
      <w:r w:rsidR="002457D1">
        <w:fldChar w:fldCharType="begin"/>
      </w:r>
      <w:r>
        <w:instrText xml:space="preserve"> SEQ Figure \* ARABIC \s 1 </w:instrText>
      </w:r>
      <w:r w:rsidR="002457D1">
        <w:fldChar w:fldCharType="separate"/>
      </w:r>
      <w:r w:rsidR="003132AF">
        <w:rPr>
          <w:noProof/>
        </w:rPr>
        <w:t>1</w:t>
      </w:r>
      <w:r w:rsidR="002457D1">
        <w:rPr>
          <w:noProof/>
        </w:rPr>
        <w:fldChar w:fldCharType="end"/>
      </w:r>
      <w:bookmarkEnd w:id="290"/>
      <w:r w:rsidRPr="00595884">
        <w:t xml:space="preserve">.  PRISMA summary of the citation review process for </w:t>
      </w:r>
      <w:r w:rsidR="00F97FB8">
        <w:t>g</w:t>
      </w:r>
      <w:r w:rsidR="008A58F8" w:rsidRPr="00595884">
        <w:t>uidelines</w:t>
      </w:r>
      <w:bookmarkEnd w:id="291"/>
      <w:bookmarkEnd w:id="292"/>
    </w:p>
    <w:p w14:paraId="26601171" w14:textId="3A4997DD" w:rsidR="00FC5763" w:rsidRPr="00595884" w:rsidRDefault="00274BC6" w:rsidP="00FC5763">
      <w:pPr>
        <w:keepNext/>
      </w:pPr>
      <w:r w:rsidRPr="00595884">
        <w:t xml:space="preserve">.  </w:t>
      </w:r>
      <w:r w:rsidR="008B455D" w:rsidRPr="008B455D">
        <w:rPr>
          <w:noProof/>
        </w:rPr>
        <w:drawing>
          <wp:inline distT="0" distB="0" distL="0" distR="0" wp14:anchorId="45373BC9" wp14:editId="72FD59C5">
            <wp:extent cx="4859655" cy="66306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20"/>
                    <a:stretch>
                      <a:fillRect/>
                    </a:stretch>
                  </pic:blipFill>
                  <pic:spPr>
                    <a:xfrm>
                      <a:off x="0" y="0"/>
                      <a:ext cx="4859655" cy="6630670"/>
                    </a:xfrm>
                    <a:prstGeom prst="rect">
                      <a:avLst/>
                    </a:prstGeom>
                  </pic:spPr>
                </pic:pic>
              </a:graphicData>
            </a:graphic>
          </wp:inline>
        </w:drawing>
      </w:r>
    </w:p>
    <w:p w14:paraId="4E89F404" w14:textId="25CC0A26" w:rsidR="00FC5763" w:rsidRPr="00595884" w:rsidRDefault="00274BC6" w:rsidP="00FC5763">
      <w:pPr>
        <w:pStyle w:val="Caption"/>
      </w:pPr>
      <w:bookmarkStart w:id="293" w:name="_Ref70940740"/>
      <w:bookmarkStart w:id="294" w:name="_Toc71717477"/>
      <w:bookmarkStart w:id="295" w:name="_Toc106811186"/>
      <w:r w:rsidRPr="00595884">
        <w:t xml:space="preserve">Figure </w:t>
      </w:r>
      <w:r w:rsidR="002457D1">
        <w:fldChar w:fldCharType="begin"/>
      </w:r>
      <w:r>
        <w:instrText xml:space="preserve"> STYLEREF 1 \s </w:instrText>
      </w:r>
      <w:r w:rsidR="002457D1">
        <w:fldChar w:fldCharType="separate"/>
      </w:r>
      <w:r w:rsidR="003132AF">
        <w:rPr>
          <w:noProof/>
        </w:rPr>
        <w:t>3</w:t>
      </w:r>
      <w:r w:rsidR="002457D1">
        <w:rPr>
          <w:noProof/>
        </w:rPr>
        <w:fldChar w:fldCharType="end"/>
      </w:r>
      <w:r w:rsidRPr="00595884">
        <w:noBreakHyphen/>
      </w:r>
      <w:r w:rsidR="002457D1">
        <w:fldChar w:fldCharType="begin"/>
      </w:r>
      <w:r>
        <w:instrText xml:space="preserve"> SEQ Figure \* ARABIC \s 1 </w:instrText>
      </w:r>
      <w:r w:rsidR="002457D1">
        <w:fldChar w:fldCharType="separate"/>
      </w:r>
      <w:r w:rsidR="003132AF">
        <w:rPr>
          <w:noProof/>
        </w:rPr>
        <w:t>2</w:t>
      </w:r>
      <w:r w:rsidR="002457D1">
        <w:rPr>
          <w:noProof/>
        </w:rPr>
        <w:fldChar w:fldCharType="end"/>
      </w:r>
      <w:bookmarkEnd w:id="293"/>
      <w:r w:rsidRPr="00595884">
        <w:t xml:space="preserve">.  </w:t>
      </w:r>
      <w:bookmarkStart w:id="296" w:name="_Hlk70951131"/>
      <w:r w:rsidRPr="00595884">
        <w:t xml:space="preserve">PRISMA summary of the citation review process for </w:t>
      </w:r>
      <w:r w:rsidR="00E02706">
        <w:t>p</w:t>
      </w:r>
      <w:r w:rsidR="00E02706" w:rsidRPr="00595884">
        <w:t xml:space="preserve">rimary </w:t>
      </w:r>
      <w:r w:rsidR="00E02706">
        <w:t>s</w:t>
      </w:r>
      <w:r w:rsidR="00F03193" w:rsidRPr="00595884">
        <w:t>tudies</w:t>
      </w:r>
      <w:bookmarkEnd w:id="294"/>
      <w:bookmarkEnd w:id="295"/>
      <w:bookmarkEnd w:id="296"/>
    </w:p>
    <w:p w14:paraId="2107EC33" w14:textId="4AEA027F" w:rsidR="00F35595" w:rsidRPr="00595884" w:rsidRDefault="00274BC6" w:rsidP="00F35595">
      <w:r w:rsidRPr="00595884">
        <w:t xml:space="preserve">Despite the large number of studies screened, there were few citations relevant to the primary and secondary research questions.  This reflected a general paucity of published research on the risk </w:t>
      </w:r>
      <w:r w:rsidR="002908A8" w:rsidRPr="00595884">
        <w:t xml:space="preserve">to recreational water quality </w:t>
      </w:r>
      <w:r w:rsidRPr="00595884">
        <w:t>posed by chemical hazards</w:t>
      </w:r>
      <w:r w:rsidR="002908A8">
        <w:t>.</w:t>
      </w:r>
      <w:r w:rsidRPr="00595884">
        <w:t xml:space="preserve"> </w:t>
      </w:r>
      <w:r w:rsidR="002908A8">
        <w:t>This</w:t>
      </w:r>
      <w:r w:rsidRPr="00595884">
        <w:t xml:space="preserve"> is most likely due to the generally greater relative risks posed by microb</w:t>
      </w:r>
      <w:r w:rsidR="005D3D0D">
        <w:t>iological</w:t>
      </w:r>
      <w:r w:rsidRPr="00595884">
        <w:t xml:space="preserve"> pathogens in such environments. </w:t>
      </w:r>
    </w:p>
    <w:p w14:paraId="14F0F8CF" w14:textId="77777777" w:rsidR="005B5AEC" w:rsidRPr="00595884" w:rsidRDefault="005B5AEC" w:rsidP="00F35595"/>
    <w:p w14:paraId="7E6BF637" w14:textId="72A432F6" w:rsidR="00DE7DC7" w:rsidRPr="00595884" w:rsidRDefault="00274BC6" w:rsidP="005B5AEC">
      <w:pPr>
        <w:pStyle w:val="Heading1"/>
        <w:pageBreakBefore w:val="0"/>
      </w:pPr>
      <w:bookmarkStart w:id="297" w:name="_Toc106811132"/>
      <w:r w:rsidRPr="00595884">
        <w:t>Quality of evidence</w:t>
      </w:r>
      <w:bookmarkEnd w:id="297"/>
    </w:p>
    <w:p w14:paraId="6C716196" w14:textId="0E6EAF29" w:rsidR="00823F91" w:rsidRPr="00595884" w:rsidRDefault="00274BC6" w:rsidP="00D95B6A">
      <w:pPr>
        <w:pStyle w:val="Heading2"/>
      </w:pPr>
      <w:bookmarkStart w:id="298" w:name="_Toc106811133"/>
      <w:r>
        <w:t>Existing g</w:t>
      </w:r>
      <w:r w:rsidRPr="00595884">
        <w:t>uidelines</w:t>
      </w:r>
      <w:bookmarkEnd w:id="298"/>
    </w:p>
    <w:p w14:paraId="732DC064" w14:textId="7D9013DF" w:rsidR="00823F91" w:rsidRPr="00595884" w:rsidRDefault="00274BC6" w:rsidP="00823F91">
      <w:pPr>
        <w:pStyle w:val="Heading3"/>
      </w:pPr>
      <w:bookmarkStart w:id="299" w:name="_Toc106811134"/>
      <w:r w:rsidRPr="00595884">
        <w:t>Quality</w:t>
      </w:r>
      <w:r w:rsidR="0093386C" w:rsidRPr="00595884">
        <w:t xml:space="preserve"> of included guidelines</w:t>
      </w:r>
      <w:bookmarkEnd w:id="299"/>
    </w:p>
    <w:p w14:paraId="3055D48C" w14:textId="2FB7E668" w:rsidR="00F90905" w:rsidRPr="00F90905" w:rsidRDefault="00CD2A88" w:rsidP="0093386C">
      <w:pPr>
        <w:rPr>
          <w:rFonts w:ascii="Times New Roman" w:hAnsi="Times New Roman"/>
          <w:sz w:val="24"/>
        </w:rPr>
      </w:pPr>
      <w:r>
        <w:t>Out of 11 guideline documents identified from the literature search or suggested by the Committee, seven were found to be relevant to answering the research questions and included in the final synthesis. They were also found suitable for potential adoption/adaption based on their administrative and technical processes</w:t>
      </w:r>
      <w:r w:rsidR="00CE064A">
        <w:t xml:space="preserve"> (</w:t>
      </w:r>
      <w:r w:rsidR="00CE064A">
        <w:fldChar w:fldCharType="begin"/>
      </w:r>
      <w:r w:rsidR="00CE064A">
        <w:instrText xml:space="preserve"> REF _Ref106807524 \h </w:instrText>
      </w:r>
      <w:r w:rsidR="00CE064A">
        <w:fldChar w:fldCharType="separate"/>
      </w:r>
      <w:r w:rsidR="003132AF">
        <w:t>Table</w:t>
      </w:r>
      <w:r w:rsidR="00CE064A">
        <w:fldChar w:fldCharType="end"/>
      </w:r>
      <w:r w:rsidR="00CE064A">
        <w:t xml:space="preserve"> 4.1). </w:t>
      </w:r>
      <w:r w:rsidR="00C76541">
        <w:t xml:space="preserve"> </w:t>
      </w:r>
      <w:r w:rsidR="00F90905">
        <w:t>Full details on the c</w:t>
      </w:r>
      <w:r w:rsidR="00274BC6" w:rsidRPr="00595884">
        <w:t xml:space="preserve">ompleted quality assessment forms for the </w:t>
      </w:r>
      <w:r w:rsidR="00305708">
        <w:t>seven</w:t>
      </w:r>
      <w:r w:rsidR="000E2305">
        <w:t xml:space="preserve"> </w:t>
      </w:r>
      <w:r w:rsidR="00305DB6" w:rsidRPr="00595884">
        <w:t xml:space="preserve">guideline documents considered eligible for inclusion in the final </w:t>
      </w:r>
      <w:r w:rsidR="00274BC6" w:rsidRPr="00595884">
        <w:t>synthesis</w:t>
      </w:r>
      <w:r w:rsidR="00305DB6" w:rsidRPr="00595884">
        <w:t xml:space="preserve"> </w:t>
      </w:r>
      <w:r w:rsidR="00274BC6" w:rsidRPr="00595884">
        <w:t xml:space="preserve">can be found in Section 5 of the Technical Report. </w:t>
      </w:r>
    </w:p>
    <w:p w14:paraId="50929FD9" w14:textId="0B22A20A" w:rsidR="0093386C" w:rsidRDefault="00274BC6" w:rsidP="0093386C">
      <w:r w:rsidRPr="00595884">
        <w:t>When measured for compliance with the</w:t>
      </w:r>
      <w:r w:rsidR="00F90905">
        <w:t xml:space="preserve"> administrative and technical</w:t>
      </w:r>
      <w:r w:rsidRPr="00595884">
        <w:t xml:space="preserve"> assessment criteria</w:t>
      </w:r>
      <w:r w:rsidR="00F90905">
        <w:t xml:space="preserve"> outlined in the assessment tool</w:t>
      </w:r>
      <w:r w:rsidR="006E74D3" w:rsidRPr="00595884">
        <w:t>,</w:t>
      </w:r>
      <w:r w:rsidRPr="00595884">
        <w:t xml:space="preserve"> the overall quality of the body of literature was </w:t>
      </w:r>
      <w:r w:rsidR="00F90905">
        <w:t>limited with respect to methodological quality. This</w:t>
      </w:r>
      <w:r w:rsidRPr="00595884">
        <w:t xml:space="preserve"> reflects the lack of </w:t>
      </w:r>
      <w:r w:rsidR="00F90905">
        <w:t>appropriate methods and limited data available</w:t>
      </w:r>
      <w:r w:rsidR="006E74D3" w:rsidRPr="00595884">
        <w:t xml:space="preserve"> with respect to chemical hazards and recreational water quality.  </w:t>
      </w:r>
      <w:r w:rsidR="007345A4">
        <w:t>T</w:t>
      </w:r>
      <w:r w:rsidR="006E74D3" w:rsidRPr="00595884">
        <w:t xml:space="preserve">his lack of evidence was also apparent in the </w:t>
      </w:r>
      <w:r w:rsidR="00E02706">
        <w:t>p</w:t>
      </w:r>
      <w:r w:rsidR="00833AA5" w:rsidRPr="00595884">
        <w:t xml:space="preserve">rimary </w:t>
      </w:r>
      <w:r w:rsidR="00E02706">
        <w:t>s</w:t>
      </w:r>
      <w:r w:rsidR="00833AA5" w:rsidRPr="00595884">
        <w:t xml:space="preserve">tudies </w:t>
      </w:r>
      <w:r w:rsidR="006E74D3" w:rsidRPr="00595884">
        <w:t xml:space="preserve">since such studies </w:t>
      </w:r>
      <w:r w:rsidR="009E0DD2" w:rsidRPr="00595884">
        <w:t xml:space="preserve">would </w:t>
      </w:r>
      <w:r w:rsidR="006E74D3" w:rsidRPr="00595884">
        <w:t xml:space="preserve">normally inform the development of guideline literature.  As noted earlier, due to the paucity of </w:t>
      </w:r>
      <w:r w:rsidR="009E0DD2" w:rsidRPr="00595884">
        <w:t>high-quality</w:t>
      </w:r>
      <w:r w:rsidR="006E74D3" w:rsidRPr="00595884">
        <w:t xml:space="preserve"> guideline documentation, it was necessary to weight the threshold for inclusion slightly more in favour of including documents than excluding such documents</w:t>
      </w:r>
      <w:r w:rsidR="002908A8">
        <w:t>.</w:t>
      </w:r>
      <w:r w:rsidR="00DA2FFB" w:rsidRPr="00595884">
        <w:t xml:space="preserve"> </w:t>
      </w:r>
      <w:r w:rsidR="002908A8">
        <w:t xml:space="preserve">This was </w:t>
      </w:r>
      <w:r w:rsidR="00DA2FFB" w:rsidRPr="00595884">
        <w:t xml:space="preserve">to provide sufficient material for a synthesis of the available evidence, albeit a limited base of evidence.  This approach was considered appropriate for the assessment of </w:t>
      </w:r>
      <w:r w:rsidR="00A1756C">
        <w:t>existing g</w:t>
      </w:r>
      <w:r w:rsidR="00DA2FFB" w:rsidRPr="00595884">
        <w:t xml:space="preserve">uidelines, since such documents represent the best available guidance at a national or international level, despite their apparent limitations. </w:t>
      </w:r>
    </w:p>
    <w:p w14:paraId="2755604E" w14:textId="77777777" w:rsidR="00EC7E04" w:rsidRDefault="00EC7E04" w:rsidP="0093386C">
      <w:pPr>
        <w:sectPr w:rsidR="00EC7E04" w:rsidSect="00111E63">
          <w:headerReference w:type="default" r:id="rId21"/>
          <w:footerReference w:type="default" r:id="rId22"/>
          <w:pgSz w:w="11906" w:h="16838"/>
          <w:pgMar w:top="1588" w:right="1418" w:bottom="1418" w:left="2835" w:header="680" w:footer="709" w:gutter="0"/>
          <w:cols w:space="708"/>
          <w:titlePg/>
          <w:docGrid w:linePitch="360"/>
        </w:sectPr>
      </w:pPr>
    </w:p>
    <w:p w14:paraId="5E6586E2" w14:textId="74AC33F5" w:rsidR="000E2305" w:rsidRPr="000E2305" w:rsidRDefault="00CE064A" w:rsidP="005B6ACD">
      <w:pPr>
        <w:pStyle w:val="Caption"/>
        <w:rPr>
          <w:i w:val="0"/>
          <w:szCs w:val="18"/>
          <w:shd w:val="clear" w:color="auto" w:fill="C2D69B" w:themeFill="accent3" w:themeFillTint="99"/>
        </w:rPr>
      </w:pPr>
      <w:bookmarkStart w:id="300" w:name="_Ref106807524"/>
      <w:bookmarkStart w:id="301" w:name="_Toc95148082"/>
      <w:bookmarkStart w:id="302" w:name="_Toc106811171"/>
      <w:r>
        <w:t>Table</w:t>
      </w:r>
      <w:bookmarkEnd w:id="300"/>
      <w:r>
        <w:t xml:space="preserve"> </w:t>
      </w:r>
      <w:r w:rsidR="003132AF">
        <w:fldChar w:fldCharType="begin"/>
      </w:r>
      <w:r w:rsidR="003132AF">
        <w:instrText xml:space="preserve"> STYLEREF 1 \s </w:instrText>
      </w:r>
      <w:r w:rsidR="003132AF">
        <w:fldChar w:fldCharType="separate"/>
      </w:r>
      <w:r w:rsidR="003132AF">
        <w:rPr>
          <w:noProof/>
        </w:rPr>
        <w:t>4</w:t>
      </w:r>
      <w:r w:rsidR="003132AF">
        <w:rPr>
          <w:noProof/>
        </w:rPr>
        <w:fldChar w:fldCharType="end"/>
      </w:r>
      <w:r>
        <w:noBreakHyphen/>
      </w:r>
      <w:r w:rsidR="003132AF">
        <w:fldChar w:fldCharType="begin"/>
      </w:r>
      <w:r w:rsidR="003132AF">
        <w:instrText xml:space="preserve"> SEQ Table \* ARABIC \s 1 </w:instrText>
      </w:r>
      <w:r w:rsidR="003132AF">
        <w:fldChar w:fldCharType="separate"/>
      </w:r>
      <w:r w:rsidR="003132AF">
        <w:rPr>
          <w:noProof/>
        </w:rPr>
        <w:t>1</w:t>
      </w:r>
      <w:r w:rsidR="003132AF">
        <w:rPr>
          <w:noProof/>
        </w:rPr>
        <w:fldChar w:fldCharType="end"/>
      </w:r>
      <w:r>
        <w:t xml:space="preserve">. </w:t>
      </w:r>
      <w:r w:rsidR="000E2305" w:rsidRPr="000E2305">
        <w:t xml:space="preserve">Form for administrative and technical criteria for assessing existing guidance or reviews. </w:t>
      </w:r>
      <w:r w:rsidR="000E2305" w:rsidRPr="000E2305">
        <w:rPr>
          <w:szCs w:val="18"/>
        </w:rPr>
        <w:t xml:space="preserve">Criteria have been colour-coded to assess minimum requirements as follows: </w:t>
      </w:r>
      <w:r w:rsidR="000E2305" w:rsidRPr="000E2305">
        <w:rPr>
          <w:szCs w:val="18"/>
          <w:shd w:val="clear" w:color="auto" w:fill="92D050"/>
        </w:rPr>
        <w:t>‘Must have’</w:t>
      </w:r>
      <w:r w:rsidR="000E2305" w:rsidRPr="000E2305">
        <w:rPr>
          <w:szCs w:val="18"/>
        </w:rPr>
        <w:t xml:space="preserve">, </w:t>
      </w:r>
      <w:r w:rsidR="000E2305" w:rsidRPr="000E2305">
        <w:rPr>
          <w:szCs w:val="18"/>
          <w:shd w:val="clear" w:color="auto" w:fill="FFFF00"/>
        </w:rPr>
        <w:t>‘Should have’</w:t>
      </w:r>
      <w:r w:rsidR="000E2305" w:rsidRPr="000E2305">
        <w:rPr>
          <w:szCs w:val="18"/>
        </w:rPr>
        <w:t xml:space="preserve"> or </w:t>
      </w:r>
      <w:r w:rsidR="000E2305" w:rsidRPr="000E2305">
        <w:rPr>
          <w:szCs w:val="18"/>
          <w:shd w:val="clear" w:color="auto" w:fill="BFBFBF" w:themeFill="background1" w:themeFillShade="BF"/>
        </w:rPr>
        <w:t>‘</w:t>
      </w:r>
      <w:r w:rsidR="000E2305" w:rsidRPr="000E2305">
        <w:rPr>
          <w:szCs w:val="18"/>
          <w:shd w:val="clear" w:color="auto" w:fill="92CDDC" w:themeFill="accent5" w:themeFillTint="99"/>
        </w:rPr>
        <w:t xml:space="preserve">May have’. </w:t>
      </w:r>
      <w:r w:rsidR="000E2305" w:rsidRPr="000E2305">
        <w:rPr>
          <w:szCs w:val="18"/>
        </w:rPr>
        <w:t>Y, N, n/</w:t>
      </w:r>
      <w:proofErr w:type="gramStart"/>
      <w:r w:rsidR="000E2305" w:rsidRPr="000E2305">
        <w:rPr>
          <w:szCs w:val="18"/>
        </w:rPr>
        <w:t>a  =</w:t>
      </w:r>
      <w:proofErr w:type="gramEnd"/>
      <w:r w:rsidR="000E2305" w:rsidRPr="000E2305">
        <w:rPr>
          <w:szCs w:val="18"/>
        </w:rPr>
        <w:t>Yes, N</w:t>
      </w:r>
      <w:r w:rsidR="009B3CDF">
        <w:rPr>
          <w:szCs w:val="18"/>
        </w:rPr>
        <w:t>o</w:t>
      </w:r>
      <w:r w:rsidR="000E2305" w:rsidRPr="000E2305">
        <w:rPr>
          <w:szCs w:val="18"/>
        </w:rPr>
        <w:t xml:space="preserve"> or Not Applicable.</w:t>
      </w:r>
      <w:bookmarkEnd w:id="301"/>
      <w:r w:rsidR="000E2305" w:rsidRPr="000E2305">
        <w:rPr>
          <w:szCs w:val="18"/>
        </w:rPr>
        <w:t xml:space="preserve"> Individual assessments are available in the Technical Report (O’Connor 2022).</w:t>
      </w:r>
      <w:bookmarkEnd w:id="302"/>
      <w:r w:rsidR="000212D1">
        <w:rPr>
          <w:i w:val="0"/>
          <w:szCs w:val="18"/>
        </w:rPr>
        <w:t xml:space="preserve"> </w:t>
      </w:r>
    </w:p>
    <w:tbl>
      <w:tblPr>
        <w:tblStyle w:val="TableGrid"/>
        <w:tblW w:w="5437" w:type="pct"/>
        <w:tblInd w:w="-157" w:type="dxa"/>
        <w:tblBorders>
          <w:top w:val="single" w:sz="12" w:space="0" w:color="B5DDDC"/>
          <w:left w:val="single" w:sz="12" w:space="0" w:color="B5DDDC"/>
          <w:bottom w:val="single" w:sz="12" w:space="0" w:color="B5DDDC"/>
          <w:right w:val="single" w:sz="12" w:space="0" w:color="B5DDDC"/>
          <w:insideH w:val="single" w:sz="12" w:space="0" w:color="B5DDDC"/>
          <w:insideV w:val="single" w:sz="12" w:space="0" w:color="B5DDDC"/>
        </w:tblBorders>
        <w:tblCellMar>
          <w:left w:w="57" w:type="dxa"/>
          <w:right w:w="57" w:type="dxa"/>
        </w:tblCellMar>
        <w:tblLook w:val="04A0" w:firstRow="1" w:lastRow="0" w:firstColumn="1" w:lastColumn="0" w:noHBand="0" w:noVBand="1"/>
      </w:tblPr>
      <w:tblGrid>
        <w:gridCol w:w="508"/>
        <w:gridCol w:w="6881"/>
        <w:gridCol w:w="697"/>
        <w:gridCol w:w="697"/>
        <w:gridCol w:w="696"/>
        <w:gridCol w:w="696"/>
        <w:gridCol w:w="696"/>
        <w:gridCol w:w="696"/>
        <w:gridCol w:w="696"/>
        <w:gridCol w:w="696"/>
        <w:gridCol w:w="696"/>
        <w:gridCol w:w="696"/>
        <w:gridCol w:w="657"/>
      </w:tblGrid>
      <w:tr w:rsidR="006110F6" w:rsidRPr="000E2305" w14:paraId="7E9B47A1" w14:textId="77777777" w:rsidTr="000212D1">
        <w:trPr>
          <w:cantSplit/>
          <w:tblHeader/>
        </w:trPr>
        <w:tc>
          <w:tcPr>
            <w:tcW w:w="2461" w:type="pct"/>
            <w:gridSpan w:val="2"/>
            <w:tcBorders>
              <w:top w:val="single" w:sz="12" w:space="0" w:color="B5DDDC"/>
              <w:left w:val="single" w:sz="12" w:space="0" w:color="B5DDDC"/>
              <w:bottom w:val="nil"/>
              <w:right w:val="single" w:sz="12" w:space="0" w:color="B5DDDC"/>
            </w:tcBorders>
            <w:shd w:val="clear" w:color="auto" w:fill="B5DDDC"/>
            <w:vAlign w:val="center"/>
          </w:tcPr>
          <w:p w14:paraId="34FC5C30" w14:textId="77777777" w:rsidR="000E2305" w:rsidRPr="000E2305" w:rsidRDefault="000E2305" w:rsidP="000E2305">
            <w:pPr>
              <w:spacing w:line="240" w:lineRule="auto"/>
              <w:jc w:val="center"/>
              <w:rPr>
                <w:rFonts w:asciiTheme="minorHAnsi" w:hAnsiTheme="minorHAnsi" w:cstheme="minorHAnsi"/>
                <w:color w:val="008000"/>
                <w:sz w:val="16"/>
                <w:szCs w:val="16"/>
                <w:vertAlign w:val="superscript"/>
              </w:rPr>
            </w:pPr>
            <w:r w:rsidRPr="000E2305">
              <w:rPr>
                <w:rFonts w:asciiTheme="minorHAnsi" w:hAnsiTheme="minorHAnsi" w:cstheme="minorHAnsi"/>
                <w:b/>
                <w:color w:val="008000"/>
                <w:sz w:val="16"/>
                <w:szCs w:val="16"/>
              </w:rPr>
              <w:t>Administrative and Technical Criteria</w:t>
            </w:r>
          </w:p>
        </w:tc>
        <w:tc>
          <w:tcPr>
            <w:tcW w:w="232" w:type="pct"/>
            <w:tcBorders>
              <w:top w:val="single" w:sz="12" w:space="0" w:color="B5DDDC"/>
              <w:left w:val="single" w:sz="12" w:space="0" w:color="B5DDDC"/>
              <w:bottom w:val="nil"/>
              <w:right w:val="single" w:sz="12" w:space="0" w:color="B5DDDC"/>
            </w:tcBorders>
            <w:shd w:val="clear" w:color="auto" w:fill="B5DDDC"/>
            <w:vAlign w:val="center"/>
          </w:tcPr>
          <w:p w14:paraId="506964B2" w14:textId="0283451D" w:rsidR="000E2305" w:rsidRPr="000E2305" w:rsidRDefault="000E2305" w:rsidP="000E2305">
            <w:pPr>
              <w:spacing w:line="240" w:lineRule="auto"/>
              <w:jc w:val="center"/>
              <w:rPr>
                <w:rFonts w:asciiTheme="minorHAnsi" w:hAnsiTheme="minorHAnsi" w:cstheme="minorHAnsi"/>
                <w:b/>
                <w:color w:val="008000"/>
                <w:sz w:val="16"/>
                <w:szCs w:val="16"/>
              </w:rPr>
            </w:pPr>
            <w:r w:rsidRPr="000E2305">
              <w:rPr>
                <w:rFonts w:asciiTheme="minorHAnsi" w:hAnsiTheme="minorHAnsi" w:cstheme="minorHAnsi"/>
                <w:b/>
                <w:color w:val="008000"/>
                <w:sz w:val="16"/>
                <w:szCs w:val="16"/>
              </w:rPr>
              <w:t>G</w:t>
            </w:r>
            <w:r w:rsidR="00F86833">
              <w:rPr>
                <w:rFonts w:asciiTheme="minorHAnsi" w:hAnsiTheme="minorHAnsi" w:cstheme="minorHAnsi"/>
                <w:b/>
                <w:color w:val="008000"/>
                <w:sz w:val="16"/>
                <w:szCs w:val="16"/>
              </w:rPr>
              <w:t>1</w:t>
            </w:r>
          </w:p>
        </w:tc>
        <w:tc>
          <w:tcPr>
            <w:tcW w:w="232" w:type="pct"/>
            <w:tcBorders>
              <w:top w:val="single" w:sz="12" w:space="0" w:color="B5DDDC"/>
              <w:left w:val="single" w:sz="12" w:space="0" w:color="B5DDDC"/>
              <w:bottom w:val="nil"/>
              <w:right w:val="single" w:sz="12" w:space="0" w:color="B5DDDC"/>
            </w:tcBorders>
            <w:shd w:val="clear" w:color="auto" w:fill="B5DDDC"/>
            <w:vAlign w:val="center"/>
          </w:tcPr>
          <w:p w14:paraId="7648D089" w14:textId="77777777" w:rsidR="000E2305" w:rsidRPr="000E2305" w:rsidRDefault="000E2305" w:rsidP="000E2305">
            <w:pPr>
              <w:spacing w:line="240" w:lineRule="auto"/>
              <w:jc w:val="center"/>
              <w:rPr>
                <w:rFonts w:asciiTheme="minorHAnsi" w:hAnsiTheme="minorHAnsi" w:cstheme="minorHAnsi"/>
                <w:b/>
                <w:color w:val="008000"/>
                <w:sz w:val="16"/>
                <w:szCs w:val="16"/>
              </w:rPr>
            </w:pPr>
            <w:r w:rsidRPr="000E2305">
              <w:rPr>
                <w:rFonts w:asciiTheme="minorHAnsi" w:hAnsiTheme="minorHAnsi" w:cstheme="minorHAnsi"/>
                <w:b/>
                <w:color w:val="008000"/>
                <w:sz w:val="16"/>
                <w:szCs w:val="16"/>
              </w:rPr>
              <w:t>G2</w:t>
            </w:r>
          </w:p>
        </w:tc>
        <w:tc>
          <w:tcPr>
            <w:tcW w:w="232" w:type="pct"/>
            <w:tcBorders>
              <w:top w:val="single" w:sz="12" w:space="0" w:color="B5DDDC"/>
              <w:left w:val="single" w:sz="12" w:space="0" w:color="B5DDDC"/>
              <w:bottom w:val="nil"/>
              <w:right w:val="single" w:sz="12" w:space="0" w:color="B5DDDC"/>
            </w:tcBorders>
            <w:shd w:val="clear" w:color="auto" w:fill="B5DDDC"/>
            <w:vAlign w:val="center"/>
          </w:tcPr>
          <w:p w14:paraId="627509BC" w14:textId="77777777" w:rsidR="000E2305" w:rsidRPr="000E2305" w:rsidRDefault="000E2305" w:rsidP="000E2305">
            <w:pPr>
              <w:spacing w:line="240" w:lineRule="auto"/>
              <w:jc w:val="center"/>
              <w:rPr>
                <w:rFonts w:asciiTheme="minorHAnsi" w:hAnsiTheme="minorHAnsi" w:cstheme="minorHAnsi"/>
                <w:b/>
                <w:color w:val="008000"/>
                <w:sz w:val="16"/>
                <w:szCs w:val="16"/>
              </w:rPr>
            </w:pPr>
            <w:r w:rsidRPr="000E2305">
              <w:rPr>
                <w:rFonts w:asciiTheme="minorHAnsi" w:hAnsiTheme="minorHAnsi" w:cstheme="minorHAnsi"/>
                <w:b/>
                <w:color w:val="008000"/>
                <w:sz w:val="16"/>
                <w:szCs w:val="16"/>
              </w:rPr>
              <w:t>G3</w:t>
            </w:r>
          </w:p>
        </w:tc>
        <w:tc>
          <w:tcPr>
            <w:tcW w:w="232" w:type="pct"/>
            <w:tcBorders>
              <w:top w:val="single" w:sz="12" w:space="0" w:color="B5DDDC"/>
              <w:left w:val="single" w:sz="12" w:space="0" w:color="B5DDDC"/>
              <w:bottom w:val="nil"/>
              <w:right w:val="single" w:sz="12" w:space="0" w:color="B5DDDC"/>
            </w:tcBorders>
            <w:shd w:val="clear" w:color="auto" w:fill="B5DDDC"/>
            <w:vAlign w:val="center"/>
          </w:tcPr>
          <w:p w14:paraId="3F0355C7" w14:textId="77777777" w:rsidR="000E2305" w:rsidRPr="000E2305" w:rsidRDefault="000E2305" w:rsidP="000E2305">
            <w:pPr>
              <w:spacing w:line="240" w:lineRule="auto"/>
              <w:jc w:val="center"/>
              <w:rPr>
                <w:rFonts w:asciiTheme="minorHAnsi" w:hAnsiTheme="minorHAnsi" w:cstheme="minorHAnsi"/>
                <w:b/>
                <w:color w:val="008000"/>
                <w:sz w:val="16"/>
                <w:szCs w:val="16"/>
              </w:rPr>
            </w:pPr>
            <w:r w:rsidRPr="000E2305">
              <w:rPr>
                <w:rFonts w:asciiTheme="minorHAnsi" w:hAnsiTheme="minorHAnsi" w:cstheme="minorHAnsi"/>
                <w:b/>
                <w:color w:val="008000"/>
                <w:sz w:val="16"/>
                <w:szCs w:val="16"/>
              </w:rPr>
              <w:t>G4</w:t>
            </w:r>
          </w:p>
        </w:tc>
        <w:tc>
          <w:tcPr>
            <w:tcW w:w="232" w:type="pct"/>
            <w:tcBorders>
              <w:top w:val="single" w:sz="12" w:space="0" w:color="B5DDDC"/>
              <w:left w:val="single" w:sz="12" w:space="0" w:color="B5DDDC"/>
              <w:bottom w:val="nil"/>
              <w:right w:val="single" w:sz="12" w:space="0" w:color="B5DDDC"/>
            </w:tcBorders>
            <w:shd w:val="clear" w:color="auto" w:fill="B5DDDC"/>
            <w:vAlign w:val="center"/>
          </w:tcPr>
          <w:p w14:paraId="7DFE7D05" w14:textId="77777777" w:rsidR="000E2305" w:rsidRPr="000E2305" w:rsidRDefault="000E2305" w:rsidP="000E2305">
            <w:pPr>
              <w:spacing w:line="240" w:lineRule="auto"/>
              <w:jc w:val="center"/>
              <w:rPr>
                <w:rFonts w:asciiTheme="minorHAnsi" w:hAnsiTheme="minorHAnsi" w:cstheme="minorHAnsi"/>
                <w:b/>
                <w:color w:val="008000"/>
                <w:sz w:val="16"/>
                <w:szCs w:val="16"/>
              </w:rPr>
            </w:pPr>
            <w:r w:rsidRPr="000E2305">
              <w:rPr>
                <w:rFonts w:asciiTheme="minorHAnsi" w:hAnsiTheme="minorHAnsi" w:cstheme="minorHAnsi"/>
                <w:b/>
                <w:color w:val="008000"/>
                <w:sz w:val="16"/>
                <w:szCs w:val="16"/>
              </w:rPr>
              <w:t>G5</w:t>
            </w:r>
          </w:p>
        </w:tc>
        <w:tc>
          <w:tcPr>
            <w:tcW w:w="232" w:type="pct"/>
            <w:tcBorders>
              <w:top w:val="single" w:sz="12" w:space="0" w:color="B5DDDC"/>
              <w:left w:val="single" w:sz="12" w:space="0" w:color="B5DDDC"/>
              <w:bottom w:val="nil"/>
              <w:right w:val="single" w:sz="12" w:space="0" w:color="B5DDDC"/>
            </w:tcBorders>
            <w:shd w:val="clear" w:color="auto" w:fill="B5DDDC"/>
            <w:vAlign w:val="center"/>
          </w:tcPr>
          <w:p w14:paraId="270F1ED5" w14:textId="77777777" w:rsidR="000E2305" w:rsidRPr="000E2305" w:rsidRDefault="000E2305" w:rsidP="000E2305">
            <w:pPr>
              <w:spacing w:line="240" w:lineRule="auto"/>
              <w:jc w:val="center"/>
              <w:rPr>
                <w:rFonts w:asciiTheme="minorHAnsi" w:hAnsiTheme="minorHAnsi" w:cstheme="minorHAnsi"/>
                <w:b/>
                <w:color w:val="008000"/>
                <w:sz w:val="16"/>
                <w:szCs w:val="16"/>
              </w:rPr>
            </w:pPr>
            <w:r w:rsidRPr="000E2305">
              <w:rPr>
                <w:rFonts w:asciiTheme="minorHAnsi" w:hAnsiTheme="minorHAnsi" w:cstheme="minorHAnsi"/>
                <w:b/>
                <w:color w:val="008000"/>
                <w:sz w:val="16"/>
                <w:szCs w:val="16"/>
              </w:rPr>
              <w:t>G6</w:t>
            </w:r>
          </w:p>
        </w:tc>
        <w:tc>
          <w:tcPr>
            <w:tcW w:w="232" w:type="pct"/>
            <w:tcBorders>
              <w:top w:val="single" w:sz="12" w:space="0" w:color="B5DDDC"/>
              <w:left w:val="single" w:sz="12" w:space="0" w:color="B5DDDC"/>
              <w:bottom w:val="nil"/>
              <w:right w:val="single" w:sz="12" w:space="0" w:color="B5DDDC"/>
            </w:tcBorders>
            <w:shd w:val="clear" w:color="auto" w:fill="B5DDDC"/>
            <w:vAlign w:val="center"/>
          </w:tcPr>
          <w:p w14:paraId="0A1E8828" w14:textId="77777777" w:rsidR="000E2305" w:rsidRPr="000E2305" w:rsidRDefault="000E2305" w:rsidP="000E2305">
            <w:pPr>
              <w:spacing w:line="240" w:lineRule="auto"/>
              <w:jc w:val="center"/>
              <w:rPr>
                <w:rFonts w:asciiTheme="minorHAnsi" w:hAnsiTheme="minorHAnsi" w:cstheme="minorHAnsi"/>
                <w:b/>
                <w:color w:val="008000"/>
                <w:sz w:val="16"/>
                <w:szCs w:val="16"/>
              </w:rPr>
            </w:pPr>
            <w:r w:rsidRPr="000E2305">
              <w:rPr>
                <w:rFonts w:asciiTheme="minorHAnsi" w:hAnsiTheme="minorHAnsi" w:cstheme="minorHAnsi"/>
                <w:b/>
                <w:color w:val="008000"/>
                <w:sz w:val="16"/>
                <w:szCs w:val="16"/>
              </w:rPr>
              <w:t>G7</w:t>
            </w:r>
          </w:p>
        </w:tc>
        <w:tc>
          <w:tcPr>
            <w:tcW w:w="232" w:type="pct"/>
            <w:tcBorders>
              <w:top w:val="single" w:sz="12" w:space="0" w:color="B5DDDC"/>
              <w:left w:val="single" w:sz="12" w:space="0" w:color="B5DDDC"/>
              <w:bottom w:val="nil"/>
              <w:right w:val="single" w:sz="12" w:space="0" w:color="B5DDDC"/>
            </w:tcBorders>
            <w:shd w:val="clear" w:color="auto" w:fill="B5DDDC"/>
            <w:vAlign w:val="center"/>
          </w:tcPr>
          <w:p w14:paraId="505A118A" w14:textId="77777777" w:rsidR="000E2305" w:rsidRPr="000E2305" w:rsidRDefault="000E2305" w:rsidP="000E2305">
            <w:pPr>
              <w:spacing w:line="240" w:lineRule="auto"/>
              <w:jc w:val="center"/>
              <w:rPr>
                <w:rFonts w:asciiTheme="minorHAnsi" w:hAnsiTheme="minorHAnsi" w:cstheme="minorHAnsi"/>
                <w:b/>
                <w:color w:val="008000"/>
                <w:sz w:val="16"/>
                <w:szCs w:val="16"/>
              </w:rPr>
            </w:pPr>
            <w:r w:rsidRPr="000E2305">
              <w:rPr>
                <w:rFonts w:asciiTheme="minorHAnsi" w:hAnsiTheme="minorHAnsi" w:cstheme="minorHAnsi"/>
                <w:b/>
                <w:color w:val="008000"/>
                <w:sz w:val="16"/>
                <w:szCs w:val="16"/>
              </w:rPr>
              <w:t>G8</w:t>
            </w:r>
          </w:p>
        </w:tc>
        <w:tc>
          <w:tcPr>
            <w:tcW w:w="232" w:type="pct"/>
            <w:tcBorders>
              <w:top w:val="single" w:sz="12" w:space="0" w:color="B5DDDC"/>
              <w:left w:val="single" w:sz="12" w:space="0" w:color="B5DDDC"/>
              <w:bottom w:val="nil"/>
              <w:right w:val="single" w:sz="12" w:space="0" w:color="B5DDDC"/>
            </w:tcBorders>
            <w:shd w:val="clear" w:color="auto" w:fill="B5DDDC"/>
            <w:vAlign w:val="center"/>
          </w:tcPr>
          <w:p w14:paraId="2A5FBF04" w14:textId="77777777" w:rsidR="000E2305" w:rsidRPr="000E2305" w:rsidRDefault="000E2305" w:rsidP="000E2305">
            <w:pPr>
              <w:spacing w:line="240" w:lineRule="auto"/>
              <w:jc w:val="center"/>
              <w:rPr>
                <w:rFonts w:asciiTheme="minorHAnsi" w:hAnsiTheme="minorHAnsi" w:cstheme="minorHAnsi"/>
                <w:b/>
                <w:color w:val="008000"/>
                <w:sz w:val="16"/>
                <w:szCs w:val="16"/>
              </w:rPr>
            </w:pPr>
            <w:r w:rsidRPr="000E2305">
              <w:rPr>
                <w:rFonts w:asciiTheme="minorHAnsi" w:hAnsiTheme="minorHAnsi" w:cstheme="minorHAnsi"/>
                <w:b/>
                <w:color w:val="008000"/>
                <w:sz w:val="16"/>
                <w:szCs w:val="16"/>
              </w:rPr>
              <w:t>G9</w:t>
            </w:r>
          </w:p>
        </w:tc>
        <w:tc>
          <w:tcPr>
            <w:tcW w:w="232" w:type="pct"/>
            <w:tcBorders>
              <w:top w:val="single" w:sz="12" w:space="0" w:color="B5DDDC"/>
              <w:left w:val="single" w:sz="12" w:space="0" w:color="B5DDDC"/>
              <w:bottom w:val="nil"/>
              <w:right w:val="single" w:sz="12" w:space="0" w:color="B5DDDC"/>
            </w:tcBorders>
            <w:shd w:val="clear" w:color="auto" w:fill="B5DDDC"/>
            <w:vAlign w:val="center"/>
          </w:tcPr>
          <w:p w14:paraId="362FB4CD" w14:textId="77777777" w:rsidR="000E2305" w:rsidRPr="000E2305" w:rsidRDefault="000E2305" w:rsidP="000E2305">
            <w:pPr>
              <w:spacing w:line="240" w:lineRule="auto"/>
              <w:jc w:val="center"/>
              <w:rPr>
                <w:rFonts w:asciiTheme="minorHAnsi" w:hAnsiTheme="minorHAnsi" w:cstheme="minorHAnsi"/>
                <w:b/>
                <w:color w:val="008000"/>
                <w:sz w:val="16"/>
                <w:szCs w:val="16"/>
              </w:rPr>
            </w:pPr>
            <w:r w:rsidRPr="000E2305">
              <w:rPr>
                <w:rFonts w:asciiTheme="minorHAnsi" w:hAnsiTheme="minorHAnsi" w:cstheme="minorHAnsi"/>
                <w:b/>
                <w:color w:val="008000"/>
                <w:sz w:val="16"/>
                <w:szCs w:val="16"/>
              </w:rPr>
              <w:t>G10</w:t>
            </w:r>
          </w:p>
        </w:tc>
        <w:tc>
          <w:tcPr>
            <w:tcW w:w="220" w:type="pct"/>
            <w:tcBorders>
              <w:top w:val="single" w:sz="12" w:space="0" w:color="B5DDDC"/>
              <w:left w:val="single" w:sz="12" w:space="0" w:color="B5DDDC"/>
              <w:bottom w:val="nil"/>
              <w:right w:val="single" w:sz="12" w:space="0" w:color="B5DDDC"/>
            </w:tcBorders>
            <w:shd w:val="clear" w:color="auto" w:fill="B5DDDC"/>
            <w:vAlign w:val="center"/>
          </w:tcPr>
          <w:p w14:paraId="5F37E6BA" w14:textId="77777777" w:rsidR="000E2305" w:rsidRPr="000E2305" w:rsidRDefault="000E2305" w:rsidP="000E2305">
            <w:pPr>
              <w:spacing w:line="240" w:lineRule="auto"/>
              <w:jc w:val="center"/>
              <w:rPr>
                <w:rFonts w:asciiTheme="minorHAnsi" w:hAnsiTheme="minorHAnsi" w:cstheme="minorHAnsi"/>
                <w:b/>
                <w:color w:val="008000"/>
                <w:sz w:val="16"/>
                <w:szCs w:val="16"/>
              </w:rPr>
            </w:pPr>
            <w:r w:rsidRPr="000E2305">
              <w:rPr>
                <w:rFonts w:asciiTheme="minorHAnsi" w:hAnsiTheme="minorHAnsi" w:cstheme="minorHAnsi"/>
                <w:b/>
                <w:color w:val="008000"/>
                <w:sz w:val="16"/>
                <w:szCs w:val="16"/>
              </w:rPr>
              <w:t>G11</w:t>
            </w:r>
          </w:p>
        </w:tc>
      </w:tr>
      <w:tr w:rsidR="00A422BB" w:rsidRPr="000E2305" w14:paraId="12AB2258" w14:textId="77777777" w:rsidTr="000212D1">
        <w:trPr>
          <w:cantSplit/>
        </w:trPr>
        <w:tc>
          <w:tcPr>
            <w:tcW w:w="169" w:type="pct"/>
            <w:tcBorders>
              <w:top w:val="nil"/>
            </w:tcBorders>
            <w:shd w:val="clear" w:color="auto" w:fill="D6EAEB"/>
            <w:vAlign w:val="center"/>
          </w:tcPr>
          <w:p w14:paraId="2617F86E" w14:textId="77777777" w:rsidR="000E2305" w:rsidRPr="000E2305" w:rsidRDefault="000E2305" w:rsidP="000E2305">
            <w:pPr>
              <w:keepNext/>
              <w:spacing w:before="0" w:after="0" w:line="240" w:lineRule="auto"/>
              <w:rPr>
                <w:rFonts w:asciiTheme="minorHAnsi" w:hAnsiTheme="minorHAnsi" w:cstheme="minorHAnsi"/>
                <w:b/>
                <w:sz w:val="16"/>
                <w:szCs w:val="16"/>
              </w:rPr>
            </w:pPr>
          </w:p>
        </w:tc>
        <w:tc>
          <w:tcPr>
            <w:tcW w:w="2291" w:type="pct"/>
            <w:tcBorders>
              <w:top w:val="nil"/>
            </w:tcBorders>
            <w:shd w:val="clear" w:color="auto" w:fill="D6EAEB"/>
            <w:vAlign w:val="center"/>
          </w:tcPr>
          <w:p w14:paraId="00A26111" w14:textId="77777777" w:rsidR="000E2305" w:rsidRPr="000E2305" w:rsidRDefault="000E2305" w:rsidP="000E2305">
            <w:pPr>
              <w:keepNext/>
              <w:spacing w:before="0" w:after="0" w:line="240" w:lineRule="auto"/>
              <w:rPr>
                <w:rFonts w:asciiTheme="minorHAnsi" w:hAnsiTheme="minorHAnsi" w:cstheme="minorHAnsi"/>
                <w:b/>
                <w:sz w:val="16"/>
                <w:szCs w:val="16"/>
              </w:rPr>
            </w:pPr>
            <w:r w:rsidRPr="000E2305">
              <w:rPr>
                <w:rFonts w:asciiTheme="minorHAnsi" w:hAnsiTheme="minorHAnsi" w:cstheme="minorHAnsi"/>
                <w:b/>
                <w:sz w:val="16"/>
                <w:szCs w:val="16"/>
              </w:rPr>
              <w:t>Overall guidance/advice development process</w:t>
            </w:r>
          </w:p>
        </w:tc>
        <w:tc>
          <w:tcPr>
            <w:tcW w:w="232" w:type="pct"/>
            <w:tcBorders>
              <w:top w:val="nil"/>
            </w:tcBorders>
            <w:shd w:val="clear" w:color="auto" w:fill="D6EAEB"/>
            <w:vAlign w:val="center"/>
          </w:tcPr>
          <w:p w14:paraId="70727921" w14:textId="77777777" w:rsidR="000E2305" w:rsidRPr="000E2305" w:rsidRDefault="000E2305" w:rsidP="000E2305">
            <w:pPr>
              <w:keepNext/>
              <w:spacing w:before="0" w:after="0" w:line="240" w:lineRule="auto"/>
              <w:jc w:val="center"/>
              <w:rPr>
                <w:rFonts w:asciiTheme="minorHAnsi" w:hAnsiTheme="minorHAnsi" w:cstheme="minorHAnsi"/>
                <w:b/>
                <w:sz w:val="16"/>
                <w:szCs w:val="16"/>
              </w:rPr>
            </w:pPr>
          </w:p>
        </w:tc>
        <w:tc>
          <w:tcPr>
            <w:tcW w:w="232" w:type="pct"/>
            <w:tcBorders>
              <w:top w:val="nil"/>
            </w:tcBorders>
            <w:shd w:val="clear" w:color="auto" w:fill="D6EAEB"/>
            <w:vAlign w:val="center"/>
          </w:tcPr>
          <w:p w14:paraId="729DCA6B" w14:textId="77777777" w:rsidR="000E2305" w:rsidRPr="000E2305" w:rsidRDefault="000E2305" w:rsidP="000E2305">
            <w:pPr>
              <w:keepNext/>
              <w:spacing w:before="0" w:after="0" w:line="240" w:lineRule="auto"/>
              <w:jc w:val="center"/>
              <w:rPr>
                <w:rFonts w:asciiTheme="minorHAnsi" w:hAnsiTheme="minorHAnsi" w:cstheme="minorHAnsi"/>
                <w:b/>
                <w:sz w:val="16"/>
                <w:szCs w:val="16"/>
              </w:rPr>
            </w:pPr>
          </w:p>
        </w:tc>
        <w:tc>
          <w:tcPr>
            <w:tcW w:w="232" w:type="pct"/>
            <w:tcBorders>
              <w:top w:val="nil"/>
            </w:tcBorders>
            <w:shd w:val="clear" w:color="auto" w:fill="D6EAEB"/>
            <w:vAlign w:val="center"/>
          </w:tcPr>
          <w:p w14:paraId="2A6B51C0" w14:textId="77777777" w:rsidR="000E2305" w:rsidRPr="000E2305" w:rsidRDefault="000E2305" w:rsidP="000E2305">
            <w:pPr>
              <w:keepNext/>
              <w:spacing w:before="0" w:after="0" w:line="240" w:lineRule="auto"/>
              <w:jc w:val="center"/>
              <w:rPr>
                <w:rFonts w:asciiTheme="minorHAnsi" w:hAnsiTheme="minorHAnsi" w:cstheme="minorHAnsi"/>
                <w:b/>
                <w:sz w:val="16"/>
                <w:szCs w:val="16"/>
              </w:rPr>
            </w:pPr>
          </w:p>
        </w:tc>
        <w:tc>
          <w:tcPr>
            <w:tcW w:w="232" w:type="pct"/>
            <w:tcBorders>
              <w:top w:val="nil"/>
            </w:tcBorders>
            <w:shd w:val="clear" w:color="auto" w:fill="D6EAEB"/>
            <w:vAlign w:val="center"/>
          </w:tcPr>
          <w:p w14:paraId="722BF55C" w14:textId="77777777" w:rsidR="000E2305" w:rsidRPr="000E2305" w:rsidRDefault="000E2305" w:rsidP="000E2305">
            <w:pPr>
              <w:keepNext/>
              <w:spacing w:before="0" w:after="0" w:line="240" w:lineRule="auto"/>
              <w:jc w:val="center"/>
              <w:rPr>
                <w:rFonts w:asciiTheme="minorHAnsi" w:hAnsiTheme="minorHAnsi" w:cstheme="minorHAnsi"/>
                <w:b/>
                <w:sz w:val="16"/>
                <w:szCs w:val="16"/>
              </w:rPr>
            </w:pPr>
          </w:p>
        </w:tc>
        <w:tc>
          <w:tcPr>
            <w:tcW w:w="232" w:type="pct"/>
            <w:tcBorders>
              <w:top w:val="nil"/>
            </w:tcBorders>
            <w:shd w:val="clear" w:color="auto" w:fill="D6EAEB"/>
            <w:vAlign w:val="center"/>
          </w:tcPr>
          <w:p w14:paraId="1B70B69F" w14:textId="77777777" w:rsidR="000E2305" w:rsidRPr="000E2305" w:rsidRDefault="000E2305" w:rsidP="000E2305">
            <w:pPr>
              <w:keepNext/>
              <w:spacing w:before="0" w:after="0" w:line="240" w:lineRule="auto"/>
              <w:jc w:val="center"/>
              <w:rPr>
                <w:rFonts w:asciiTheme="minorHAnsi" w:hAnsiTheme="minorHAnsi" w:cstheme="minorHAnsi"/>
                <w:b/>
                <w:sz w:val="16"/>
                <w:szCs w:val="16"/>
              </w:rPr>
            </w:pPr>
          </w:p>
        </w:tc>
        <w:tc>
          <w:tcPr>
            <w:tcW w:w="232" w:type="pct"/>
            <w:tcBorders>
              <w:top w:val="nil"/>
            </w:tcBorders>
            <w:shd w:val="clear" w:color="auto" w:fill="D6EAEB"/>
            <w:vAlign w:val="center"/>
          </w:tcPr>
          <w:p w14:paraId="4E1AB054" w14:textId="77777777" w:rsidR="000E2305" w:rsidRPr="000E2305" w:rsidRDefault="000E2305" w:rsidP="000E2305">
            <w:pPr>
              <w:keepNext/>
              <w:spacing w:before="0" w:after="0" w:line="240" w:lineRule="auto"/>
              <w:jc w:val="center"/>
              <w:rPr>
                <w:rFonts w:asciiTheme="minorHAnsi" w:hAnsiTheme="minorHAnsi" w:cstheme="minorHAnsi"/>
                <w:b/>
                <w:sz w:val="16"/>
                <w:szCs w:val="16"/>
              </w:rPr>
            </w:pPr>
          </w:p>
        </w:tc>
        <w:tc>
          <w:tcPr>
            <w:tcW w:w="232" w:type="pct"/>
            <w:tcBorders>
              <w:top w:val="nil"/>
            </w:tcBorders>
            <w:shd w:val="clear" w:color="auto" w:fill="D6EAEB"/>
            <w:vAlign w:val="center"/>
          </w:tcPr>
          <w:p w14:paraId="70EB53B0" w14:textId="77777777" w:rsidR="000E2305" w:rsidRPr="000E2305" w:rsidRDefault="000E2305" w:rsidP="000E2305">
            <w:pPr>
              <w:keepNext/>
              <w:spacing w:before="0" w:after="0" w:line="240" w:lineRule="auto"/>
              <w:jc w:val="center"/>
              <w:rPr>
                <w:rFonts w:asciiTheme="minorHAnsi" w:hAnsiTheme="minorHAnsi" w:cstheme="minorHAnsi"/>
                <w:b/>
                <w:sz w:val="16"/>
                <w:szCs w:val="16"/>
              </w:rPr>
            </w:pPr>
          </w:p>
        </w:tc>
        <w:tc>
          <w:tcPr>
            <w:tcW w:w="232" w:type="pct"/>
            <w:tcBorders>
              <w:top w:val="nil"/>
            </w:tcBorders>
            <w:shd w:val="clear" w:color="auto" w:fill="D6EAEB"/>
            <w:vAlign w:val="center"/>
          </w:tcPr>
          <w:p w14:paraId="0EF68A97" w14:textId="77777777" w:rsidR="000E2305" w:rsidRPr="000E2305" w:rsidRDefault="000E2305" w:rsidP="000E2305">
            <w:pPr>
              <w:keepNext/>
              <w:spacing w:before="0" w:after="0" w:line="240" w:lineRule="auto"/>
              <w:jc w:val="center"/>
              <w:rPr>
                <w:rFonts w:asciiTheme="minorHAnsi" w:hAnsiTheme="minorHAnsi" w:cstheme="minorHAnsi"/>
                <w:b/>
                <w:sz w:val="16"/>
                <w:szCs w:val="16"/>
              </w:rPr>
            </w:pPr>
          </w:p>
        </w:tc>
        <w:tc>
          <w:tcPr>
            <w:tcW w:w="232" w:type="pct"/>
            <w:tcBorders>
              <w:top w:val="nil"/>
            </w:tcBorders>
            <w:shd w:val="clear" w:color="auto" w:fill="D6EAEB"/>
            <w:vAlign w:val="center"/>
          </w:tcPr>
          <w:p w14:paraId="232F7BE1" w14:textId="77777777" w:rsidR="000E2305" w:rsidRPr="000E2305" w:rsidRDefault="000E2305" w:rsidP="000E2305">
            <w:pPr>
              <w:keepNext/>
              <w:spacing w:before="0" w:after="0" w:line="240" w:lineRule="auto"/>
              <w:jc w:val="center"/>
              <w:rPr>
                <w:rFonts w:asciiTheme="minorHAnsi" w:hAnsiTheme="minorHAnsi" w:cstheme="minorHAnsi"/>
                <w:b/>
                <w:sz w:val="16"/>
                <w:szCs w:val="16"/>
              </w:rPr>
            </w:pPr>
          </w:p>
        </w:tc>
        <w:tc>
          <w:tcPr>
            <w:tcW w:w="232" w:type="pct"/>
            <w:tcBorders>
              <w:top w:val="nil"/>
            </w:tcBorders>
            <w:shd w:val="clear" w:color="auto" w:fill="D6EAEB"/>
            <w:vAlign w:val="center"/>
          </w:tcPr>
          <w:p w14:paraId="6FB022FA" w14:textId="77777777" w:rsidR="000E2305" w:rsidRPr="000E2305" w:rsidRDefault="000E2305" w:rsidP="000E2305">
            <w:pPr>
              <w:keepNext/>
              <w:spacing w:before="0" w:after="0" w:line="240" w:lineRule="auto"/>
              <w:jc w:val="center"/>
              <w:rPr>
                <w:rFonts w:asciiTheme="minorHAnsi" w:hAnsiTheme="minorHAnsi" w:cstheme="minorHAnsi"/>
                <w:b/>
                <w:sz w:val="16"/>
                <w:szCs w:val="16"/>
              </w:rPr>
            </w:pPr>
          </w:p>
        </w:tc>
        <w:tc>
          <w:tcPr>
            <w:tcW w:w="220" w:type="pct"/>
            <w:tcBorders>
              <w:top w:val="nil"/>
            </w:tcBorders>
            <w:shd w:val="clear" w:color="auto" w:fill="D6EAEB"/>
            <w:vAlign w:val="center"/>
          </w:tcPr>
          <w:p w14:paraId="533AD285" w14:textId="77777777" w:rsidR="000E2305" w:rsidRPr="000E2305" w:rsidRDefault="000E2305" w:rsidP="000E2305">
            <w:pPr>
              <w:keepNext/>
              <w:spacing w:before="0" w:after="0" w:line="240" w:lineRule="auto"/>
              <w:jc w:val="center"/>
              <w:rPr>
                <w:rFonts w:asciiTheme="minorHAnsi" w:hAnsiTheme="minorHAnsi" w:cstheme="minorHAnsi"/>
                <w:b/>
                <w:sz w:val="16"/>
                <w:szCs w:val="16"/>
              </w:rPr>
            </w:pPr>
          </w:p>
        </w:tc>
      </w:tr>
      <w:tr w:rsidR="00FE01F8" w:rsidRPr="000E2305" w14:paraId="107DBBF0" w14:textId="77777777" w:rsidTr="000212D1">
        <w:trPr>
          <w:cantSplit/>
        </w:trPr>
        <w:tc>
          <w:tcPr>
            <w:tcW w:w="169" w:type="pct"/>
            <w:shd w:val="clear" w:color="auto" w:fill="92D050"/>
            <w:vAlign w:val="center"/>
          </w:tcPr>
          <w:p w14:paraId="4A513E45" w14:textId="77777777" w:rsidR="00FE01F8" w:rsidRPr="000E2305" w:rsidRDefault="00FE01F8" w:rsidP="00FE01F8">
            <w:pPr>
              <w:spacing w:before="0" w:after="0" w:line="240" w:lineRule="auto"/>
              <w:rPr>
                <w:rFonts w:asciiTheme="minorHAnsi" w:hAnsiTheme="minorHAnsi" w:cstheme="minorHAnsi"/>
                <w:b/>
                <w:sz w:val="16"/>
                <w:szCs w:val="16"/>
              </w:rPr>
            </w:pPr>
          </w:p>
        </w:tc>
        <w:tc>
          <w:tcPr>
            <w:tcW w:w="2291" w:type="pct"/>
          </w:tcPr>
          <w:p w14:paraId="29CEAEAA" w14:textId="77777777" w:rsidR="00FE01F8" w:rsidRPr="000E2305" w:rsidRDefault="00FE01F8" w:rsidP="00FE01F8">
            <w:pPr>
              <w:spacing w:before="0" w:after="0" w:line="240" w:lineRule="auto"/>
              <w:rPr>
                <w:rFonts w:asciiTheme="minorHAnsi" w:hAnsiTheme="minorHAnsi" w:cstheme="minorHAnsi"/>
                <w:sz w:val="16"/>
                <w:szCs w:val="16"/>
              </w:rPr>
            </w:pPr>
            <w:r w:rsidRPr="000E2305">
              <w:rPr>
                <w:rFonts w:asciiTheme="minorHAnsi" w:hAnsiTheme="minorHAnsi" w:cstheme="minorHAnsi"/>
                <w:sz w:val="16"/>
                <w:szCs w:val="16"/>
              </w:rPr>
              <w:t>Are the key stages of the organisation’s advice development processes compatible with Australian processes?</w:t>
            </w:r>
          </w:p>
        </w:tc>
        <w:tc>
          <w:tcPr>
            <w:tcW w:w="232" w:type="pct"/>
            <w:shd w:val="clear" w:color="auto" w:fill="92D050"/>
            <w:vAlign w:val="center"/>
          </w:tcPr>
          <w:p w14:paraId="790F822D" w14:textId="77777777" w:rsidR="00FE01F8" w:rsidRPr="000E2305" w:rsidRDefault="00FE01F8" w:rsidP="00FE01F8">
            <w:pPr>
              <w:spacing w:before="0" w:after="0" w:line="240" w:lineRule="auto"/>
              <w:jc w:val="center"/>
              <w:rPr>
                <w:rFonts w:asciiTheme="minorHAnsi" w:hAnsiTheme="minorHAnsi" w:cstheme="minorHAnsi"/>
                <w:sz w:val="16"/>
                <w:szCs w:val="16"/>
              </w:rPr>
            </w:pPr>
            <w:r w:rsidRPr="000E2305">
              <w:rPr>
                <w:rFonts w:asciiTheme="minorHAnsi" w:hAnsiTheme="minorHAnsi" w:cstheme="minorHAnsi"/>
                <w:sz w:val="16"/>
                <w:szCs w:val="16"/>
              </w:rPr>
              <w:t>Y</w:t>
            </w:r>
          </w:p>
        </w:tc>
        <w:tc>
          <w:tcPr>
            <w:tcW w:w="232" w:type="pct"/>
            <w:shd w:val="clear" w:color="auto" w:fill="92D050"/>
            <w:vAlign w:val="center"/>
          </w:tcPr>
          <w:p w14:paraId="6301F10E" w14:textId="2F6EA64F" w:rsidR="00FE01F8" w:rsidRPr="000E2305" w:rsidRDefault="00FE01F8" w:rsidP="00FE01F8">
            <w:pPr>
              <w:spacing w:before="0" w:after="0" w:line="240" w:lineRule="auto"/>
              <w:jc w:val="center"/>
              <w:rPr>
                <w:rFonts w:asciiTheme="minorHAnsi" w:hAnsiTheme="minorHAnsi" w:cstheme="minorHAnsi"/>
                <w:sz w:val="16"/>
                <w:szCs w:val="16"/>
              </w:rPr>
            </w:pPr>
            <w:r w:rsidRPr="000E2305">
              <w:rPr>
                <w:rFonts w:asciiTheme="minorHAnsi" w:hAnsiTheme="minorHAnsi" w:cstheme="minorHAnsi"/>
                <w:sz w:val="16"/>
                <w:szCs w:val="16"/>
              </w:rPr>
              <w:t>Y</w:t>
            </w:r>
          </w:p>
        </w:tc>
        <w:tc>
          <w:tcPr>
            <w:tcW w:w="232" w:type="pct"/>
            <w:shd w:val="clear" w:color="auto" w:fill="92D050"/>
            <w:vAlign w:val="center"/>
          </w:tcPr>
          <w:p w14:paraId="5C8997E7" w14:textId="77777777" w:rsidR="00FE01F8" w:rsidRPr="000E2305" w:rsidRDefault="00FE01F8" w:rsidP="00FE01F8">
            <w:pPr>
              <w:spacing w:before="0" w:after="0" w:line="240" w:lineRule="auto"/>
              <w:jc w:val="center"/>
              <w:rPr>
                <w:rFonts w:asciiTheme="minorHAnsi" w:hAnsiTheme="minorHAnsi" w:cstheme="minorHAnsi"/>
                <w:sz w:val="16"/>
                <w:szCs w:val="16"/>
              </w:rPr>
            </w:pPr>
            <w:r w:rsidRPr="000E2305">
              <w:rPr>
                <w:rFonts w:asciiTheme="minorHAnsi" w:hAnsiTheme="minorHAnsi" w:cstheme="minorHAnsi"/>
                <w:sz w:val="16"/>
                <w:szCs w:val="16"/>
              </w:rPr>
              <w:t>Y</w:t>
            </w:r>
          </w:p>
        </w:tc>
        <w:tc>
          <w:tcPr>
            <w:tcW w:w="232" w:type="pct"/>
            <w:shd w:val="clear" w:color="auto" w:fill="92D050"/>
            <w:vAlign w:val="center"/>
          </w:tcPr>
          <w:p w14:paraId="25954F63" w14:textId="77777777" w:rsidR="00FE01F8" w:rsidRPr="000E2305" w:rsidRDefault="00FE01F8" w:rsidP="00FE01F8">
            <w:pPr>
              <w:spacing w:before="0" w:after="0" w:line="240" w:lineRule="auto"/>
              <w:jc w:val="center"/>
              <w:rPr>
                <w:rFonts w:asciiTheme="minorHAnsi" w:hAnsiTheme="minorHAnsi" w:cstheme="minorHAnsi"/>
                <w:sz w:val="16"/>
                <w:szCs w:val="16"/>
              </w:rPr>
            </w:pPr>
            <w:r w:rsidRPr="000E2305">
              <w:rPr>
                <w:rFonts w:asciiTheme="minorHAnsi" w:hAnsiTheme="minorHAnsi" w:cstheme="minorHAnsi"/>
                <w:sz w:val="16"/>
                <w:szCs w:val="16"/>
              </w:rPr>
              <w:t>Y</w:t>
            </w:r>
          </w:p>
        </w:tc>
        <w:tc>
          <w:tcPr>
            <w:tcW w:w="232" w:type="pct"/>
            <w:shd w:val="clear" w:color="auto" w:fill="92D050"/>
            <w:vAlign w:val="center"/>
          </w:tcPr>
          <w:p w14:paraId="6C1353F7" w14:textId="77777777" w:rsidR="00FE01F8" w:rsidRPr="000E2305" w:rsidRDefault="00FE01F8" w:rsidP="00FE01F8">
            <w:pPr>
              <w:spacing w:before="0" w:after="0" w:line="240" w:lineRule="auto"/>
              <w:jc w:val="center"/>
              <w:rPr>
                <w:rFonts w:asciiTheme="minorHAnsi" w:hAnsiTheme="minorHAnsi" w:cstheme="minorHAnsi"/>
                <w:sz w:val="16"/>
                <w:szCs w:val="16"/>
              </w:rPr>
            </w:pPr>
            <w:r w:rsidRPr="000E2305">
              <w:rPr>
                <w:rFonts w:asciiTheme="minorHAnsi" w:hAnsiTheme="minorHAnsi" w:cstheme="minorHAnsi"/>
                <w:sz w:val="16"/>
                <w:szCs w:val="16"/>
              </w:rPr>
              <w:t>Y</w:t>
            </w:r>
          </w:p>
        </w:tc>
        <w:tc>
          <w:tcPr>
            <w:tcW w:w="232" w:type="pct"/>
            <w:shd w:val="clear" w:color="auto" w:fill="92D050"/>
            <w:vAlign w:val="center"/>
          </w:tcPr>
          <w:p w14:paraId="3C89241D" w14:textId="577111A9" w:rsidR="00FE01F8" w:rsidRPr="000E2305" w:rsidRDefault="00FE01F8" w:rsidP="00FE01F8">
            <w:pPr>
              <w:spacing w:before="0" w:after="0" w:line="240" w:lineRule="auto"/>
              <w:jc w:val="center"/>
              <w:rPr>
                <w:rFonts w:asciiTheme="minorHAnsi" w:hAnsiTheme="minorHAnsi" w:cstheme="minorHAnsi"/>
                <w:sz w:val="16"/>
                <w:szCs w:val="16"/>
              </w:rPr>
            </w:pPr>
            <w:r w:rsidRPr="000E2305">
              <w:rPr>
                <w:rFonts w:asciiTheme="minorHAnsi" w:hAnsiTheme="minorHAnsi" w:cstheme="minorHAnsi"/>
                <w:sz w:val="16"/>
                <w:szCs w:val="16"/>
              </w:rPr>
              <w:t>Y</w:t>
            </w:r>
          </w:p>
        </w:tc>
        <w:tc>
          <w:tcPr>
            <w:tcW w:w="232" w:type="pct"/>
            <w:shd w:val="clear" w:color="auto" w:fill="92D050"/>
            <w:vAlign w:val="center"/>
          </w:tcPr>
          <w:p w14:paraId="743B5043" w14:textId="7019C700" w:rsidR="00FE01F8" w:rsidRPr="000E2305" w:rsidRDefault="006110F6" w:rsidP="00FE01F8">
            <w:pPr>
              <w:spacing w:before="0" w:after="0" w:line="240" w:lineRule="auto"/>
              <w:jc w:val="center"/>
              <w:rPr>
                <w:rFonts w:asciiTheme="minorHAnsi" w:hAnsiTheme="minorHAnsi" w:cstheme="minorHAnsi"/>
                <w:sz w:val="16"/>
                <w:szCs w:val="16"/>
              </w:rPr>
            </w:pPr>
            <w:r>
              <w:rPr>
                <w:rFonts w:asciiTheme="minorHAnsi" w:hAnsiTheme="minorHAnsi" w:cstheme="minorHAnsi"/>
                <w:sz w:val="16"/>
                <w:szCs w:val="16"/>
              </w:rPr>
              <w:t>Y</w:t>
            </w:r>
          </w:p>
        </w:tc>
        <w:tc>
          <w:tcPr>
            <w:tcW w:w="232" w:type="pct"/>
            <w:shd w:val="clear" w:color="auto" w:fill="92D050"/>
            <w:vAlign w:val="center"/>
          </w:tcPr>
          <w:p w14:paraId="2283117A" w14:textId="77777777" w:rsidR="00FE01F8" w:rsidRPr="000E2305" w:rsidRDefault="00FE01F8" w:rsidP="00FE01F8">
            <w:pPr>
              <w:spacing w:before="0" w:after="0" w:line="240" w:lineRule="auto"/>
              <w:jc w:val="center"/>
              <w:rPr>
                <w:rFonts w:asciiTheme="minorHAnsi" w:hAnsiTheme="minorHAnsi" w:cstheme="minorHAnsi"/>
                <w:sz w:val="16"/>
                <w:szCs w:val="16"/>
              </w:rPr>
            </w:pPr>
            <w:r w:rsidRPr="000E2305">
              <w:rPr>
                <w:rFonts w:asciiTheme="minorHAnsi" w:hAnsiTheme="minorHAnsi" w:cstheme="minorHAnsi"/>
                <w:sz w:val="16"/>
                <w:szCs w:val="16"/>
              </w:rPr>
              <w:t>Y</w:t>
            </w:r>
          </w:p>
        </w:tc>
        <w:tc>
          <w:tcPr>
            <w:tcW w:w="232" w:type="pct"/>
            <w:shd w:val="clear" w:color="auto" w:fill="92D050"/>
            <w:vAlign w:val="center"/>
          </w:tcPr>
          <w:p w14:paraId="194247F8" w14:textId="77777777" w:rsidR="00FE01F8" w:rsidRPr="000E2305" w:rsidRDefault="00FE01F8" w:rsidP="00FE01F8">
            <w:pPr>
              <w:spacing w:before="0" w:after="0" w:line="240" w:lineRule="auto"/>
              <w:jc w:val="center"/>
              <w:rPr>
                <w:rFonts w:asciiTheme="minorHAnsi" w:hAnsiTheme="minorHAnsi" w:cstheme="minorHAnsi"/>
                <w:sz w:val="16"/>
                <w:szCs w:val="16"/>
              </w:rPr>
            </w:pPr>
            <w:r w:rsidRPr="000E2305">
              <w:rPr>
                <w:rFonts w:asciiTheme="minorHAnsi" w:hAnsiTheme="minorHAnsi" w:cstheme="minorHAnsi"/>
                <w:sz w:val="16"/>
                <w:szCs w:val="16"/>
              </w:rPr>
              <w:t>Y</w:t>
            </w:r>
          </w:p>
        </w:tc>
        <w:tc>
          <w:tcPr>
            <w:tcW w:w="232" w:type="pct"/>
            <w:shd w:val="clear" w:color="auto" w:fill="92D050"/>
            <w:vAlign w:val="center"/>
          </w:tcPr>
          <w:p w14:paraId="1ECFB5FC" w14:textId="77777777" w:rsidR="00FE01F8" w:rsidRPr="000E2305" w:rsidRDefault="00FE01F8" w:rsidP="00FE01F8">
            <w:pPr>
              <w:spacing w:before="0" w:after="0" w:line="240" w:lineRule="auto"/>
              <w:jc w:val="center"/>
              <w:rPr>
                <w:rFonts w:asciiTheme="minorHAnsi" w:hAnsiTheme="minorHAnsi" w:cstheme="minorHAnsi"/>
                <w:sz w:val="16"/>
                <w:szCs w:val="16"/>
              </w:rPr>
            </w:pPr>
            <w:r w:rsidRPr="000E2305">
              <w:rPr>
                <w:rFonts w:asciiTheme="minorHAnsi" w:hAnsiTheme="minorHAnsi" w:cstheme="minorHAnsi"/>
                <w:sz w:val="16"/>
                <w:szCs w:val="16"/>
              </w:rPr>
              <w:t>Y</w:t>
            </w:r>
          </w:p>
        </w:tc>
        <w:tc>
          <w:tcPr>
            <w:tcW w:w="220" w:type="pct"/>
            <w:shd w:val="clear" w:color="auto" w:fill="92D050"/>
            <w:vAlign w:val="center"/>
          </w:tcPr>
          <w:p w14:paraId="21854390" w14:textId="77777777" w:rsidR="00FE01F8" w:rsidRPr="000E2305" w:rsidRDefault="00FE01F8" w:rsidP="00FE01F8">
            <w:pPr>
              <w:spacing w:before="0" w:after="0" w:line="240" w:lineRule="auto"/>
              <w:jc w:val="center"/>
              <w:rPr>
                <w:rFonts w:asciiTheme="minorHAnsi" w:hAnsiTheme="minorHAnsi" w:cstheme="minorHAnsi"/>
                <w:sz w:val="16"/>
                <w:szCs w:val="16"/>
              </w:rPr>
            </w:pPr>
            <w:r w:rsidRPr="000E2305">
              <w:rPr>
                <w:rFonts w:asciiTheme="minorHAnsi" w:hAnsiTheme="minorHAnsi" w:cstheme="minorHAnsi"/>
                <w:sz w:val="16"/>
                <w:szCs w:val="16"/>
              </w:rPr>
              <w:t>Y</w:t>
            </w:r>
          </w:p>
        </w:tc>
      </w:tr>
      <w:tr w:rsidR="006110F6" w:rsidRPr="000E2305" w14:paraId="7321A9BA" w14:textId="77777777" w:rsidTr="000212D1">
        <w:trPr>
          <w:cantSplit/>
        </w:trPr>
        <w:tc>
          <w:tcPr>
            <w:tcW w:w="169" w:type="pct"/>
            <w:shd w:val="clear" w:color="auto" w:fill="92D050"/>
            <w:vAlign w:val="center"/>
          </w:tcPr>
          <w:p w14:paraId="429FAABF" w14:textId="77777777" w:rsidR="00FE01F8" w:rsidRPr="000E2305" w:rsidRDefault="00FE01F8" w:rsidP="00FE01F8">
            <w:pPr>
              <w:spacing w:before="0" w:after="0" w:line="240" w:lineRule="auto"/>
              <w:rPr>
                <w:rFonts w:asciiTheme="minorHAnsi" w:hAnsiTheme="minorHAnsi" w:cstheme="minorHAnsi"/>
                <w:b/>
                <w:sz w:val="16"/>
                <w:szCs w:val="16"/>
              </w:rPr>
            </w:pPr>
          </w:p>
        </w:tc>
        <w:tc>
          <w:tcPr>
            <w:tcW w:w="2291" w:type="pct"/>
          </w:tcPr>
          <w:p w14:paraId="026642F3" w14:textId="77777777" w:rsidR="00FE01F8" w:rsidRPr="000E2305" w:rsidRDefault="00FE01F8" w:rsidP="00FE01F8">
            <w:pPr>
              <w:spacing w:before="0" w:after="0" w:line="240" w:lineRule="auto"/>
              <w:rPr>
                <w:rFonts w:asciiTheme="minorHAnsi" w:hAnsiTheme="minorHAnsi" w:cstheme="minorHAnsi"/>
                <w:sz w:val="16"/>
                <w:szCs w:val="16"/>
              </w:rPr>
            </w:pPr>
            <w:r w:rsidRPr="000E2305">
              <w:rPr>
                <w:rFonts w:asciiTheme="minorHAnsi" w:hAnsiTheme="minorHAnsi" w:cstheme="minorHAnsi"/>
                <w:sz w:val="16"/>
                <w:szCs w:val="16"/>
              </w:rPr>
              <w:t>Are the administrative processes documented and publicly available?</w:t>
            </w:r>
          </w:p>
        </w:tc>
        <w:tc>
          <w:tcPr>
            <w:tcW w:w="232" w:type="pct"/>
            <w:vAlign w:val="center"/>
          </w:tcPr>
          <w:p w14:paraId="2823046C" w14:textId="77777777" w:rsidR="00FE01F8" w:rsidRPr="000E2305" w:rsidRDefault="00FE01F8" w:rsidP="00FE01F8">
            <w:pPr>
              <w:spacing w:before="0" w:after="0" w:line="240" w:lineRule="auto"/>
              <w:jc w:val="center"/>
              <w:rPr>
                <w:rFonts w:asciiTheme="minorHAnsi" w:hAnsiTheme="minorHAnsi" w:cstheme="minorHAnsi"/>
                <w:sz w:val="16"/>
                <w:szCs w:val="16"/>
              </w:rPr>
            </w:pPr>
            <w:r w:rsidRPr="000E2305">
              <w:rPr>
                <w:rFonts w:asciiTheme="minorHAnsi" w:hAnsiTheme="minorHAnsi" w:cstheme="minorHAnsi"/>
                <w:sz w:val="16"/>
                <w:szCs w:val="16"/>
              </w:rPr>
              <w:t>N</w:t>
            </w:r>
          </w:p>
        </w:tc>
        <w:tc>
          <w:tcPr>
            <w:tcW w:w="232" w:type="pct"/>
            <w:vAlign w:val="center"/>
          </w:tcPr>
          <w:p w14:paraId="626D7A27" w14:textId="63016453" w:rsidR="00FE01F8" w:rsidRPr="000E2305" w:rsidRDefault="00FE01F8" w:rsidP="00FE01F8">
            <w:pPr>
              <w:spacing w:before="0" w:after="0" w:line="240" w:lineRule="auto"/>
              <w:jc w:val="center"/>
              <w:rPr>
                <w:rFonts w:asciiTheme="minorHAnsi" w:hAnsiTheme="minorHAnsi" w:cstheme="minorHAnsi"/>
                <w:sz w:val="16"/>
                <w:szCs w:val="16"/>
              </w:rPr>
            </w:pPr>
            <w:r w:rsidRPr="000E2305">
              <w:rPr>
                <w:rFonts w:asciiTheme="minorHAnsi" w:hAnsiTheme="minorHAnsi" w:cstheme="minorHAnsi"/>
                <w:sz w:val="16"/>
                <w:szCs w:val="16"/>
              </w:rPr>
              <w:t>N</w:t>
            </w:r>
          </w:p>
        </w:tc>
        <w:tc>
          <w:tcPr>
            <w:tcW w:w="232" w:type="pct"/>
            <w:vAlign w:val="center"/>
          </w:tcPr>
          <w:p w14:paraId="1CF40FA0" w14:textId="77777777" w:rsidR="00FE01F8" w:rsidRPr="000E2305" w:rsidRDefault="00FE01F8" w:rsidP="00FE01F8">
            <w:pPr>
              <w:spacing w:before="0" w:after="0" w:line="240" w:lineRule="auto"/>
              <w:jc w:val="center"/>
              <w:rPr>
                <w:rFonts w:asciiTheme="minorHAnsi" w:hAnsiTheme="minorHAnsi" w:cstheme="minorHAnsi"/>
                <w:sz w:val="16"/>
                <w:szCs w:val="16"/>
              </w:rPr>
            </w:pPr>
            <w:r w:rsidRPr="000E2305">
              <w:rPr>
                <w:rFonts w:asciiTheme="minorHAnsi" w:hAnsiTheme="minorHAnsi" w:cstheme="minorHAnsi"/>
                <w:sz w:val="16"/>
                <w:szCs w:val="16"/>
              </w:rPr>
              <w:t>N</w:t>
            </w:r>
          </w:p>
        </w:tc>
        <w:tc>
          <w:tcPr>
            <w:tcW w:w="232" w:type="pct"/>
            <w:shd w:val="clear" w:color="auto" w:fill="92D050"/>
            <w:vAlign w:val="center"/>
          </w:tcPr>
          <w:p w14:paraId="5A081E5A" w14:textId="1E62F0C8" w:rsidR="00FE01F8" w:rsidRPr="000E2305" w:rsidRDefault="00A422BB" w:rsidP="00FE01F8">
            <w:pPr>
              <w:spacing w:before="0" w:after="0" w:line="240" w:lineRule="auto"/>
              <w:jc w:val="center"/>
              <w:rPr>
                <w:rFonts w:asciiTheme="minorHAnsi" w:hAnsiTheme="minorHAnsi" w:cstheme="minorHAnsi"/>
                <w:sz w:val="16"/>
                <w:szCs w:val="16"/>
              </w:rPr>
            </w:pPr>
            <w:r>
              <w:rPr>
                <w:rFonts w:asciiTheme="minorHAnsi" w:hAnsiTheme="minorHAnsi" w:cstheme="minorHAnsi"/>
                <w:sz w:val="16"/>
                <w:szCs w:val="16"/>
              </w:rPr>
              <w:t>Partly</w:t>
            </w:r>
          </w:p>
        </w:tc>
        <w:tc>
          <w:tcPr>
            <w:tcW w:w="232" w:type="pct"/>
            <w:vAlign w:val="center"/>
          </w:tcPr>
          <w:p w14:paraId="04814980" w14:textId="77777777" w:rsidR="00FE01F8" w:rsidRPr="000E2305" w:rsidRDefault="00FE01F8" w:rsidP="00FE01F8">
            <w:pPr>
              <w:spacing w:before="0" w:after="0" w:line="240" w:lineRule="auto"/>
              <w:jc w:val="center"/>
              <w:rPr>
                <w:rFonts w:asciiTheme="minorHAnsi" w:hAnsiTheme="minorHAnsi" w:cstheme="minorHAnsi"/>
                <w:sz w:val="16"/>
                <w:szCs w:val="16"/>
              </w:rPr>
            </w:pPr>
            <w:r w:rsidRPr="000E2305">
              <w:rPr>
                <w:rFonts w:asciiTheme="minorHAnsi" w:hAnsiTheme="minorHAnsi" w:cstheme="minorHAnsi"/>
                <w:sz w:val="16"/>
                <w:szCs w:val="16"/>
              </w:rPr>
              <w:t>N</w:t>
            </w:r>
          </w:p>
        </w:tc>
        <w:tc>
          <w:tcPr>
            <w:tcW w:w="232" w:type="pct"/>
            <w:vAlign w:val="center"/>
          </w:tcPr>
          <w:p w14:paraId="6EED6F11" w14:textId="74BE8CE7" w:rsidR="00FE01F8" w:rsidRPr="000E2305" w:rsidRDefault="00FE01F8" w:rsidP="00FE01F8">
            <w:pPr>
              <w:spacing w:before="0" w:after="0" w:line="240" w:lineRule="auto"/>
              <w:jc w:val="center"/>
              <w:rPr>
                <w:rFonts w:asciiTheme="minorHAnsi" w:hAnsiTheme="minorHAnsi" w:cstheme="minorHAnsi"/>
                <w:sz w:val="16"/>
                <w:szCs w:val="16"/>
              </w:rPr>
            </w:pPr>
            <w:r w:rsidRPr="000E2305">
              <w:rPr>
                <w:rFonts w:asciiTheme="minorHAnsi" w:hAnsiTheme="minorHAnsi" w:cstheme="minorHAnsi"/>
                <w:sz w:val="16"/>
                <w:szCs w:val="16"/>
              </w:rPr>
              <w:t>N</w:t>
            </w:r>
          </w:p>
        </w:tc>
        <w:tc>
          <w:tcPr>
            <w:tcW w:w="232" w:type="pct"/>
            <w:shd w:val="clear" w:color="auto" w:fill="92D050"/>
            <w:vAlign w:val="center"/>
          </w:tcPr>
          <w:p w14:paraId="25CAC887" w14:textId="30A56BED" w:rsidR="00FE01F8" w:rsidRPr="000E2305" w:rsidRDefault="006110F6" w:rsidP="00FE01F8">
            <w:pPr>
              <w:spacing w:before="0" w:after="0" w:line="240" w:lineRule="auto"/>
              <w:jc w:val="center"/>
              <w:rPr>
                <w:rFonts w:asciiTheme="minorHAnsi" w:hAnsiTheme="minorHAnsi" w:cstheme="minorHAnsi"/>
                <w:sz w:val="16"/>
                <w:szCs w:val="16"/>
              </w:rPr>
            </w:pPr>
            <w:r>
              <w:rPr>
                <w:rFonts w:asciiTheme="minorHAnsi" w:hAnsiTheme="minorHAnsi" w:cstheme="minorHAnsi"/>
                <w:sz w:val="16"/>
                <w:szCs w:val="16"/>
              </w:rPr>
              <w:t>Y</w:t>
            </w:r>
          </w:p>
        </w:tc>
        <w:tc>
          <w:tcPr>
            <w:tcW w:w="232" w:type="pct"/>
            <w:vAlign w:val="center"/>
          </w:tcPr>
          <w:p w14:paraId="6F7BA580" w14:textId="076B00F4" w:rsidR="00FE01F8" w:rsidRPr="000E2305" w:rsidRDefault="000120E1" w:rsidP="00FE01F8">
            <w:pPr>
              <w:spacing w:before="0" w:after="0" w:line="240" w:lineRule="auto"/>
              <w:jc w:val="center"/>
              <w:rPr>
                <w:rFonts w:asciiTheme="minorHAnsi" w:hAnsiTheme="minorHAnsi" w:cstheme="minorHAnsi"/>
                <w:sz w:val="16"/>
                <w:szCs w:val="16"/>
                <w:highlight w:val="green"/>
              </w:rPr>
            </w:pPr>
            <w:r>
              <w:rPr>
                <w:rFonts w:asciiTheme="minorHAnsi" w:hAnsiTheme="minorHAnsi" w:cstheme="minorHAnsi"/>
                <w:sz w:val="16"/>
                <w:szCs w:val="16"/>
              </w:rPr>
              <w:t>N</w:t>
            </w:r>
          </w:p>
        </w:tc>
        <w:tc>
          <w:tcPr>
            <w:tcW w:w="232" w:type="pct"/>
            <w:vAlign w:val="center"/>
          </w:tcPr>
          <w:p w14:paraId="7589241F" w14:textId="77777777" w:rsidR="00FE01F8" w:rsidRPr="000E2305" w:rsidRDefault="00FE01F8" w:rsidP="00FE01F8">
            <w:pPr>
              <w:spacing w:before="0" w:after="0" w:line="240" w:lineRule="auto"/>
              <w:jc w:val="center"/>
              <w:rPr>
                <w:rFonts w:asciiTheme="minorHAnsi" w:hAnsiTheme="minorHAnsi" w:cstheme="minorHAnsi"/>
                <w:sz w:val="16"/>
                <w:szCs w:val="16"/>
              </w:rPr>
            </w:pPr>
            <w:r w:rsidRPr="000E2305">
              <w:rPr>
                <w:rFonts w:asciiTheme="minorHAnsi" w:hAnsiTheme="minorHAnsi" w:cstheme="minorHAnsi"/>
                <w:sz w:val="16"/>
                <w:szCs w:val="16"/>
              </w:rPr>
              <w:t>N</w:t>
            </w:r>
          </w:p>
        </w:tc>
        <w:tc>
          <w:tcPr>
            <w:tcW w:w="232" w:type="pct"/>
            <w:vAlign w:val="center"/>
          </w:tcPr>
          <w:p w14:paraId="293BA695" w14:textId="77777777" w:rsidR="00FE01F8" w:rsidRPr="000E2305" w:rsidRDefault="00FE01F8" w:rsidP="00FE01F8">
            <w:pPr>
              <w:spacing w:before="0" w:after="0" w:line="240" w:lineRule="auto"/>
              <w:jc w:val="center"/>
              <w:rPr>
                <w:rFonts w:asciiTheme="minorHAnsi" w:hAnsiTheme="minorHAnsi" w:cstheme="minorHAnsi"/>
                <w:sz w:val="16"/>
                <w:szCs w:val="16"/>
              </w:rPr>
            </w:pPr>
            <w:r w:rsidRPr="000E2305">
              <w:rPr>
                <w:rFonts w:asciiTheme="minorHAnsi" w:hAnsiTheme="minorHAnsi" w:cstheme="minorHAnsi"/>
                <w:sz w:val="16"/>
                <w:szCs w:val="16"/>
              </w:rPr>
              <w:t>Y</w:t>
            </w:r>
          </w:p>
        </w:tc>
        <w:tc>
          <w:tcPr>
            <w:tcW w:w="220" w:type="pct"/>
            <w:vAlign w:val="center"/>
          </w:tcPr>
          <w:p w14:paraId="70727C91" w14:textId="77777777" w:rsidR="00FE01F8" w:rsidRPr="000E2305" w:rsidRDefault="00FE01F8" w:rsidP="00FE01F8">
            <w:pPr>
              <w:spacing w:before="0" w:after="0" w:line="240" w:lineRule="auto"/>
              <w:jc w:val="center"/>
              <w:rPr>
                <w:rFonts w:asciiTheme="minorHAnsi" w:hAnsiTheme="minorHAnsi" w:cstheme="minorHAnsi"/>
                <w:sz w:val="16"/>
                <w:szCs w:val="16"/>
              </w:rPr>
            </w:pPr>
            <w:r w:rsidRPr="000E2305">
              <w:rPr>
                <w:rFonts w:asciiTheme="minorHAnsi" w:hAnsiTheme="minorHAnsi" w:cstheme="minorHAnsi"/>
                <w:sz w:val="16"/>
                <w:szCs w:val="16"/>
              </w:rPr>
              <w:t>N</w:t>
            </w:r>
          </w:p>
        </w:tc>
      </w:tr>
      <w:tr w:rsidR="00FE01F8" w:rsidRPr="000E2305" w14:paraId="79B65F24" w14:textId="77777777" w:rsidTr="000212D1">
        <w:trPr>
          <w:cantSplit/>
          <w:trHeight w:val="195"/>
        </w:trPr>
        <w:tc>
          <w:tcPr>
            <w:tcW w:w="169" w:type="pct"/>
            <w:vMerge w:val="restart"/>
            <w:shd w:val="clear" w:color="auto" w:fill="92D050"/>
            <w:vAlign w:val="center"/>
          </w:tcPr>
          <w:p w14:paraId="6D7949DE" w14:textId="77777777" w:rsidR="00FE01F8" w:rsidRPr="000E2305" w:rsidRDefault="00FE01F8" w:rsidP="00FE01F8">
            <w:pPr>
              <w:spacing w:before="0" w:after="0" w:line="240" w:lineRule="auto"/>
              <w:rPr>
                <w:rFonts w:asciiTheme="minorHAnsi" w:hAnsiTheme="minorHAnsi" w:cstheme="minorHAnsi"/>
                <w:b/>
                <w:sz w:val="16"/>
                <w:szCs w:val="16"/>
              </w:rPr>
            </w:pPr>
          </w:p>
        </w:tc>
        <w:tc>
          <w:tcPr>
            <w:tcW w:w="2291" w:type="pct"/>
            <w:vMerge w:val="restart"/>
          </w:tcPr>
          <w:p w14:paraId="6113A8E1" w14:textId="77777777" w:rsidR="00FE01F8" w:rsidRPr="000E2305" w:rsidRDefault="00FE01F8" w:rsidP="00FE01F8">
            <w:pPr>
              <w:spacing w:before="0" w:after="0" w:line="240" w:lineRule="auto"/>
              <w:rPr>
                <w:rFonts w:asciiTheme="minorHAnsi" w:hAnsiTheme="minorHAnsi" w:cstheme="minorHAnsi"/>
                <w:sz w:val="16"/>
                <w:szCs w:val="16"/>
              </w:rPr>
            </w:pPr>
            <w:r w:rsidRPr="000E2305">
              <w:rPr>
                <w:rFonts w:asciiTheme="minorHAnsi" w:hAnsiTheme="minorHAnsi" w:cstheme="minorHAnsi"/>
                <w:sz w:val="16"/>
                <w:szCs w:val="16"/>
              </w:rPr>
              <w:t>Was the work overseen by an expert advisory committee? Are potential conflicts of interest of committee members declared, managed and/or reported?</w:t>
            </w:r>
          </w:p>
        </w:tc>
        <w:tc>
          <w:tcPr>
            <w:tcW w:w="232" w:type="pct"/>
            <w:shd w:val="clear" w:color="auto" w:fill="92D050"/>
            <w:vAlign w:val="center"/>
          </w:tcPr>
          <w:p w14:paraId="4A42BAD8" w14:textId="574D2901" w:rsidR="00FE01F8" w:rsidRPr="000E2305" w:rsidRDefault="00FE01F8" w:rsidP="00FE01F8">
            <w:pPr>
              <w:spacing w:before="0" w:after="0" w:line="240" w:lineRule="auto"/>
              <w:jc w:val="center"/>
              <w:rPr>
                <w:rFonts w:asciiTheme="minorHAnsi" w:hAnsiTheme="minorHAnsi" w:cstheme="minorHAnsi"/>
                <w:sz w:val="16"/>
                <w:szCs w:val="16"/>
              </w:rPr>
            </w:pPr>
            <w:r>
              <w:rPr>
                <w:rFonts w:asciiTheme="minorHAnsi" w:hAnsiTheme="minorHAnsi" w:cstheme="minorHAnsi"/>
                <w:sz w:val="16"/>
                <w:szCs w:val="16"/>
              </w:rPr>
              <w:t>Y</w:t>
            </w:r>
          </w:p>
        </w:tc>
        <w:tc>
          <w:tcPr>
            <w:tcW w:w="232" w:type="pct"/>
            <w:shd w:val="clear" w:color="auto" w:fill="92D050"/>
            <w:vAlign w:val="center"/>
          </w:tcPr>
          <w:p w14:paraId="7D06DB03" w14:textId="128FE1D0" w:rsidR="00FE01F8" w:rsidRPr="000E2305" w:rsidRDefault="00FE01F8" w:rsidP="00FE01F8">
            <w:pPr>
              <w:spacing w:before="0" w:after="0" w:line="240" w:lineRule="auto"/>
              <w:jc w:val="center"/>
              <w:rPr>
                <w:rFonts w:asciiTheme="minorHAnsi" w:hAnsiTheme="minorHAnsi" w:cstheme="minorHAnsi"/>
                <w:sz w:val="16"/>
                <w:szCs w:val="16"/>
              </w:rPr>
            </w:pPr>
            <w:r>
              <w:rPr>
                <w:rFonts w:asciiTheme="minorHAnsi" w:hAnsiTheme="minorHAnsi" w:cstheme="minorHAnsi"/>
                <w:sz w:val="16"/>
                <w:szCs w:val="16"/>
              </w:rPr>
              <w:t>Y</w:t>
            </w:r>
          </w:p>
        </w:tc>
        <w:tc>
          <w:tcPr>
            <w:tcW w:w="232" w:type="pct"/>
            <w:vAlign w:val="center"/>
          </w:tcPr>
          <w:p w14:paraId="0B0D0D89" w14:textId="44E17ECB" w:rsidR="00FE01F8" w:rsidRPr="000E2305" w:rsidRDefault="00FE01F8" w:rsidP="00FE01F8">
            <w:pPr>
              <w:spacing w:before="0" w:after="0" w:line="240" w:lineRule="auto"/>
              <w:jc w:val="center"/>
              <w:rPr>
                <w:rFonts w:asciiTheme="minorHAnsi" w:hAnsiTheme="minorHAnsi" w:cstheme="minorHAnsi"/>
                <w:sz w:val="16"/>
                <w:szCs w:val="16"/>
              </w:rPr>
            </w:pPr>
            <w:r>
              <w:rPr>
                <w:rFonts w:asciiTheme="minorHAnsi" w:hAnsiTheme="minorHAnsi" w:cstheme="minorHAnsi"/>
                <w:sz w:val="16"/>
                <w:szCs w:val="16"/>
              </w:rPr>
              <w:t>Can’t tell</w:t>
            </w:r>
          </w:p>
        </w:tc>
        <w:tc>
          <w:tcPr>
            <w:tcW w:w="232" w:type="pct"/>
            <w:shd w:val="clear" w:color="auto" w:fill="92D050"/>
            <w:vAlign w:val="center"/>
          </w:tcPr>
          <w:p w14:paraId="0ECCF599" w14:textId="4979ADAC" w:rsidR="00FE01F8" w:rsidRPr="000E2305" w:rsidRDefault="00A422BB" w:rsidP="00FE01F8">
            <w:pPr>
              <w:spacing w:before="0" w:after="0" w:line="240" w:lineRule="auto"/>
              <w:jc w:val="center"/>
              <w:rPr>
                <w:rFonts w:asciiTheme="minorHAnsi" w:hAnsiTheme="minorHAnsi" w:cstheme="minorHAnsi"/>
                <w:sz w:val="16"/>
                <w:szCs w:val="16"/>
              </w:rPr>
            </w:pPr>
            <w:r>
              <w:rPr>
                <w:rFonts w:asciiTheme="minorHAnsi" w:hAnsiTheme="minorHAnsi" w:cstheme="minorHAnsi"/>
                <w:sz w:val="16"/>
                <w:szCs w:val="16"/>
              </w:rPr>
              <w:t>Y</w:t>
            </w:r>
          </w:p>
        </w:tc>
        <w:tc>
          <w:tcPr>
            <w:tcW w:w="232" w:type="pct"/>
            <w:shd w:val="clear" w:color="auto" w:fill="92D050"/>
            <w:vAlign w:val="center"/>
          </w:tcPr>
          <w:p w14:paraId="67F6A43B" w14:textId="6900C047" w:rsidR="00FE01F8" w:rsidRPr="000E2305" w:rsidRDefault="00FE01F8" w:rsidP="00CD2A88">
            <w:pPr>
              <w:spacing w:before="0" w:after="0" w:line="240" w:lineRule="auto"/>
              <w:jc w:val="center"/>
              <w:rPr>
                <w:rFonts w:asciiTheme="minorHAnsi" w:hAnsiTheme="minorHAnsi" w:cstheme="minorHAnsi"/>
                <w:sz w:val="16"/>
                <w:szCs w:val="16"/>
              </w:rPr>
            </w:pPr>
            <w:r w:rsidRPr="000E2305">
              <w:rPr>
                <w:rFonts w:asciiTheme="minorHAnsi" w:hAnsiTheme="minorHAnsi" w:cstheme="minorHAnsi"/>
                <w:sz w:val="16"/>
                <w:szCs w:val="16"/>
              </w:rPr>
              <w:t>Y</w:t>
            </w:r>
          </w:p>
        </w:tc>
        <w:tc>
          <w:tcPr>
            <w:tcW w:w="232" w:type="pct"/>
            <w:shd w:val="clear" w:color="auto" w:fill="92D050"/>
            <w:vAlign w:val="center"/>
          </w:tcPr>
          <w:p w14:paraId="7C07475E" w14:textId="7C043DC4" w:rsidR="00FE01F8" w:rsidRPr="000E2305" w:rsidRDefault="00FE01F8" w:rsidP="00CD2A88">
            <w:pPr>
              <w:spacing w:before="0" w:after="0" w:line="240" w:lineRule="auto"/>
              <w:jc w:val="center"/>
              <w:rPr>
                <w:rFonts w:asciiTheme="minorHAnsi" w:hAnsiTheme="minorHAnsi" w:cstheme="minorHAnsi"/>
                <w:sz w:val="16"/>
                <w:szCs w:val="16"/>
              </w:rPr>
            </w:pPr>
            <w:r w:rsidRPr="000E2305">
              <w:rPr>
                <w:rFonts w:asciiTheme="minorHAnsi" w:hAnsiTheme="minorHAnsi" w:cstheme="minorHAnsi"/>
                <w:sz w:val="16"/>
                <w:szCs w:val="16"/>
              </w:rPr>
              <w:t>Y</w:t>
            </w:r>
          </w:p>
        </w:tc>
        <w:tc>
          <w:tcPr>
            <w:tcW w:w="232" w:type="pct"/>
            <w:vAlign w:val="center"/>
          </w:tcPr>
          <w:p w14:paraId="3E49DC7B" w14:textId="16BAFAFD" w:rsidR="00FE01F8" w:rsidRPr="000E2305" w:rsidRDefault="006110F6" w:rsidP="00FE01F8">
            <w:pPr>
              <w:spacing w:before="0" w:after="0" w:line="240" w:lineRule="auto"/>
              <w:jc w:val="center"/>
              <w:rPr>
                <w:rFonts w:asciiTheme="minorHAnsi" w:hAnsiTheme="minorHAnsi" w:cstheme="minorHAnsi"/>
                <w:sz w:val="16"/>
                <w:szCs w:val="16"/>
              </w:rPr>
            </w:pPr>
            <w:r>
              <w:rPr>
                <w:rFonts w:asciiTheme="minorHAnsi" w:hAnsiTheme="minorHAnsi" w:cstheme="minorHAnsi"/>
                <w:sz w:val="16"/>
                <w:szCs w:val="16"/>
              </w:rPr>
              <w:t>Can’t tell</w:t>
            </w:r>
          </w:p>
        </w:tc>
        <w:tc>
          <w:tcPr>
            <w:tcW w:w="232" w:type="pct"/>
            <w:vAlign w:val="center"/>
          </w:tcPr>
          <w:p w14:paraId="329C33ED" w14:textId="56EB15F4" w:rsidR="00FE01F8" w:rsidRPr="000E2305" w:rsidRDefault="000120E1" w:rsidP="00FE01F8">
            <w:pPr>
              <w:spacing w:before="0" w:after="0" w:line="240" w:lineRule="auto"/>
              <w:jc w:val="center"/>
              <w:rPr>
                <w:rFonts w:asciiTheme="minorHAnsi" w:hAnsiTheme="minorHAnsi" w:cstheme="minorHAnsi"/>
                <w:sz w:val="16"/>
                <w:szCs w:val="16"/>
                <w:highlight w:val="green"/>
              </w:rPr>
            </w:pPr>
            <w:r>
              <w:rPr>
                <w:rFonts w:asciiTheme="minorHAnsi" w:hAnsiTheme="minorHAnsi" w:cstheme="minorHAnsi"/>
                <w:sz w:val="16"/>
                <w:szCs w:val="16"/>
              </w:rPr>
              <w:t>Can’t tell</w:t>
            </w:r>
          </w:p>
        </w:tc>
        <w:tc>
          <w:tcPr>
            <w:tcW w:w="232" w:type="pct"/>
            <w:vAlign w:val="center"/>
          </w:tcPr>
          <w:p w14:paraId="2D80CB63" w14:textId="11A9765D" w:rsidR="00FE01F8" w:rsidRPr="000E2305" w:rsidRDefault="00FE01F8" w:rsidP="00FE01F8">
            <w:pPr>
              <w:spacing w:before="0" w:after="0" w:line="240" w:lineRule="auto"/>
              <w:jc w:val="center"/>
              <w:rPr>
                <w:rFonts w:asciiTheme="minorHAnsi" w:hAnsiTheme="minorHAnsi" w:cstheme="minorHAnsi"/>
                <w:sz w:val="16"/>
                <w:szCs w:val="16"/>
              </w:rPr>
            </w:pPr>
            <w:r>
              <w:rPr>
                <w:rFonts w:asciiTheme="minorHAnsi" w:hAnsiTheme="minorHAnsi" w:cstheme="minorHAnsi"/>
                <w:sz w:val="16"/>
                <w:szCs w:val="16"/>
              </w:rPr>
              <w:t>Can’t tell</w:t>
            </w:r>
          </w:p>
        </w:tc>
        <w:tc>
          <w:tcPr>
            <w:tcW w:w="232" w:type="pct"/>
            <w:shd w:val="clear" w:color="auto" w:fill="92D050"/>
            <w:vAlign w:val="center"/>
          </w:tcPr>
          <w:p w14:paraId="410768F6" w14:textId="77777777" w:rsidR="00FE01F8" w:rsidRPr="000E2305" w:rsidRDefault="00FE01F8" w:rsidP="00FE01F8">
            <w:pPr>
              <w:spacing w:before="0" w:after="0" w:line="240" w:lineRule="auto"/>
              <w:jc w:val="center"/>
              <w:rPr>
                <w:rFonts w:asciiTheme="minorHAnsi" w:hAnsiTheme="minorHAnsi" w:cstheme="minorHAnsi"/>
                <w:sz w:val="16"/>
                <w:szCs w:val="16"/>
              </w:rPr>
            </w:pPr>
            <w:r w:rsidRPr="000E2305">
              <w:rPr>
                <w:rFonts w:asciiTheme="minorHAnsi" w:hAnsiTheme="minorHAnsi" w:cstheme="minorHAnsi"/>
                <w:sz w:val="16"/>
                <w:szCs w:val="16"/>
              </w:rPr>
              <w:t>Y</w:t>
            </w:r>
          </w:p>
        </w:tc>
        <w:tc>
          <w:tcPr>
            <w:tcW w:w="220" w:type="pct"/>
            <w:shd w:val="clear" w:color="auto" w:fill="92D050"/>
            <w:vAlign w:val="center"/>
          </w:tcPr>
          <w:p w14:paraId="54527098" w14:textId="42ECA9D1" w:rsidR="00FE01F8" w:rsidRPr="000E2305" w:rsidRDefault="00A422BB" w:rsidP="00FE01F8">
            <w:pPr>
              <w:spacing w:before="0" w:after="0" w:line="240" w:lineRule="auto"/>
              <w:jc w:val="center"/>
              <w:rPr>
                <w:rFonts w:asciiTheme="minorHAnsi" w:hAnsiTheme="minorHAnsi" w:cstheme="minorHAnsi"/>
                <w:sz w:val="16"/>
                <w:szCs w:val="16"/>
              </w:rPr>
            </w:pPr>
            <w:r>
              <w:rPr>
                <w:rFonts w:asciiTheme="minorHAnsi" w:hAnsiTheme="minorHAnsi" w:cstheme="minorHAnsi"/>
                <w:sz w:val="16"/>
                <w:szCs w:val="16"/>
              </w:rPr>
              <w:t>Y</w:t>
            </w:r>
          </w:p>
        </w:tc>
      </w:tr>
      <w:tr w:rsidR="00FE01F8" w:rsidRPr="000E2305" w14:paraId="3CC5406B" w14:textId="77777777" w:rsidTr="000212D1">
        <w:trPr>
          <w:cantSplit/>
          <w:trHeight w:val="195"/>
        </w:trPr>
        <w:tc>
          <w:tcPr>
            <w:tcW w:w="169" w:type="pct"/>
            <w:vMerge/>
            <w:shd w:val="clear" w:color="auto" w:fill="92D050"/>
            <w:vAlign w:val="center"/>
          </w:tcPr>
          <w:p w14:paraId="646CE5CE" w14:textId="77777777" w:rsidR="00FE01F8" w:rsidRPr="000E2305" w:rsidRDefault="00FE01F8" w:rsidP="00FE01F8">
            <w:pPr>
              <w:spacing w:before="0" w:after="0" w:line="240" w:lineRule="auto"/>
              <w:rPr>
                <w:rFonts w:asciiTheme="minorHAnsi" w:hAnsiTheme="minorHAnsi" w:cstheme="minorHAnsi"/>
                <w:b/>
                <w:sz w:val="16"/>
                <w:szCs w:val="16"/>
              </w:rPr>
            </w:pPr>
          </w:p>
        </w:tc>
        <w:tc>
          <w:tcPr>
            <w:tcW w:w="2291" w:type="pct"/>
            <w:vMerge/>
          </w:tcPr>
          <w:p w14:paraId="40B9083F" w14:textId="77777777" w:rsidR="00FE01F8" w:rsidRPr="000E2305" w:rsidRDefault="00FE01F8" w:rsidP="00FE01F8">
            <w:pPr>
              <w:spacing w:before="0" w:after="0" w:line="240" w:lineRule="auto"/>
              <w:rPr>
                <w:rFonts w:asciiTheme="minorHAnsi" w:hAnsiTheme="minorHAnsi" w:cstheme="minorHAnsi"/>
                <w:sz w:val="16"/>
                <w:szCs w:val="16"/>
              </w:rPr>
            </w:pPr>
          </w:p>
        </w:tc>
        <w:tc>
          <w:tcPr>
            <w:tcW w:w="232" w:type="pct"/>
            <w:vAlign w:val="center"/>
          </w:tcPr>
          <w:p w14:paraId="157E2EC2" w14:textId="00584E7E" w:rsidR="00FE01F8" w:rsidRPr="000E2305" w:rsidRDefault="00FE01F8" w:rsidP="00FE01F8">
            <w:pPr>
              <w:spacing w:before="0" w:after="0" w:line="240" w:lineRule="auto"/>
              <w:jc w:val="center"/>
              <w:rPr>
                <w:rFonts w:asciiTheme="minorHAnsi" w:hAnsiTheme="minorHAnsi" w:cstheme="minorHAnsi"/>
                <w:sz w:val="16"/>
                <w:szCs w:val="16"/>
              </w:rPr>
            </w:pPr>
            <w:r>
              <w:rPr>
                <w:rFonts w:asciiTheme="minorHAnsi" w:hAnsiTheme="minorHAnsi" w:cstheme="minorHAnsi"/>
                <w:sz w:val="16"/>
                <w:szCs w:val="16"/>
              </w:rPr>
              <w:t>N</w:t>
            </w:r>
          </w:p>
        </w:tc>
        <w:tc>
          <w:tcPr>
            <w:tcW w:w="232" w:type="pct"/>
            <w:vAlign w:val="center"/>
          </w:tcPr>
          <w:p w14:paraId="24D48219" w14:textId="251144D8" w:rsidR="00FE01F8" w:rsidRPr="000E2305" w:rsidRDefault="00FE01F8" w:rsidP="00FE01F8">
            <w:pPr>
              <w:spacing w:before="0" w:after="0" w:line="240" w:lineRule="auto"/>
              <w:jc w:val="center"/>
              <w:rPr>
                <w:rFonts w:asciiTheme="minorHAnsi" w:hAnsiTheme="minorHAnsi" w:cstheme="minorHAnsi"/>
                <w:sz w:val="16"/>
                <w:szCs w:val="16"/>
              </w:rPr>
            </w:pPr>
            <w:r>
              <w:rPr>
                <w:rFonts w:asciiTheme="minorHAnsi" w:hAnsiTheme="minorHAnsi" w:cstheme="minorHAnsi"/>
                <w:sz w:val="16"/>
                <w:szCs w:val="16"/>
              </w:rPr>
              <w:t>N</w:t>
            </w:r>
          </w:p>
        </w:tc>
        <w:tc>
          <w:tcPr>
            <w:tcW w:w="232" w:type="pct"/>
            <w:vAlign w:val="center"/>
          </w:tcPr>
          <w:p w14:paraId="078FC6B6" w14:textId="19CA1973" w:rsidR="00FE01F8" w:rsidRPr="000E2305" w:rsidRDefault="00FE01F8" w:rsidP="00FE01F8">
            <w:pPr>
              <w:spacing w:before="0" w:after="0" w:line="240" w:lineRule="auto"/>
              <w:jc w:val="center"/>
              <w:rPr>
                <w:rFonts w:asciiTheme="minorHAnsi" w:hAnsiTheme="minorHAnsi" w:cstheme="minorHAnsi"/>
                <w:sz w:val="16"/>
                <w:szCs w:val="16"/>
              </w:rPr>
            </w:pPr>
            <w:r>
              <w:rPr>
                <w:rFonts w:asciiTheme="minorHAnsi" w:hAnsiTheme="minorHAnsi" w:cstheme="minorHAnsi"/>
                <w:sz w:val="16"/>
                <w:szCs w:val="16"/>
              </w:rPr>
              <w:t>N</w:t>
            </w:r>
          </w:p>
        </w:tc>
        <w:tc>
          <w:tcPr>
            <w:tcW w:w="232" w:type="pct"/>
            <w:vAlign w:val="center"/>
          </w:tcPr>
          <w:p w14:paraId="31C6EE7D" w14:textId="5C088B74" w:rsidR="00FE01F8" w:rsidRPr="000E2305" w:rsidRDefault="00A422BB" w:rsidP="00FE01F8">
            <w:pPr>
              <w:spacing w:before="0" w:after="0" w:line="240" w:lineRule="auto"/>
              <w:jc w:val="center"/>
              <w:rPr>
                <w:rFonts w:asciiTheme="minorHAnsi" w:hAnsiTheme="minorHAnsi" w:cstheme="minorHAnsi"/>
                <w:sz w:val="16"/>
                <w:szCs w:val="16"/>
              </w:rPr>
            </w:pPr>
            <w:r>
              <w:rPr>
                <w:rFonts w:asciiTheme="minorHAnsi" w:hAnsiTheme="minorHAnsi" w:cstheme="minorHAnsi"/>
                <w:sz w:val="16"/>
                <w:szCs w:val="16"/>
              </w:rPr>
              <w:t>N</w:t>
            </w:r>
          </w:p>
        </w:tc>
        <w:tc>
          <w:tcPr>
            <w:tcW w:w="232" w:type="pct"/>
            <w:vAlign w:val="center"/>
          </w:tcPr>
          <w:p w14:paraId="37B7F7FE" w14:textId="5CDD5502" w:rsidR="00FE01F8" w:rsidRPr="000E2305" w:rsidRDefault="00FE01F8" w:rsidP="00FE01F8">
            <w:pPr>
              <w:spacing w:before="0" w:after="0" w:line="240" w:lineRule="auto"/>
              <w:jc w:val="center"/>
              <w:rPr>
                <w:rFonts w:asciiTheme="minorHAnsi" w:hAnsiTheme="minorHAnsi" w:cstheme="minorHAnsi"/>
                <w:sz w:val="16"/>
                <w:szCs w:val="16"/>
              </w:rPr>
            </w:pPr>
            <w:r>
              <w:rPr>
                <w:rFonts w:asciiTheme="minorHAnsi" w:hAnsiTheme="minorHAnsi" w:cstheme="minorHAnsi"/>
                <w:sz w:val="16"/>
                <w:szCs w:val="16"/>
              </w:rPr>
              <w:t>N</w:t>
            </w:r>
          </w:p>
        </w:tc>
        <w:tc>
          <w:tcPr>
            <w:tcW w:w="232" w:type="pct"/>
            <w:vAlign w:val="center"/>
          </w:tcPr>
          <w:p w14:paraId="27B1A929" w14:textId="49C27B11" w:rsidR="00FE01F8" w:rsidRPr="000E2305" w:rsidRDefault="00FE01F8" w:rsidP="00FE01F8">
            <w:pPr>
              <w:spacing w:before="0" w:after="0" w:line="240" w:lineRule="auto"/>
              <w:jc w:val="center"/>
              <w:rPr>
                <w:rFonts w:asciiTheme="minorHAnsi" w:hAnsiTheme="minorHAnsi" w:cstheme="minorHAnsi"/>
                <w:sz w:val="16"/>
                <w:szCs w:val="16"/>
              </w:rPr>
            </w:pPr>
            <w:r>
              <w:rPr>
                <w:rFonts w:asciiTheme="minorHAnsi" w:hAnsiTheme="minorHAnsi" w:cstheme="minorHAnsi"/>
                <w:sz w:val="16"/>
                <w:szCs w:val="16"/>
              </w:rPr>
              <w:t>N</w:t>
            </w:r>
          </w:p>
        </w:tc>
        <w:tc>
          <w:tcPr>
            <w:tcW w:w="232" w:type="pct"/>
            <w:vAlign w:val="center"/>
          </w:tcPr>
          <w:p w14:paraId="65B35439" w14:textId="1E3B69D8" w:rsidR="00FE01F8" w:rsidRPr="000E2305" w:rsidRDefault="006110F6" w:rsidP="00FE01F8">
            <w:pPr>
              <w:spacing w:before="0" w:after="0" w:line="240" w:lineRule="auto"/>
              <w:jc w:val="center"/>
              <w:rPr>
                <w:rFonts w:asciiTheme="minorHAnsi" w:hAnsiTheme="minorHAnsi" w:cstheme="minorHAnsi"/>
                <w:sz w:val="16"/>
                <w:szCs w:val="16"/>
              </w:rPr>
            </w:pPr>
            <w:r>
              <w:rPr>
                <w:rFonts w:asciiTheme="minorHAnsi" w:hAnsiTheme="minorHAnsi" w:cstheme="minorHAnsi"/>
                <w:sz w:val="16"/>
                <w:szCs w:val="16"/>
              </w:rPr>
              <w:t>N</w:t>
            </w:r>
          </w:p>
        </w:tc>
        <w:tc>
          <w:tcPr>
            <w:tcW w:w="232" w:type="pct"/>
            <w:vAlign w:val="center"/>
          </w:tcPr>
          <w:p w14:paraId="2BB2EFBE" w14:textId="77777777" w:rsidR="00FE01F8" w:rsidRPr="000E2305" w:rsidRDefault="00FE01F8" w:rsidP="00FE01F8">
            <w:pPr>
              <w:spacing w:before="0" w:after="0" w:line="240" w:lineRule="auto"/>
              <w:jc w:val="center"/>
              <w:rPr>
                <w:rFonts w:asciiTheme="minorHAnsi" w:hAnsiTheme="minorHAnsi" w:cstheme="minorHAnsi"/>
                <w:sz w:val="16"/>
                <w:szCs w:val="16"/>
                <w:highlight w:val="green"/>
              </w:rPr>
            </w:pPr>
            <w:r w:rsidRPr="000E2305">
              <w:rPr>
                <w:rFonts w:asciiTheme="minorHAnsi" w:hAnsiTheme="minorHAnsi" w:cstheme="minorHAnsi"/>
                <w:sz w:val="16"/>
                <w:szCs w:val="16"/>
              </w:rPr>
              <w:t>N</w:t>
            </w:r>
          </w:p>
        </w:tc>
        <w:tc>
          <w:tcPr>
            <w:tcW w:w="232" w:type="pct"/>
            <w:vAlign w:val="center"/>
          </w:tcPr>
          <w:p w14:paraId="0AA4081F" w14:textId="2D2E877B" w:rsidR="00FE01F8" w:rsidRPr="000E2305" w:rsidRDefault="00FE01F8" w:rsidP="00FE01F8">
            <w:pPr>
              <w:spacing w:before="0" w:after="0" w:line="240" w:lineRule="auto"/>
              <w:jc w:val="center"/>
              <w:rPr>
                <w:rFonts w:asciiTheme="minorHAnsi" w:hAnsiTheme="minorHAnsi" w:cstheme="minorHAnsi"/>
                <w:sz w:val="16"/>
                <w:szCs w:val="16"/>
              </w:rPr>
            </w:pPr>
            <w:r>
              <w:rPr>
                <w:rFonts w:asciiTheme="minorHAnsi" w:hAnsiTheme="minorHAnsi" w:cstheme="minorHAnsi"/>
                <w:sz w:val="16"/>
                <w:szCs w:val="16"/>
              </w:rPr>
              <w:t>N</w:t>
            </w:r>
          </w:p>
        </w:tc>
        <w:tc>
          <w:tcPr>
            <w:tcW w:w="232" w:type="pct"/>
            <w:vAlign w:val="center"/>
          </w:tcPr>
          <w:p w14:paraId="51D8344C" w14:textId="617A1532" w:rsidR="00FE01F8" w:rsidRPr="000E2305" w:rsidRDefault="003C7709" w:rsidP="00FE01F8">
            <w:pPr>
              <w:spacing w:before="0" w:after="0" w:line="240" w:lineRule="auto"/>
              <w:jc w:val="center"/>
              <w:rPr>
                <w:rFonts w:asciiTheme="minorHAnsi" w:hAnsiTheme="minorHAnsi" w:cstheme="minorHAnsi"/>
                <w:sz w:val="16"/>
                <w:szCs w:val="16"/>
              </w:rPr>
            </w:pPr>
            <w:r>
              <w:rPr>
                <w:rFonts w:asciiTheme="minorHAnsi" w:hAnsiTheme="minorHAnsi" w:cstheme="minorHAnsi"/>
                <w:sz w:val="16"/>
                <w:szCs w:val="16"/>
              </w:rPr>
              <w:t>N</w:t>
            </w:r>
          </w:p>
        </w:tc>
        <w:tc>
          <w:tcPr>
            <w:tcW w:w="220" w:type="pct"/>
            <w:vAlign w:val="center"/>
          </w:tcPr>
          <w:p w14:paraId="6E5B39CC" w14:textId="0C3B806F" w:rsidR="00FE01F8" w:rsidRPr="000E2305" w:rsidRDefault="00A422BB" w:rsidP="00FE01F8">
            <w:pPr>
              <w:spacing w:before="0" w:after="0" w:line="240" w:lineRule="auto"/>
              <w:jc w:val="center"/>
              <w:rPr>
                <w:rFonts w:asciiTheme="minorHAnsi" w:hAnsiTheme="minorHAnsi" w:cstheme="minorHAnsi"/>
                <w:sz w:val="16"/>
                <w:szCs w:val="16"/>
              </w:rPr>
            </w:pPr>
            <w:r>
              <w:rPr>
                <w:rFonts w:asciiTheme="minorHAnsi" w:hAnsiTheme="minorHAnsi" w:cstheme="minorHAnsi"/>
                <w:sz w:val="16"/>
                <w:szCs w:val="16"/>
              </w:rPr>
              <w:t>N</w:t>
            </w:r>
          </w:p>
        </w:tc>
      </w:tr>
      <w:tr w:rsidR="00FE01F8" w:rsidRPr="000E2305" w14:paraId="6080CDB3" w14:textId="77777777" w:rsidTr="000212D1">
        <w:trPr>
          <w:cantSplit/>
        </w:trPr>
        <w:tc>
          <w:tcPr>
            <w:tcW w:w="169" w:type="pct"/>
            <w:shd w:val="clear" w:color="auto" w:fill="92D050"/>
            <w:vAlign w:val="center"/>
          </w:tcPr>
          <w:p w14:paraId="764525B4" w14:textId="77777777" w:rsidR="00FE01F8" w:rsidRPr="000E2305" w:rsidRDefault="00FE01F8" w:rsidP="00FE01F8">
            <w:pPr>
              <w:spacing w:before="0" w:after="0" w:line="240" w:lineRule="auto"/>
              <w:rPr>
                <w:rFonts w:asciiTheme="minorHAnsi" w:hAnsiTheme="minorHAnsi" w:cstheme="minorHAnsi"/>
                <w:b/>
                <w:sz w:val="16"/>
                <w:szCs w:val="16"/>
              </w:rPr>
            </w:pPr>
          </w:p>
        </w:tc>
        <w:tc>
          <w:tcPr>
            <w:tcW w:w="2291" w:type="pct"/>
          </w:tcPr>
          <w:p w14:paraId="55C46C9D" w14:textId="77777777" w:rsidR="00FE01F8" w:rsidRPr="000E2305" w:rsidRDefault="00FE01F8" w:rsidP="00FE01F8">
            <w:pPr>
              <w:spacing w:before="0" w:after="0" w:line="240" w:lineRule="auto"/>
              <w:rPr>
                <w:rFonts w:asciiTheme="minorHAnsi" w:hAnsiTheme="minorHAnsi" w:cstheme="minorHAnsi"/>
                <w:sz w:val="16"/>
                <w:szCs w:val="16"/>
              </w:rPr>
            </w:pPr>
            <w:r w:rsidRPr="000E2305">
              <w:rPr>
                <w:rFonts w:asciiTheme="minorHAnsi" w:hAnsiTheme="minorHAnsi" w:cstheme="minorHAnsi"/>
                <w:sz w:val="16"/>
                <w:szCs w:val="16"/>
              </w:rPr>
              <w:t>Are funding sources declared?</w:t>
            </w:r>
          </w:p>
        </w:tc>
        <w:tc>
          <w:tcPr>
            <w:tcW w:w="232" w:type="pct"/>
            <w:vAlign w:val="center"/>
          </w:tcPr>
          <w:p w14:paraId="6B87B78C" w14:textId="77777777" w:rsidR="00FE01F8" w:rsidRPr="000E2305" w:rsidRDefault="00FE01F8" w:rsidP="00FE01F8">
            <w:pPr>
              <w:spacing w:before="0" w:after="0" w:line="240" w:lineRule="auto"/>
              <w:jc w:val="center"/>
              <w:rPr>
                <w:rFonts w:asciiTheme="minorHAnsi" w:hAnsiTheme="minorHAnsi" w:cstheme="minorHAnsi"/>
                <w:sz w:val="16"/>
                <w:szCs w:val="16"/>
              </w:rPr>
            </w:pPr>
            <w:r w:rsidRPr="000E2305">
              <w:rPr>
                <w:rFonts w:asciiTheme="minorHAnsi" w:hAnsiTheme="minorHAnsi" w:cstheme="minorHAnsi"/>
                <w:sz w:val="16"/>
                <w:szCs w:val="16"/>
              </w:rPr>
              <w:t>N</w:t>
            </w:r>
          </w:p>
        </w:tc>
        <w:tc>
          <w:tcPr>
            <w:tcW w:w="232" w:type="pct"/>
            <w:vAlign w:val="center"/>
          </w:tcPr>
          <w:p w14:paraId="50996102" w14:textId="44A43AE0" w:rsidR="00FE01F8" w:rsidRPr="000E2305" w:rsidRDefault="00FE01F8" w:rsidP="00FE01F8">
            <w:pPr>
              <w:spacing w:before="0" w:after="0" w:line="240" w:lineRule="auto"/>
              <w:jc w:val="center"/>
              <w:rPr>
                <w:rFonts w:asciiTheme="minorHAnsi" w:hAnsiTheme="minorHAnsi" w:cstheme="minorHAnsi"/>
                <w:sz w:val="16"/>
                <w:szCs w:val="16"/>
              </w:rPr>
            </w:pPr>
            <w:r w:rsidRPr="000E2305">
              <w:rPr>
                <w:rFonts w:asciiTheme="minorHAnsi" w:hAnsiTheme="minorHAnsi" w:cstheme="minorHAnsi"/>
                <w:sz w:val="16"/>
                <w:szCs w:val="16"/>
              </w:rPr>
              <w:t>N</w:t>
            </w:r>
          </w:p>
        </w:tc>
        <w:tc>
          <w:tcPr>
            <w:tcW w:w="232" w:type="pct"/>
            <w:vAlign w:val="center"/>
          </w:tcPr>
          <w:p w14:paraId="272B59FA" w14:textId="77777777" w:rsidR="00FE01F8" w:rsidRPr="000E2305" w:rsidRDefault="00FE01F8" w:rsidP="00FE01F8">
            <w:pPr>
              <w:spacing w:before="0" w:after="0" w:line="240" w:lineRule="auto"/>
              <w:jc w:val="center"/>
              <w:rPr>
                <w:rFonts w:asciiTheme="minorHAnsi" w:hAnsiTheme="minorHAnsi" w:cstheme="minorHAnsi"/>
                <w:sz w:val="16"/>
                <w:szCs w:val="16"/>
              </w:rPr>
            </w:pPr>
            <w:r w:rsidRPr="000E2305">
              <w:rPr>
                <w:rFonts w:asciiTheme="minorHAnsi" w:hAnsiTheme="minorHAnsi" w:cstheme="minorHAnsi"/>
                <w:sz w:val="16"/>
                <w:szCs w:val="16"/>
              </w:rPr>
              <w:t>N</w:t>
            </w:r>
          </w:p>
        </w:tc>
        <w:tc>
          <w:tcPr>
            <w:tcW w:w="232" w:type="pct"/>
            <w:vAlign w:val="center"/>
          </w:tcPr>
          <w:p w14:paraId="452793E7" w14:textId="77777777" w:rsidR="00FE01F8" w:rsidRPr="000E2305" w:rsidRDefault="00FE01F8" w:rsidP="00FE01F8">
            <w:pPr>
              <w:spacing w:before="0" w:after="0" w:line="240" w:lineRule="auto"/>
              <w:jc w:val="center"/>
              <w:rPr>
                <w:rFonts w:asciiTheme="minorHAnsi" w:hAnsiTheme="minorHAnsi" w:cstheme="minorHAnsi"/>
                <w:sz w:val="16"/>
                <w:szCs w:val="16"/>
              </w:rPr>
            </w:pPr>
            <w:r w:rsidRPr="000E2305">
              <w:rPr>
                <w:rFonts w:asciiTheme="minorHAnsi" w:hAnsiTheme="minorHAnsi" w:cstheme="minorHAnsi"/>
                <w:sz w:val="16"/>
                <w:szCs w:val="16"/>
              </w:rPr>
              <w:t>N</w:t>
            </w:r>
          </w:p>
        </w:tc>
        <w:tc>
          <w:tcPr>
            <w:tcW w:w="232" w:type="pct"/>
            <w:vAlign w:val="center"/>
          </w:tcPr>
          <w:p w14:paraId="1A61D4B8" w14:textId="77777777" w:rsidR="00FE01F8" w:rsidRPr="000E2305" w:rsidRDefault="00FE01F8" w:rsidP="00FE01F8">
            <w:pPr>
              <w:spacing w:before="0" w:after="0" w:line="240" w:lineRule="auto"/>
              <w:jc w:val="center"/>
              <w:rPr>
                <w:rFonts w:asciiTheme="minorHAnsi" w:hAnsiTheme="minorHAnsi" w:cstheme="minorHAnsi"/>
                <w:sz w:val="16"/>
                <w:szCs w:val="16"/>
              </w:rPr>
            </w:pPr>
            <w:r w:rsidRPr="000E2305">
              <w:rPr>
                <w:rFonts w:asciiTheme="minorHAnsi" w:hAnsiTheme="minorHAnsi" w:cstheme="minorHAnsi"/>
                <w:sz w:val="16"/>
                <w:szCs w:val="16"/>
              </w:rPr>
              <w:t>N</w:t>
            </w:r>
          </w:p>
        </w:tc>
        <w:tc>
          <w:tcPr>
            <w:tcW w:w="232" w:type="pct"/>
            <w:vAlign w:val="center"/>
          </w:tcPr>
          <w:p w14:paraId="362A5B7B" w14:textId="2613DE04" w:rsidR="00FE01F8" w:rsidRPr="000E2305" w:rsidRDefault="00FE01F8" w:rsidP="00FE01F8">
            <w:pPr>
              <w:spacing w:before="0" w:after="0" w:line="240" w:lineRule="auto"/>
              <w:jc w:val="center"/>
              <w:rPr>
                <w:rFonts w:asciiTheme="minorHAnsi" w:hAnsiTheme="minorHAnsi" w:cstheme="minorHAnsi"/>
                <w:sz w:val="16"/>
                <w:szCs w:val="16"/>
              </w:rPr>
            </w:pPr>
            <w:r w:rsidRPr="000E2305">
              <w:rPr>
                <w:rFonts w:asciiTheme="minorHAnsi" w:hAnsiTheme="minorHAnsi" w:cstheme="minorHAnsi"/>
                <w:sz w:val="16"/>
                <w:szCs w:val="16"/>
              </w:rPr>
              <w:t>N</w:t>
            </w:r>
          </w:p>
        </w:tc>
        <w:tc>
          <w:tcPr>
            <w:tcW w:w="232" w:type="pct"/>
            <w:vAlign w:val="center"/>
          </w:tcPr>
          <w:p w14:paraId="12043FD9" w14:textId="77777777" w:rsidR="00FE01F8" w:rsidRPr="000E2305" w:rsidRDefault="00FE01F8" w:rsidP="00FE01F8">
            <w:pPr>
              <w:spacing w:before="0" w:after="0" w:line="240" w:lineRule="auto"/>
              <w:jc w:val="center"/>
              <w:rPr>
                <w:rFonts w:asciiTheme="minorHAnsi" w:hAnsiTheme="minorHAnsi" w:cstheme="minorHAnsi"/>
                <w:sz w:val="16"/>
                <w:szCs w:val="16"/>
              </w:rPr>
            </w:pPr>
            <w:r w:rsidRPr="000E2305">
              <w:rPr>
                <w:rFonts w:asciiTheme="minorHAnsi" w:hAnsiTheme="minorHAnsi" w:cstheme="minorHAnsi"/>
                <w:sz w:val="16"/>
                <w:szCs w:val="16"/>
              </w:rPr>
              <w:t>N</w:t>
            </w:r>
          </w:p>
        </w:tc>
        <w:tc>
          <w:tcPr>
            <w:tcW w:w="232" w:type="pct"/>
            <w:vAlign w:val="center"/>
          </w:tcPr>
          <w:p w14:paraId="48122A38" w14:textId="77777777" w:rsidR="00FE01F8" w:rsidRPr="000E2305" w:rsidRDefault="00FE01F8" w:rsidP="00FE01F8">
            <w:pPr>
              <w:spacing w:before="0" w:after="0" w:line="240" w:lineRule="auto"/>
              <w:jc w:val="center"/>
              <w:rPr>
                <w:rFonts w:asciiTheme="minorHAnsi" w:hAnsiTheme="minorHAnsi" w:cstheme="minorHAnsi"/>
                <w:sz w:val="16"/>
                <w:szCs w:val="16"/>
              </w:rPr>
            </w:pPr>
            <w:r w:rsidRPr="000E2305">
              <w:rPr>
                <w:rFonts w:asciiTheme="minorHAnsi" w:hAnsiTheme="minorHAnsi" w:cstheme="minorHAnsi"/>
                <w:sz w:val="16"/>
                <w:szCs w:val="16"/>
              </w:rPr>
              <w:t>N</w:t>
            </w:r>
          </w:p>
        </w:tc>
        <w:tc>
          <w:tcPr>
            <w:tcW w:w="232" w:type="pct"/>
            <w:vAlign w:val="center"/>
          </w:tcPr>
          <w:p w14:paraId="7BEA7DA2" w14:textId="77777777" w:rsidR="00FE01F8" w:rsidRPr="000E2305" w:rsidRDefault="00FE01F8" w:rsidP="00FE01F8">
            <w:pPr>
              <w:spacing w:before="0" w:after="0" w:line="240" w:lineRule="auto"/>
              <w:jc w:val="center"/>
              <w:rPr>
                <w:rFonts w:asciiTheme="minorHAnsi" w:hAnsiTheme="minorHAnsi" w:cstheme="minorHAnsi"/>
                <w:sz w:val="16"/>
                <w:szCs w:val="16"/>
              </w:rPr>
            </w:pPr>
            <w:r w:rsidRPr="000E2305">
              <w:rPr>
                <w:rFonts w:asciiTheme="minorHAnsi" w:hAnsiTheme="minorHAnsi" w:cstheme="minorHAnsi"/>
                <w:sz w:val="16"/>
                <w:szCs w:val="16"/>
              </w:rPr>
              <w:t>N</w:t>
            </w:r>
          </w:p>
        </w:tc>
        <w:tc>
          <w:tcPr>
            <w:tcW w:w="232" w:type="pct"/>
            <w:vAlign w:val="center"/>
          </w:tcPr>
          <w:p w14:paraId="6DE2A124" w14:textId="77777777" w:rsidR="00FE01F8" w:rsidRPr="000E2305" w:rsidRDefault="00FE01F8" w:rsidP="00FE01F8">
            <w:pPr>
              <w:spacing w:before="0" w:after="0" w:line="240" w:lineRule="auto"/>
              <w:jc w:val="center"/>
              <w:rPr>
                <w:rFonts w:asciiTheme="minorHAnsi" w:hAnsiTheme="minorHAnsi" w:cstheme="minorHAnsi"/>
                <w:sz w:val="16"/>
                <w:szCs w:val="16"/>
              </w:rPr>
            </w:pPr>
            <w:r w:rsidRPr="000E2305">
              <w:rPr>
                <w:rFonts w:asciiTheme="minorHAnsi" w:hAnsiTheme="minorHAnsi" w:cstheme="minorHAnsi"/>
                <w:sz w:val="16"/>
                <w:szCs w:val="16"/>
              </w:rPr>
              <w:t>N</w:t>
            </w:r>
          </w:p>
        </w:tc>
        <w:tc>
          <w:tcPr>
            <w:tcW w:w="220" w:type="pct"/>
            <w:vAlign w:val="center"/>
          </w:tcPr>
          <w:p w14:paraId="2A4CD47F" w14:textId="77777777" w:rsidR="00FE01F8" w:rsidRPr="000E2305" w:rsidRDefault="00FE01F8" w:rsidP="00FE01F8">
            <w:pPr>
              <w:spacing w:before="0" w:after="0" w:line="240" w:lineRule="auto"/>
              <w:jc w:val="center"/>
              <w:rPr>
                <w:rFonts w:asciiTheme="minorHAnsi" w:hAnsiTheme="minorHAnsi" w:cstheme="minorHAnsi"/>
                <w:sz w:val="16"/>
                <w:szCs w:val="16"/>
              </w:rPr>
            </w:pPr>
            <w:r w:rsidRPr="000E2305">
              <w:rPr>
                <w:rFonts w:asciiTheme="minorHAnsi" w:hAnsiTheme="minorHAnsi" w:cstheme="minorHAnsi"/>
                <w:sz w:val="16"/>
                <w:szCs w:val="16"/>
              </w:rPr>
              <w:t>N</w:t>
            </w:r>
          </w:p>
        </w:tc>
      </w:tr>
      <w:tr w:rsidR="006110F6" w:rsidRPr="000E2305" w14:paraId="3BA60F37" w14:textId="77777777" w:rsidTr="000212D1">
        <w:trPr>
          <w:cantSplit/>
        </w:trPr>
        <w:tc>
          <w:tcPr>
            <w:tcW w:w="169" w:type="pct"/>
            <w:shd w:val="clear" w:color="auto" w:fill="FFFF00"/>
            <w:vAlign w:val="center"/>
          </w:tcPr>
          <w:p w14:paraId="48602365" w14:textId="77777777" w:rsidR="00FE01F8" w:rsidRPr="000E2305" w:rsidRDefault="00FE01F8" w:rsidP="00FE01F8">
            <w:pPr>
              <w:spacing w:before="0" w:after="0" w:line="240" w:lineRule="auto"/>
              <w:rPr>
                <w:rFonts w:asciiTheme="minorHAnsi" w:hAnsiTheme="minorHAnsi" w:cstheme="minorHAnsi"/>
                <w:b/>
                <w:sz w:val="16"/>
                <w:szCs w:val="16"/>
              </w:rPr>
            </w:pPr>
          </w:p>
        </w:tc>
        <w:tc>
          <w:tcPr>
            <w:tcW w:w="2291" w:type="pct"/>
          </w:tcPr>
          <w:p w14:paraId="2B3AAB97" w14:textId="77777777" w:rsidR="00FE01F8" w:rsidRPr="000E2305" w:rsidRDefault="00FE01F8" w:rsidP="00FE01F8">
            <w:pPr>
              <w:spacing w:before="0" w:after="0" w:line="240" w:lineRule="auto"/>
              <w:rPr>
                <w:rFonts w:asciiTheme="minorHAnsi" w:hAnsiTheme="minorHAnsi" w:cstheme="minorHAnsi"/>
                <w:sz w:val="16"/>
                <w:szCs w:val="16"/>
              </w:rPr>
            </w:pPr>
            <w:r w:rsidRPr="000E2305">
              <w:rPr>
                <w:rFonts w:asciiTheme="minorHAnsi" w:hAnsiTheme="minorHAnsi" w:cstheme="minorHAnsi"/>
                <w:sz w:val="16"/>
                <w:szCs w:val="16"/>
              </w:rPr>
              <w:t>Was there public consultation on this work? If so, provide details.</w:t>
            </w:r>
          </w:p>
        </w:tc>
        <w:tc>
          <w:tcPr>
            <w:tcW w:w="232" w:type="pct"/>
            <w:vAlign w:val="center"/>
          </w:tcPr>
          <w:p w14:paraId="04D587CA" w14:textId="1FD2CBD2" w:rsidR="00FE01F8" w:rsidRPr="000E2305" w:rsidRDefault="00FE01F8" w:rsidP="00FE01F8">
            <w:pPr>
              <w:spacing w:before="0" w:after="0" w:line="240" w:lineRule="auto"/>
              <w:jc w:val="center"/>
              <w:rPr>
                <w:rFonts w:asciiTheme="minorHAnsi" w:hAnsiTheme="minorHAnsi" w:cstheme="minorHAnsi"/>
                <w:sz w:val="16"/>
                <w:szCs w:val="16"/>
              </w:rPr>
            </w:pPr>
            <w:r>
              <w:rPr>
                <w:rFonts w:asciiTheme="minorHAnsi" w:hAnsiTheme="minorHAnsi" w:cstheme="minorHAnsi"/>
                <w:sz w:val="16"/>
                <w:szCs w:val="16"/>
              </w:rPr>
              <w:t>Can’t tell</w:t>
            </w:r>
          </w:p>
        </w:tc>
        <w:tc>
          <w:tcPr>
            <w:tcW w:w="232" w:type="pct"/>
            <w:vAlign w:val="center"/>
          </w:tcPr>
          <w:p w14:paraId="0EC71240" w14:textId="46C00DDD" w:rsidR="00FE01F8" w:rsidRPr="000E2305" w:rsidRDefault="00FE01F8" w:rsidP="00FE01F8">
            <w:pPr>
              <w:spacing w:before="0" w:after="0" w:line="240" w:lineRule="auto"/>
              <w:jc w:val="center"/>
              <w:rPr>
                <w:rFonts w:asciiTheme="minorHAnsi" w:hAnsiTheme="minorHAnsi" w:cstheme="minorHAnsi"/>
                <w:sz w:val="16"/>
                <w:szCs w:val="16"/>
              </w:rPr>
            </w:pPr>
            <w:r>
              <w:rPr>
                <w:rFonts w:asciiTheme="minorHAnsi" w:hAnsiTheme="minorHAnsi" w:cstheme="minorHAnsi"/>
                <w:sz w:val="16"/>
                <w:szCs w:val="16"/>
              </w:rPr>
              <w:t>Can’t tell</w:t>
            </w:r>
          </w:p>
        </w:tc>
        <w:tc>
          <w:tcPr>
            <w:tcW w:w="232" w:type="pct"/>
            <w:shd w:val="clear" w:color="auto" w:fill="FFFF00"/>
            <w:vAlign w:val="center"/>
          </w:tcPr>
          <w:p w14:paraId="0613C7C4" w14:textId="10F2812B" w:rsidR="00FE01F8" w:rsidRPr="000E2305" w:rsidRDefault="00FE01F8" w:rsidP="00FE01F8">
            <w:pPr>
              <w:spacing w:before="0" w:after="0" w:line="240" w:lineRule="auto"/>
              <w:jc w:val="center"/>
              <w:rPr>
                <w:rFonts w:asciiTheme="minorHAnsi" w:hAnsiTheme="minorHAnsi" w:cstheme="minorHAnsi"/>
                <w:sz w:val="16"/>
                <w:szCs w:val="16"/>
              </w:rPr>
            </w:pPr>
            <w:r>
              <w:rPr>
                <w:rFonts w:asciiTheme="minorHAnsi" w:hAnsiTheme="minorHAnsi" w:cstheme="minorHAnsi"/>
                <w:sz w:val="16"/>
                <w:szCs w:val="16"/>
              </w:rPr>
              <w:t>Y</w:t>
            </w:r>
          </w:p>
        </w:tc>
        <w:tc>
          <w:tcPr>
            <w:tcW w:w="232" w:type="pct"/>
            <w:shd w:val="clear" w:color="auto" w:fill="FFFF00"/>
            <w:vAlign w:val="center"/>
          </w:tcPr>
          <w:p w14:paraId="3FE36B9E" w14:textId="386954B3" w:rsidR="00FE01F8" w:rsidRPr="000E2305" w:rsidRDefault="006110F6" w:rsidP="00FE01F8">
            <w:pPr>
              <w:spacing w:before="0" w:after="0" w:line="240" w:lineRule="auto"/>
              <w:jc w:val="center"/>
              <w:rPr>
                <w:rFonts w:asciiTheme="minorHAnsi" w:hAnsiTheme="minorHAnsi" w:cstheme="minorHAnsi"/>
                <w:sz w:val="16"/>
                <w:szCs w:val="16"/>
              </w:rPr>
            </w:pPr>
            <w:r>
              <w:rPr>
                <w:rFonts w:asciiTheme="minorHAnsi" w:hAnsiTheme="minorHAnsi" w:cstheme="minorHAnsi"/>
                <w:sz w:val="16"/>
                <w:szCs w:val="16"/>
              </w:rPr>
              <w:t>Y</w:t>
            </w:r>
          </w:p>
        </w:tc>
        <w:tc>
          <w:tcPr>
            <w:tcW w:w="232" w:type="pct"/>
            <w:vAlign w:val="center"/>
          </w:tcPr>
          <w:p w14:paraId="12A455D5" w14:textId="2CA9FEFF" w:rsidR="00FE01F8" w:rsidRPr="000E2305" w:rsidRDefault="00FE01F8" w:rsidP="00FE01F8">
            <w:pPr>
              <w:spacing w:before="0" w:after="0" w:line="240" w:lineRule="auto"/>
              <w:jc w:val="center"/>
              <w:rPr>
                <w:rFonts w:asciiTheme="minorHAnsi" w:hAnsiTheme="minorHAnsi" w:cstheme="minorHAnsi"/>
                <w:sz w:val="16"/>
                <w:szCs w:val="16"/>
              </w:rPr>
            </w:pPr>
            <w:r>
              <w:rPr>
                <w:rFonts w:asciiTheme="minorHAnsi" w:hAnsiTheme="minorHAnsi" w:cstheme="minorHAnsi"/>
                <w:sz w:val="16"/>
                <w:szCs w:val="16"/>
              </w:rPr>
              <w:t>Can’t tell</w:t>
            </w:r>
          </w:p>
        </w:tc>
        <w:tc>
          <w:tcPr>
            <w:tcW w:w="232" w:type="pct"/>
            <w:vAlign w:val="center"/>
          </w:tcPr>
          <w:p w14:paraId="457D8028" w14:textId="1D4AA06E" w:rsidR="00FE01F8" w:rsidRPr="000E2305" w:rsidRDefault="00FE01F8" w:rsidP="00FE01F8">
            <w:pPr>
              <w:spacing w:before="0" w:after="0" w:line="240" w:lineRule="auto"/>
              <w:jc w:val="center"/>
              <w:rPr>
                <w:rFonts w:asciiTheme="minorHAnsi" w:hAnsiTheme="minorHAnsi" w:cstheme="minorHAnsi"/>
                <w:sz w:val="16"/>
                <w:szCs w:val="16"/>
              </w:rPr>
            </w:pPr>
            <w:r>
              <w:rPr>
                <w:rFonts w:asciiTheme="minorHAnsi" w:hAnsiTheme="minorHAnsi" w:cstheme="minorHAnsi"/>
                <w:sz w:val="16"/>
                <w:szCs w:val="16"/>
              </w:rPr>
              <w:t>Can’t tell</w:t>
            </w:r>
          </w:p>
        </w:tc>
        <w:tc>
          <w:tcPr>
            <w:tcW w:w="232" w:type="pct"/>
            <w:shd w:val="clear" w:color="auto" w:fill="FFFF00"/>
            <w:vAlign w:val="center"/>
          </w:tcPr>
          <w:p w14:paraId="7AAA45B6" w14:textId="1D3D7CB3" w:rsidR="00FE01F8" w:rsidRPr="000E2305" w:rsidRDefault="006110F6" w:rsidP="00FE01F8">
            <w:pPr>
              <w:spacing w:before="0" w:after="0" w:line="240" w:lineRule="auto"/>
              <w:jc w:val="center"/>
              <w:rPr>
                <w:rFonts w:asciiTheme="minorHAnsi" w:hAnsiTheme="minorHAnsi" w:cstheme="minorHAnsi"/>
                <w:sz w:val="16"/>
                <w:szCs w:val="16"/>
              </w:rPr>
            </w:pPr>
            <w:r>
              <w:rPr>
                <w:rFonts w:asciiTheme="minorHAnsi" w:hAnsiTheme="minorHAnsi" w:cstheme="minorHAnsi"/>
                <w:sz w:val="16"/>
                <w:szCs w:val="16"/>
              </w:rPr>
              <w:t>Y</w:t>
            </w:r>
          </w:p>
        </w:tc>
        <w:tc>
          <w:tcPr>
            <w:tcW w:w="232" w:type="pct"/>
            <w:vAlign w:val="center"/>
          </w:tcPr>
          <w:p w14:paraId="71414662" w14:textId="4CC08B75" w:rsidR="00FE01F8" w:rsidRPr="000E2305" w:rsidRDefault="000120E1" w:rsidP="00FE01F8">
            <w:pPr>
              <w:spacing w:before="0" w:after="0" w:line="240" w:lineRule="auto"/>
              <w:jc w:val="center"/>
              <w:rPr>
                <w:rFonts w:asciiTheme="minorHAnsi" w:hAnsiTheme="minorHAnsi" w:cstheme="minorHAnsi"/>
                <w:sz w:val="16"/>
                <w:szCs w:val="16"/>
              </w:rPr>
            </w:pPr>
            <w:r>
              <w:rPr>
                <w:rFonts w:asciiTheme="minorHAnsi" w:hAnsiTheme="minorHAnsi" w:cstheme="minorHAnsi"/>
                <w:sz w:val="16"/>
                <w:szCs w:val="16"/>
              </w:rPr>
              <w:t>Can’t tell</w:t>
            </w:r>
          </w:p>
        </w:tc>
        <w:tc>
          <w:tcPr>
            <w:tcW w:w="232" w:type="pct"/>
            <w:vAlign w:val="center"/>
          </w:tcPr>
          <w:p w14:paraId="703613C3" w14:textId="77777777" w:rsidR="00FE01F8" w:rsidRPr="000E2305" w:rsidRDefault="00FE01F8" w:rsidP="00FE01F8">
            <w:pPr>
              <w:spacing w:before="0" w:after="0" w:line="240" w:lineRule="auto"/>
              <w:jc w:val="center"/>
              <w:rPr>
                <w:rFonts w:asciiTheme="minorHAnsi" w:hAnsiTheme="minorHAnsi" w:cstheme="minorHAnsi"/>
                <w:sz w:val="16"/>
                <w:szCs w:val="16"/>
              </w:rPr>
            </w:pPr>
            <w:r w:rsidRPr="000E2305">
              <w:rPr>
                <w:rFonts w:asciiTheme="minorHAnsi" w:hAnsiTheme="minorHAnsi" w:cstheme="minorHAnsi"/>
                <w:sz w:val="16"/>
                <w:szCs w:val="16"/>
              </w:rPr>
              <w:t>Can’t tell</w:t>
            </w:r>
          </w:p>
        </w:tc>
        <w:tc>
          <w:tcPr>
            <w:tcW w:w="232" w:type="pct"/>
            <w:vAlign w:val="center"/>
          </w:tcPr>
          <w:p w14:paraId="65A10AE9" w14:textId="5CDBCE12" w:rsidR="00FE01F8" w:rsidRPr="000E2305" w:rsidRDefault="003C7709" w:rsidP="00FE01F8">
            <w:pPr>
              <w:spacing w:before="0" w:after="0" w:line="240" w:lineRule="auto"/>
              <w:jc w:val="center"/>
              <w:rPr>
                <w:rFonts w:asciiTheme="minorHAnsi" w:hAnsiTheme="minorHAnsi" w:cstheme="minorHAnsi"/>
                <w:sz w:val="16"/>
                <w:szCs w:val="16"/>
              </w:rPr>
            </w:pPr>
            <w:r>
              <w:rPr>
                <w:rFonts w:asciiTheme="minorHAnsi" w:hAnsiTheme="minorHAnsi" w:cstheme="minorHAnsi"/>
                <w:sz w:val="16"/>
                <w:szCs w:val="16"/>
              </w:rPr>
              <w:t>N</w:t>
            </w:r>
          </w:p>
        </w:tc>
        <w:tc>
          <w:tcPr>
            <w:tcW w:w="220" w:type="pct"/>
            <w:vAlign w:val="center"/>
          </w:tcPr>
          <w:p w14:paraId="6E2C7C36" w14:textId="4A1EFD13" w:rsidR="00FE01F8" w:rsidRPr="000E2305" w:rsidRDefault="00A422BB" w:rsidP="00FE01F8">
            <w:pPr>
              <w:spacing w:before="0" w:after="0" w:line="240" w:lineRule="auto"/>
              <w:jc w:val="center"/>
              <w:rPr>
                <w:rFonts w:asciiTheme="minorHAnsi" w:hAnsiTheme="minorHAnsi" w:cstheme="minorHAnsi"/>
                <w:sz w:val="16"/>
                <w:szCs w:val="16"/>
              </w:rPr>
            </w:pPr>
            <w:r>
              <w:rPr>
                <w:rFonts w:asciiTheme="minorHAnsi" w:hAnsiTheme="minorHAnsi" w:cstheme="minorHAnsi"/>
                <w:sz w:val="16"/>
                <w:szCs w:val="16"/>
              </w:rPr>
              <w:t>Can’t tell</w:t>
            </w:r>
          </w:p>
        </w:tc>
      </w:tr>
      <w:tr w:rsidR="003C7709" w:rsidRPr="000E2305" w14:paraId="68615DE9" w14:textId="77777777" w:rsidTr="000212D1">
        <w:trPr>
          <w:cantSplit/>
          <w:trHeight w:val="195"/>
        </w:trPr>
        <w:tc>
          <w:tcPr>
            <w:tcW w:w="169" w:type="pct"/>
            <w:vMerge w:val="restart"/>
            <w:shd w:val="clear" w:color="auto" w:fill="FFFF00"/>
            <w:vAlign w:val="center"/>
          </w:tcPr>
          <w:p w14:paraId="6CA28486" w14:textId="77777777" w:rsidR="00FE01F8" w:rsidRPr="000E2305" w:rsidRDefault="00FE01F8" w:rsidP="00FE01F8">
            <w:pPr>
              <w:spacing w:before="0" w:after="0" w:line="240" w:lineRule="auto"/>
              <w:rPr>
                <w:rFonts w:asciiTheme="minorHAnsi" w:hAnsiTheme="minorHAnsi" w:cstheme="minorHAnsi"/>
                <w:b/>
                <w:sz w:val="16"/>
                <w:szCs w:val="16"/>
              </w:rPr>
            </w:pPr>
          </w:p>
        </w:tc>
        <w:tc>
          <w:tcPr>
            <w:tcW w:w="2291" w:type="pct"/>
            <w:vMerge w:val="restart"/>
          </w:tcPr>
          <w:p w14:paraId="31C2F6D3" w14:textId="77777777" w:rsidR="00FE01F8" w:rsidRPr="000E2305" w:rsidRDefault="00FE01F8" w:rsidP="00FE01F8">
            <w:pPr>
              <w:spacing w:before="0" w:after="0" w:line="240" w:lineRule="auto"/>
              <w:rPr>
                <w:rFonts w:asciiTheme="minorHAnsi" w:hAnsiTheme="minorHAnsi" w:cstheme="minorHAnsi"/>
                <w:sz w:val="16"/>
                <w:szCs w:val="16"/>
              </w:rPr>
            </w:pPr>
            <w:r w:rsidRPr="000E2305">
              <w:rPr>
                <w:rFonts w:asciiTheme="minorHAnsi" w:hAnsiTheme="minorHAnsi" w:cstheme="minorHAnsi"/>
                <w:sz w:val="16"/>
                <w:szCs w:val="16"/>
              </w:rPr>
              <w:t>Is the advice peer reviewed? If so, is the peer review outcome documented and/or published?</w:t>
            </w:r>
          </w:p>
        </w:tc>
        <w:tc>
          <w:tcPr>
            <w:tcW w:w="232" w:type="pct"/>
            <w:shd w:val="clear" w:color="auto" w:fill="FFFF00"/>
            <w:vAlign w:val="center"/>
          </w:tcPr>
          <w:p w14:paraId="1F83D718" w14:textId="575D4628" w:rsidR="00FE01F8" w:rsidRPr="000E2305" w:rsidRDefault="00A422BB" w:rsidP="00FE01F8">
            <w:pPr>
              <w:spacing w:before="0" w:after="0" w:line="240" w:lineRule="auto"/>
              <w:jc w:val="center"/>
              <w:rPr>
                <w:rFonts w:asciiTheme="minorHAnsi" w:hAnsiTheme="minorHAnsi" w:cstheme="minorHAnsi"/>
                <w:sz w:val="16"/>
                <w:szCs w:val="16"/>
              </w:rPr>
            </w:pPr>
            <w:r>
              <w:rPr>
                <w:rFonts w:asciiTheme="minorHAnsi" w:hAnsiTheme="minorHAnsi" w:cstheme="minorHAnsi"/>
                <w:sz w:val="16"/>
                <w:szCs w:val="16"/>
              </w:rPr>
              <w:t>Y</w:t>
            </w:r>
          </w:p>
        </w:tc>
        <w:tc>
          <w:tcPr>
            <w:tcW w:w="232" w:type="pct"/>
            <w:vAlign w:val="center"/>
          </w:tcPr>
          <w:p w14:paraId="1FDF706A" w14:textId="54B90429" w:rsidR="00FE01F8" w:rsidRPr="000E2305" w:rsidRDefault="00FE01F8" w:rsidP="00FE01F8">
            <w:pPr>
              <w:spacing w:before="0" w:after="0" w:line="240" w:lineRule="auto"/>
              <w:jc w:val="center"/>
              <w:rPr>
                <w:rFonts w:asciiTheme="minorHAnsi" w:hAnsiTheme="minorHAnsi" w:cstheme="minorHAnsi"/>
                <w:sz w:val="16"/>
                <w:szCs w:val="16"/>
              </w:rPr>
            </w:pPr>
            <w:r>
              <w:rPr>
                <w:rFonts w:asciiTheme="minorHAnsi" w:hAnsiTheme="minorHAnsi" w:cstheme="minorHAnsi"/>
                <w:sz w:val="16"/>
                <w:szCs w:val="16"/>
              </w:rPr>
              <w:t>Can’t tell</w:t>
            </w:r>
          </w:p>
        </w:tc>
        <w:tc>
          <w:tcPr>
            <w:tcW w:w="232" w:type="pct"/>
            <w:vAlign w:val="center"/>
          </w:tcPr>
          <w:p w14:paraId="59E84AED" w14:textId="088527C0" w:rsidR="00FE01F8" w:rsidRPr="000E2305" w:rsidRDefault="00FE01F8" w:rsidP="00FE01F8">
            <w:pPr>
              <w:spacing w:before="0" w:after="0" w:line="240" w:lineRule="auto"/>
              <w:jc w:val="center"/>
              <w:rPr>
                <w:rFonts w:asciiTheme="minorHAnsi" w:hAnsiTheme="minorHAnsi" w:cstheme="minorHAnsi"/>
                <w:sz w:val="16"/>
                <w:szCs w:val="16"/>
              </w:rPr>
            </w:pPr>
            <w:r>
              <w:rPr>
                <w:rFonts w:asciiTheme="minorHAnsi" w:hAnsiTheme="minorHAnsi" w:cstheme="minorHAnsi"/>
                <w:sz w:val="16"/>
                <w:szCs w:val="16"/>
              </w:rPr>
              <w:t>Can’t tell</w:t>
            </w:r>
          </w:p>
        </w:tc>
        <w:tc>
          <w:tcPr>
            <w:tcW w:w="232" w:type="pct"/>
            <w:shd w:val="clear" w:color="auto" w:fill="FFFF00"/>
            <w:vAlign w:val="center"/>
          </w:tcPr>
          <w:p w14:paraId="3F8F5DAF" w14:textId="141BDA3D" w:rsidR="00FE01F8" w:rsidRPr="000E2305" w:rsidRDefault="006110F6" w:rsidP="00FE01F8">
            <w:pPr>
              <w:spacing w:before="0" w:after="0" w:line="240" w:lineRule="auto"/>
              <w:jc w:val="center"/>
              <w:rPr>
                <w:rFonts w:asciiTheme="minorHAnsi" w:hAnsiTheme="minorHAnsi" w:cstheme="minorHAnsi"/>
                <w:sz w:val="16"/>
                <w:szCs w:val="16"/>
              </w:rPr>
            </w:pPr>
            <w:r>
              <w:rPr>
                <w:rFonts w:asciiTheme="minorHAnsi" w:hAnsiTheme="minorHAnsi" w:cstheme="minorHAnsi"/>
                <w:sz w:val="16"/>
                <w:szCs w:val="16"/>
              </w:rPr>
              <w:t>Y</w:t>
            </w:r>
          </w:p>
        </w:tc>
        <w:tc>
          <w:tcPr>
            <w:tcW w:w="232" w:type="pct"/>
            <w:vAlign w:val="center"/>
          </w:tcPr>
          <w:p w14:paraId="7A09D884" w14:textId="7611FB1E" w:rsidR="00FE01F8" w:rsidRPr="000E2305" w:rsidRDefault="00FE01F8" w:rsidP="00FE01F8">
            <w:pPr>
              <w:spacing w:before="0" w:after="0" w:line="240" w:lineRule="auto"/>
              <w:jc w:val="center"/>
              <w:rPr>
                <w:rFonts w:asciiTheme="minorHAnsi" w:hAnsiTheme="minorHAnsi" w:cstheme="minorHAnsi"/>
                <w:sz w:val="16"/>
                <w:szCs w:val="16"/>
              </w:rPr>
            </w:pPr>
            <w:r>
              <w:rPr>
                <w:rFonts w:asciiTheme="minorHAnsi" w:hAnsiTheme="minorHAnsi" w:cstheme="minorHAnsi"/>
                <w:sz w:val="16"/>
                <w:szCs w:val="16"/>
              </w:rPr>
              <w:t>Can’t tell</w:t>
            </w:r>
          </w:p>
        </w:tc>
        <w:tc>
          <w:tcPr>
            <w:tcW w:w="232" w:type="pct"/>
            <w:vMerge w:val="restart"/>
            <w:vAlign w:val="center"/>
          </w:tcPr>
          <w:p w14:paraId="52CFEEDA" w14:textId="77777777" w:rsidR="00FE01F8" w:rsidRPr="000E2305" w:rsidRDefault="00FE01F8" w:rsidP="00FE01F8">
            <w:pPr>
              <w:spacing w:before="0" w:after="0" w:line="240" w:lineRule="auto"/>
              <w:jc w:val="center"/>
              <w:rPr>
                <w:rFonts w:asciiTheme="minorHAnsi" w:hAnsiTheme="minorHAnsi" w:cstheme="minorHAnsi"/>
                <w:sz w:val="16"/>
                <w:szCs w:val="16"/>
              </w:rPr>
            </w:pPr>
            <w:r>
              <w:rPr>
                <w:rFonts w:asciiTheme="minorHAnsi" w:hAnsiTheme="minorHAnsi" w:cstheme="minorHAnsi"/>
                <w:sz w:val="16"/>
                <w:szCs w:val="16"/>
              </w:rPr>
              <w:t>Can’t tell</w:t>
            </w:r>
          </w:p>
          <w:p w14:paraId="66C426E7" w14:textId="0E0B000F" w:rsidR="00FE01F8" w:rsidRPr="000E2305" w:rsidRDefault="00FE01F8" w:rsidP="00FE01F8">
            <w:pPr>
              <w:spacing w:before="0" w:after="0" w:line="240" w:lineRule="auto"/>
              <w:jc w:val="center"/>
              <w:rPr>
                <w:rFonts w:asciiTheme="minorHAnsi" w:hAnsiTheme="minorHAnsi" w:cstheme="minorHAnsi"/>
                <w:sz w:val="16"/>
                <w:szCs w:val="16"/>
              </w:rPr>
            </w:pPr>
            <w:r>
              <w:rPr>
                <w:rFonts w:asciiTheme="minorHAnsi" w:hAnsiTheme="minorHAnsi" w:cstheme="minorHAnsi"/>
                <w:sz w:val="16"/>
                <w:szCs w:val="16"/>
              </w:rPr>
              <w:t>N</w:t>
            </w:r>
          </w:p>
        </w:tc>
        <w:tc>
          <w:tcPr>
            <w:tcW w:w="232" w:type="pct"/>
            <w:vAlign w:val="center"/>
          </w:tcPr>
          <w:p w14:paraId="0E155BF0" w14:textId="48BAB9CE" w:rsidR="00FE01F8" w:rsidRPr="000E2305" w:rsidRDefault="006110F6" w:rsidP="00FE01F8">
            <w:pPr>
              <w:spacing w:before="0" w:after="0" w:line="240" w:lineRule="auto"/>
              <w:jc w:val="center"/>
              <w:rPr>
                <w:rFonts w:asciiTheme="minorHAnsi" w:hAnsiTheme="minorHAnsi" w:cstheme="minorHAnsi"/>
                <w:sz w:val="16"/>
                <w:szCs w:val="16"/>
              </w:rPr>
            </w:pPr>
            <w:r>
              <w:rPr>
                <w:rFonts w:asciiTheme="minorHAnsi" w:hAnsiTheme="minorHAnsi" w:cstheme="minorHAnsi"/>
                <w:sz w:val="16"/>
                <w:szCs w:val="16"/>
              </w:rPr>
              <w:t>Can’t tell</w:t>
            </w:r>
          </w:p>
        </w:tc>
        <w:tc>
          <w:tcPr>
            <w:tcW w:w="232" w:type="pct"/>
            <w:vAlign w:val="center"/>
          </w:tcPr>
          <w:p w14:paraId="6474CEDE" w14:textId="56D0A8C2" w:rsidR="00FE01F8" w:rsidRPr="000E2305" w:rsidRDefault="000120E1" w:rsidP="00FE01F8">
            <w:pPr>
              <w:spacing w:before="0" w:after="0" w:line="240" w:lineRule="auto"/>
              <w:jc w:val="center"/>
              <w:rPr>
                <w:rFonts w:asciiTheme="minorHAnsi" w:hAnsiTheme="minorHAnsi" w:cstheme="minorHAnsi"/>
                <w:sz w:val="16"/>
                <w:szCs w:val="16"/>
              </w:rPr>
            </w:pPr>
            <w:r>
              <w:rPr>
                <w:rFonts w:asciiTheme="minorHAnsi" w:hAnsiTheme="minorHAnsi" w:cstheme="minorHAnsi"/>
                <w:sz w:val="16"/>
                <w:szCs w:val="16"/>
              </w:rPr>
              <w:t>Can’t tell</w:t>
            </w:r>
          </w:p>
        </w:tc>
        <w:tc>
          <w:tcPr>
            <w:tcW w:w="232" w:type="pct"/>
            <w:shd w:val="clear" w:color="auto" w:fill="FFFF00"/>
            <w:vAlign w:val="center"/>
          </w:tcPr>
          <w:p w14:paraId="7030FBD4" w14:textId="2597D668" w:rsidR="00FE01F8" w:rsidRPr="000E2305" w:rsidRDefault="00FE01F8" w:rsidP="00FE01F8">
            <w:pPr>
              <w:spacing w:before="0" w:after="0" w:line="240" w:lineRule="auto"/>
              <w:jc w:val="center"/>
              <w:rPr>
                <w:rFonts w:asciiTheme="minorHAnsi" w:hAnsiTheme="minorHAnsi" w:cstheme="minorHAnsi"/>
                <w:sz w:val="16"/>
                <w:szCs w:val="16"/>
              </w:rPr>
            </w:pPr>
            <w:r>
              <w:rPr>
                <w:rFonts w:asciiTheme="minorHAnsi" w:hAnsiTheme="minorHAnsi" w:cstheme="minorHAnsi"/>
                <w:sz w:val="16"/>
                <w:szCs w:val="16"/>
              </w:rPr>
              <w:t>Y</w:t>
            </w:r>
          </w:p>
        </w:tc>
        <w:tc>
          <w:tcPr>
            <w:tcW w:w="232" w:type="pct"/>
            <w:shd w:val="clear" w:color="auto" w:fill="FFFF00"/>
            <w:vAlign w:val="center"/>
          </w:tcPr>
          <w:p w14:paraId="2239E469" w14:textId="12B145F5" w:rsidR="00FE01F8" w:rsidRPr="000E2305" w:rsidRDefault="003C7709" w:rsidP="00FE01F8">
            <w:pPr>
              <w:spacing w:before="0" w:after="0" w:line="240" w:lineRule="auto"/>
              <w:jc w:val="center"/>
              <w:rPr>
                <w:rFonts w:asciiTheme="minorHAnsi" w:hAnsiTheme="minorHAnsi" w:cstheme="minorHAnsi"/>
                <w:sz w:val="16"/>
                <w:szCs w:val="16"/>
              </w:rPr>
            </w:pPr>
            <w:r>
              <w:rPr>
                <w:rFonts w:asciiTheme="minorHAnsi" w:hAnsiTheme="minorHAnsi" w:cstheme="minorHAnsi"/>
                <w:sz w:val="16"/>
                <w:szCs w:val="16"/>
              </w:rPr>
              <w:t>Y</w:t>
            </w:r>
          </w:p>
        </w:tc>
        <w:tc>
          <w:tcPr>
            <w:tcW w:w="220" w:type="pct"/>
            <w:shd w:val="clear" w:color="auto" w:fill="FFFF00"/>
            <w:vAlign w:val="center"/>
          </w:tcPr>
          <w:p w14:paraId="21FC554E" w14:textId="6C93E523" w:rsidR="00FE01F8" w:rsidRPr="000E2305" w:rsidRDefault="00A422BB" w:rsidP="00FE01F8">
            <w:pPr>
              <w:spacing w:before="0" w:after="0" w:line="240" w:lineRule="auto"/>
              <w:jc w:val="center"/>
              <w:rPr>
                <w:rFonts w:asciiTheme="minorHAnsi" w:hAnsiTheme="minorHAnsi" w:cstheme="minorHAnsi"/>
                <w:sz w:val="16"/>
                <w:szCs w:val="16"/>
              </w:rPr>
            </w:pPr>
            <w:r>
              <w:rPr>
                <w:rFonts w:asciiTheme="minorHAnsi" w:hAnsiTheme="minorHAnsi" w:cstheme="minorHAnsi"/>
                <w:sz w:val="16"/>
                <w:szCs w:val="16"/>
              </w:rPr>
              <w:t>Y</w:t>
            </w:r>
          </w:p>
        </w:tc>
      </w:tr>
      <w:tr w:rsidR="000120E1" w:rsidRPr="000E2305" w14:paraId="3158017F" w14:textId="77777777" w:rsidTr="000212D1">
        <w:trPr>
          <w:cantSplit/>
          <w:trHeight w:val="195"/>
        </w:trPr>
        <w:tc>
          <w:tcPr>
            <w:tcW w:w="169" w:type="pct"/>
            <w:vMerge/>
            <w:shd w:val="clear" w:color="auto" w:fill="FFFF00"/>
            <w:vAlign w:val="center"/>
          </w:tcPr>
          <w:p w14:paraId="7A5CA5E8" w14:textId="77777777" w:rsidR="00FE01F8" w:rsidRPr="000E2305" w:rsidRDefault="00FE01F8" w:rsidP="00FE01F8">
            <w:pPr>
              <w:spacing w:before="0" w:after="0" w:line="240" w:lineRule="auto"/>
              <w:rPr>
                <w:rFonts w:asciiTheme="minorHAnsi" w:hAnsiTheme="minorHAnsi" w:cstheme="minorHAnsi"/>
                <w:b/>
                <w:sz w:val="16"/>
                <w:szCs w:val="16"/>
              </w:rPr>
            </w:pPr>
          </w:p>
        </w:tc>
        <w:tc>
          <w:tcPr>
            <w:tcW w:w="2291" w:type="pct"/>
            <w:vMerge/>
          </w:tcPr>
          <w:p w14:paraId="4F55B58F" w14:textId="77777777" w:rsidR="00FE01F8" w:rsidRPr="000E2305" w:rsidRDefault="00FE01F8" w:rsidP="00FE01F8">
            <w:pPr>
              <w:spacing w:before="0" w:after="0" w:line="240" w:lineRule="auto"/>
              <w:rPr>
                <w:rFonts w:asciiTheme="minorHAnsi" w:hAnsiTheme="minorHAnsi" w:cstheme="minorHAnsi"/>
                <w:sz w:val="16"/>
                <w:szCs w:val="16"/>
              </w:rPr>
            </w:pPr>
          </w:p>
        </w:tc>
        <w:tc>
          <w:tcPr>
            <w:tcW w:w="232" w:type="pct"/>
            <w:vAlign w:val="center"/>
          </w:tcPr>
          <w:p w14:paraId="26230797" w14:textId="30A0825E" w:rsidR="00FE01F8" w:rsidRPr="000E2305" w:rsidRDefault="00FE01F8" w:rsidP="00FE01F8">
            <w:pPr>
              <w:spacing w:before="0" w:after="0" w:line="240" w:lineRule="auto"/>
              <w:jc w:val="center"/>
              <w:rPr>
                <w:rFonts w:asciiTheme="minorHAnsi" w:hAnsiTheme="minorHAnsi" w:cstheme="minorHAnsi"/>
                <w:sz w:val="16"/>
                <w:szCs w:val="16"/>
              </w:rPr>
            </w:pPr>
            <w:r>
              <w:rPr>
                <w:rFonts w:asciiTheme="minorHAnsi" w:hAnsiTheme="minorHAnsi" w:cstheme="minorHAnsi"/>
                <w:sz w:val="16"/>
                <w:szCs w:val="16"/>
              </w:rPr>
              <w:t>N</w:t>
            </w:r>
          </w:p>
        </w:tc>
        <w:tc>
          <w:tcPr>
            <w:tcW w:w="232" w:type="pct"/>
            <w:vAlign w:val="center"/>
          </w:tcPr>
          <w:p w14:paraId="28E70120" w14:textId="5EB308AC" w:rsidR="00FE01F8" w:rsidRPr="000E2305" w:rsidRDefault="00FE01F8" w:rsidP="00FE01F8">
            <w:pPr>
              <w:spacing w:before="0" w:after="0" w:line="240" w:lineRule="auto"/>
              <w:jc w:val="center"/>
              <w:rPr>
                <w:rFonts w:asciiTheme="minorHAnsi" w:hAnsiTheme="minorHAnsi" w:cstheme="minorHAnsi"/>
                <w:sz w:val="16"/>
                <w:szCs w:val="16"/>
              </w:rPr>
            </w:pPr>
            <w:r>
              <w:rPr>
                <w:rFonts w:asciiTheme="minorHAnsi" w:hAnsiTheme="minorHAnsi" w:cstheme="minorHAnsi"/>
                <w:sz w:val="16"/>
                <w:szCs w:val="16"/>
              </w:rPr>
              <w:t>N</w:t>
            </w:r>
          </w:p>
        </w:tc>
        <w:tc>
          <w:tcPr>
            <w:tcW w:w="232" w:type="pct"/>
            <w:vAlign w:val="center"/>
          </w:tcPr>
          <w:p w14:paraId="4122F73A" w14:textId="1E3E7F12" w:rsidR="00FE01F8" w:rsidRPr="000E2305" w:rsidRDefault="00FE01F8" w:rsidP="00FE01F8">
            <w:pPr>
              <w:spacing w:before="0" w:after="0" w:line="240" w:lineRule="auto"/>
              <w:jc w:val="center"/>
              <w:rPr>
                <w:rFonts w:asciiTheme="minorHAnsi" w:hAnsiTheme="minorHAnsi" w:cstheme="minorHAnsi"/>
                <w:sz w:val="16"/>
                <w:szCs w:val="16"/>
              </w:rPr>
            </w:pPr>
            <w:r>
              <w:rPr>
                <w:rFonts w:asciiTheme="minorHAnsi" w:hAnsiTheme="minorHAnsi" w:cstheme="minorHAnsi"/>
                <w:sz w:val="16"/>
                <w:szCs w:val="16"/>
              </w:rPr>
              <w:t>N</w:t>
            </w:r>
          </w:p>
        </w:tc>
        <w:tc>
          <w:tcPr>
            <w:tcW w:w="232" w:type="pct"/>
            <w:vAlign w:val="center"/>
          </w:tcPr>
          <w:p w14:paraId="7573344C" w14:textId="4B76F71D" w:rsidR="00FE01F8" w:rsidRPr="000E2305" w:rsidRDefault="006110F6" w:rsidP="00FE01F8">
            <w:pPr>
              <w:spacing w:before="0" w:after="0" w:line="240" w:lineRule="auto"/>
              <w:jc w:val="center"/>
              <w:rPr>
                <w:rFonts w:asciiTheme="minorHAnsi" w:hAnsiTheme="minorHAnsi" w:cstheme="minorHAnsi"/>
                <w:sz w:val="16"/>
                <w:szCs w:val="16"/>
              </w:rPr>
            </w:pPr>
            <w:r>
              <w:rPr>
                <w:rFonts w:asciiTheme="minorHAnsi" w:hAnsiTheme="minorHAnsi" w:cstheme="minorHAnsi"/>
                <w:sz w:val="16"/>
                <w:szCs w:val="16"/>
              </w:rPr>
              <w:t>N</w:t>
            </w:r>
          </w:p>
        </w:tc>
        <w:tc>
          <w:tcPr>
            <w:tcW w:w="232" w:type="pct"/>
            <w:vAlign w:val="center"/>
          </w:tcPr>
          <w:p w14:paraId="5FAA4BB5" w14:textId="2ADB9FB7" w:rsidR="00FE01F8" w:rsidRPr="000E2305" w:rsidRDefault="00FE01F8" w:rsidP="00FE01F8">
            <w:pPr>
              <w:spacing w:before="0" w:after="0" w:line="240" w:lineRule="auto"/>
              <w:jc w:val="center"/>
              <w:rPr>
                <w:rFonts w:asciiTheme="minorHAnsi" w:hAnsiTheme="minorHAnsi" w:cstheme="minorHAnsi"/>
                <w:sz w:val="16"/>
                <w:szCs w:val="16"/>
              </w:rPr>
            </w:pPr>
            <w:r>
              <w:rPr>
                <w:rFonts w:asciiTheme="minorHAnsi" w:hAnsiTheme="minorHAnsi" w:cstheme="minorHAnsi"/>
                <w:sz w:val="16"/>
                <w:szCs w:val="16"/>
              </w:rPr>
              <w:t>N</w:t>
            </w:r>
          </w:p>
        </w:tc>
        <w:tc>
          <w:tcPr>
            <w:tcW w:w="232" w:type="pct"/>
            <w:vMerge/>
            <w:vAlign w:val="center"/>
          </w:tcPr>
          <w:p w14:paraId="23274196" w14:textId="77777777" w:rsidR="00FE01F8" w:rsidRPr="000E2305" w:rsidRDefault="00FE01F8" w:rsidP="00FE01F8">
            <w:pPr>
              <w:spacing w:before="0" w:after="0" w:line="240" w:lineRule="auto"/>
              <w:jc w:val="center"/>
              <w:rPr>
                <w:rFonts w:asciiTheme="minorHAnsi" w:hAnsiTheme="minorHAnsi" w:cstheme="minorHAnsi"/>
                <w:sz w:val="16"/>
                <w:szCs w:val="16"/>
              </w:rPr>
            </w:pPr>
          </w:p>
        </w:tc>
        <w:tc>
          <w:tcPr>
            <w:tcW w:w="232" w:type="pct"/>
            <w:vAlign w:val="center"/>
          </w:tcPr>
          <w:p w14:paraId="340BE15F" w14:textId="3E76E4E9" w:rsidR="00FE01F8" w:rsidRPr="000E2305" w:rsidRDefault="006110F6" w:rsidP="00FE01F8">
            <w:pPr>
              <w:spacing w:before="0" w:after="0" w:line="240" w:lineRule="auto"/>
              <w:jc w:val="center"/>
              <w:rPr>
                <w:rFonts w:asciiTheme="minorHAnsi" w:hAnsiTheme="minorHAnsi" w:cstheme="minorHAnsi"/>
                <w:sz w:val="16"/>
                <w:szCs w:val="16"/>
              </w:rPr>
            </w:pPr>
            <w:r>
              <w:rPr>
                <w:rFonts w:asciiTheme="minorHAnsi" w:hAnsiTheme="minorHAnsi" w:cstheme="minorHAnsi"/>
                <w:sz w:val="16"/>
                <w:szCs w:val="16"/>
              </w:rPr>
              <w:t>N</w:t>
            </w:r>
          </w:p>
        </w:tc>
        <w:tc>
          <w:tcPr>
            <w:tcW w:w="232" w:type="pct"/>
            <w:vAlign w:val="center"/>
          </w:tcPr>
          <w:p w14:paraId="46D1D719" w14:textId="77777777" w:rsidR="00FE01F8" w:rsidRPr="000E2305" w:rsidRDefault="00FE01F8" w:rsidP="00FE01F8">
            <w:pPr>
              <w:spacing w:before="0" w:after="0" w:line="240" w:lineRule="auto"/>
              <w:jc w:val="center"/>
              <w:rPr>
                <w:rFonts w:asciiTheme="minorHAnsi" w:hAnsiTheme="minorHAnsi" w:cstheme="minorHAnsi"/>
                <w:sz w:val="16"/>
                <w:szCs w:val="16"/>
              </w:rPr>
            </w:pPr>
            <w:r w:rsidRPr="000E2305">
              <w:rPr>
                <w:rFonts w:asciiTheme="minorHAnsi" w:hAnsiTheme="minorHAnsi" w:cstheme="minorHAnsi"/>
                <w:sz w:val="16"/>
                <w:szCs w:val="16"/>
              </w:rPr>
              <w:t>N</w:t>
            </w:r>
          </w:p>
        </w:tc>
        <w:tc>
          <w:tcPr>
            <w:tcW w:w="232" w:type="pct"/>
            <w:vAlign w:val="center"/>
          </w:tcPr>
          <w:p w14:paraId="7B35AEE6" w14:textId="6943D60D" w:rsidR="00FE01F8" w:rsidRPr="000E2305" w:rsidRDefault="003C7709" w:rsidP="00FE01F8">
            <w:pPr>
              <w:spacing w:before="0" w:after="0" w:line="240" w:lineRule="auto"/>
              <w:jc w:val="center"/>
              <w:rPr>
                <w:rFonts w:asciiTheme="minorHAnsi" w:hAnsiTheme="minorHAnsi" w:cstheme="minorHAnsi"/>
                <w:sz w:val="16"/>
                <w:szCs w:val="16"/>
              </w:rPr>
            </w:pPr>
            <w:r>
              <w:rPr>
                <w:rFonts w:asciiTheme="minorHAnsi" w:hAnsiTheme="minorHAnsi" w:cstheme="minorHAnsi"/>
                <w:sz w:val="16"/>
                <w:szCs w:val="16"/>
              </w:rPr>
              <w:t>N</w:t>
            </w:r>
          </w:p>
        </w:tc>
        <w:tc>
          <w:tcPr>
            <w:tcW w:w="232" w:type="pct"/>
            <w:vAlign w:val="center"/>
          </w:tcPr>
          <w:p w14:paraId="55839F12" w14:textId="35D592DC" w:rsidR="00FE01F8" w:rsidRPr="000E2305" w:rsidRDefault="003C7709" w:rsidP="00FE01F8">
            <w:pPr>
              <w:spacing w:before="0" w:after="0" w:line="240" w:lineRule="auto"/>
              <w:jc w:val="center"/>
              <w:rPr>
                <w:rFonts w:asciiTheme="minorHAnsi" w:hAnsiTheme="minorHAnsi" w:cstheme="minorHAnsi"/>
                <w:sz w:val="16"/>
                <w:szCs w:val="16"/>
              </w:rPr>
            </w:pPr>
            <w:r>
              <w:rPr>
                <w:rFonts w:asciiTheme="minorHAnsi" w:hAnsiTheme="minorHAnsi" w:cstheme="minorHAnsi"/>
                <w:sz w:val="16"/>
                <w:szCs w:val="16"/>
              </w:rPr>
              <w:t>N</w:t>
            </w:r>
          </w:p>
        </w:tc>
        <w:tc>
          <w:tcPr>
            <w:tcW w:w="220" w:type="pct"/>
            <w:vAlign w:val="center"/>
          </w:tcPr>
          <w:p w14:paraId="357A5692" w14:textId="00CA4F8D" w:rsidR="00FE01F8" w:rsidRPr="000E2305" w:rsidRDefault="00A422BB" w:rsidP="00CD2A88">
            <w:pPr>
              <w:spacing w:before="0" w:after="0" w:line="240" w:lineRule="auto"/>
              <w:jc w:val="center"/>
              <w:rPr>
                <w:rFonts w:asciiTheme="minorHAnsi" w:hAnsiTheme="minorHAnsi" w:cstheme="minorHAnsi"/>
                <w:sz w:val="16"/>
                <w:szCs w:val="16"/>
              </w:rPr>
            </w:pPr>
            <w:r>
              <w:rPr>
                <w:rFonts w:asciiTheme="minorHAnsi" w:hAnsiTheme="minorHAnsi" w:cstheme="minorHAnsi"/>
                <w:sz w:val="16"/>
                <w:szCs w:val="16"/>
              </w:rPr>
              <w:t>N</w:t>
            </w:r>
          </w:p>
        </w:tc>
      </w:tr>
      <w:tr w:rsidR="00A422BB" w:rsidRPr="000E2305" w14:paraId="22AA35FB" w14:textId="77777777" w:rsidTr="000212D1">
        <w:trPr>
          <w:cantSplit/>
        </w:trPr>
        <w:tc>
          <w:tcPr>
            <w:tcW w:w="169" w:type="pct"/>
            <w:shd w:val="clear" w:color="auto" w:fill="FFFF00"/>
            <w:vAlign w:val="center"/>
          </w:tcPr>
          <w:p w14:paraId="183E328A" w14:textId="77777777" w:rsidR="00FE01F8" w:rsidRPr="000E2305" w:rsidRDefault="00FE01F8" w:rsidP="00FE01F8">
            <w:pPr>
              <w:spacing w:before="0" w:after="0" w:line="240" w:lineRule="auto"/>
              <w:rPr>
                <w:rFonts w:asciiTheme="minorHAnsi" w:hAnsiTheme="minorHAnsi" w:cstheme="minorHAnsi"/>
                <w:b/>
                <w:sz w:val="16"/>
                <w:szCs w:val="16"/>
              </w:rPr>
            </w:pPr>
          </w:p>
        </w:tc>
        <w:tc>
          <w:tcPr>
            <w:tcW w:w="2291" w:type="pct"/>
          </w:tcPr>
          <w:p w14:paraId="2525A3F6" w14:textId="77777777" w:rsidR="00FE01F8" w:rsidRPr="000E2305" w:rsidRDefault="00FE01F8" w:rsidP="00FE01F8">
            <w:pPr>
              <w:spacing w:before="0" w:after="0" w:line="240" w:lineRule="auto"/>
              <w:rPr>
                <w:rFonts w:asciiTheme="minorHAnsi" w:hAnsiTheme="minorHAnsi" w:cstheme="minorHAnsi"/>
                <w:sz w:val="16"/>
                <w:szCs w:val="16"/>
              </w:rPr>
            </w:pPr>
            <w:r w:rsidRPr="000E2305">
              <w:rPr>
                <w:rFonts w:asciiTheme="minorHAnsi" w:hAnsiTheme="minorHAnsi" w:cstheme="minorHAnsi"/>
                <w:sz w:val="16"/>
                <w:szCs w:val="16"/>
              </w:rPr>
              <w:t>Was the guidance/advice developed or updated recently? Provide details.</w:t>
            </w:r>
          </w:p>
        </w:tc>
        <w:tc>
          <w:tcPr>
            <w:tcW w:w="232" w:type="pct"/>
            <w:vAlign w:val="center"/>
          </w:tcPr>
          <w:p w14:paraId="300FE750" w14:textId="77777777" w:rsidR="00FE01F8" w:rsidRPr="000E2305" w:rsidRDefault="00FE01F8" w:rsidP="00FE01F8">
            <w:pPr>
              <w:spacing w:before="0" w:after="0" w:line="240" w:lineRule="auto"/>
              <w:jc w:val="center"/>
              <w:rPr>
                <w:rFonts w:asciiTheme="minorHAnsi" w:hAnsiTheme="minorHAnsi" w:cstheme="minorHAnsi"/>
                <w:sz w:val="16"/>
                <w:szCs w:val="16"/>
                <w:highlight w:val="yellow"/>
              </w:rPr>
            </w:pPr>
            <w:r w:rsidRPr="000E2305">
              <w:rPr>
                <w:rFonts w:asciiTheme="minorHAnsi" w:hAnsiTheme="minorHAnsi" w:cstheme="minorHAnsi"/>
                <w:sz w:val="16"/>
                <w:szCs w:val="16"/>
              </w:rPr>
              <w:t>N</w:t>
            </w:r>
          </w:p>
        </w:tc>
        <w:tc>
          <w:tcPr>
            <w:tcW w:w="232" w:type="pct"/>
            <w:vAlign w:val="center"/>
          </w:tcPr>
          <w:p w14:paraId="6D29C4D2" w14:textId="334F2A58" w:rsidR="00FE01F8" w:rsidRPr="000E2305" w:rsidRDefault="00FE01F8" w:rsidP="00FE01F8">
            <w:pPr>
              <w:spacing w:before="0" w:after="0" w:line="240" w:lineRule="auto"/>
              <w:jc w:val="center"/>
              <w:rPr>
                <w:rFonts w:asciiTheme="minorHAnsi" w:hAnsiTheme="minorHAnsi" w:cstheme="minorHAnsi"/>
                <w:sz w:val="16"/>
                <w:szCs w:val="16"/>
                <w:highlight w:val="yellow"/>
              </w:rPr>
            </w:pPr>
            <w:r w:rsidRPr="000E2305">
              <w:rPr>
                <w:rFonts w:asciiTheme="minorHAnsi" w:hAnsiTheme="minorHAnsi" w:cstheme="minorHAnsi"/>
                <w:sz w:val="16"/>
                <w:szCs w:val="16"/>
              </w:rPr>
              <w:t>N</w:t>
            </w:r>
          </w:p>
        </w:tc>
        <w:tc>
          <w:tcPr>
            <w:tcW w:w="232" w:type="pct"/>
            <w:shd w:val="clear" w:color="auto" w:fill="FFFF00"/>
            <w:vAlign w:val="center"/>
          </w:tcPr>
          <w:p w14:paraId="7670A78B" w14:textId="77777777" w:rsidR="00FE01F8" w:rsidRPr="000E2305" w:rsidRDefault="00FE01F8" w:rsidP="00FE01F8">
            <w:pPr>
              <w:spacing w:before="0" w:after="0" w:line="240" w:lineRule="auto"/>
              <w:jc w:val="center"/>
              <w:rPr>
                <w:rFonts w:asciiTheme="minorHAnsi" w:hAnsiTheme="minorHAnsi" w:cstheme="minorHAnsi"/>
                <w:sz w:val="16"/>
                <w:szCs w:val="16"/>
              </w:rPr>
            </w:pPr>
            <w:r w:rsidRPr="000E2305">
              <w:rPr>
                <w:rFonts w:asciiTheme="minorHAnsi" w:hAnsiTheme="minorHAnsi" w:cstheme="minorHAnsi"/>
                <w:sz w:val="16"/>
                <w:szCs w:val="16"/>
              </w:rPr>
              <w:t>Y</w:t>
            </w:r>
          </w:p>
        </w:tc>
        <w:tc>
          <w:tcPr>
            <w:tcW w:w="232" w:type="pct"/>
            <w:vAlign w:val="center"/>
          </w:tcPr>
          <w:p w14:paraId="5AD8780E" w14:textId="77777777" w:rsidR="00FE01F8" w:rsidRPr="000E2305" w:rsidRDefault="00FE01F8" w:rsidP="00FE01F8">
            <w:pPr>
              <w:spacing w:before="0" w:after="0" w:line="240" w:lineRule="auto"/>
              <w:jc w:val="center"/>
              <w:rPr>
                <w:rFonts w:asciiTheme="minorHAnsi" w:hAnsiTheme="minorHAnsi" w:cstheme="minorHAnsi"/>
                <w:sz w:val="16"/>
                <w:szCs w:val="16"/>
              </w:rPr>
            </w:pPr>
            <w:r w:rsidRPr="000E2305">
              <w:rPr>
                <w:rFonts w:asciiTheme="minorHAnsi" w:hAnsiTheme="minorHAnsi" w:cstheme="minorHAnsi"/>
                <w:sz w:val="16"/>
                <w:szCs w:val="16"/>
              </w:rPr>
              <w:t>N</w:t>
            </w:r>
          </w:p>
        </w:tc>
        <w:tc>
          <w:tcPr>
            <w:tcW w:w="232" w:type="pct"/>
            <w:vAlign w:val="center"/>
          </w:tcPr>
          <w:p w14:paraId="3D8294F7" w14:textId="5E72E626" w:rsidR="00FE01F8" w:rsidRPr="000E2305" w:rsidRDefault="00FE01F8" w:rsidP="00FE01F8">
            <w:pPr>
              <w:spacing w:before="0" w:after="0" w:line="240" w:lineRule="auto"/>
              <w:jc w:val="center"/>
              <w:rPr>
                <w:rFonts w:asciiTheme="minorHAnsi" w:hAnsiTheme="minorHAnsi" w:cstheme="minorHAnsi"/>
                <w:sz w:val="16"/>
                <w:szCs w:val="16"/>
              </w:rPr>
            </w:pPr>
            <w:r>
              <w:rPr>
                <w:rFonts w:asciiTheme="minorHAnsi" w:hAnsiTheme="minorHAnsi" w:cstheme="minorHAnsi"/>
                <w:sz w:val="16"/>
                <w:szCs w:val="16"/>
              </w:rPr>
              <w:t>N</w:t>
            </w:r>
          </w:p>
        </w:tc>
        <w:tc>
          <w:tcPr>
            <w:tcW w:w="232" w:type="pct"/>
            <w:vAlign w:val="center"/>
          </w:tcPr>
          <w:p w14:paraId="5599A670" w14:textId="4CEE029D" w:rsidR="00FE01F8" w:rsidRPr="000E2305" w:rsidRDefault="00FE01F8" w:rsidP="00FE01F8">
            <w:pPr>
              <w:spacing w:before="0" w:after="0" w:line="240" w:lineRule="auto"/>
              <w:jc w:val="center"/>
              <w:rPr>
                <w:rFonts w:asciiTheme="minorHAnsi" w:hAnsiTheme="minorHAnsi" w:cstheme="minorHAnsi"/>
                <w:sz w:val="16"/>
                <w:szCs w:val="16"/>
              </w:rPr>
            </w:pPr>
            <w:r>
              <w:rPr>
                <w:rFonts w:asciiTheme="minorHAnsi" w:hAnsiTheme="minorHAnsi" w:cstheme="minorHAnsi"/>
                <w:sz w:val="16"/>
                <w:szCs w:val="16"/>
              </w:rPr>
              <w:t>N</w:t>
            </w:r>
          </w:p>
        </w:tc>
        <w:tc>
          <w:tcPr>
            <w:tcW w:w="232" w:type="pct"/>
            <w:vAlign w:val="center"/>
          </w:tcPr>
          <w:p w14:paraId="0293074F" w14:textId="77777777" w:rsidR="00FE01F8" w:rsidRPr="000E2305" w:rsidRDefault="00FE01F8" w:rsidP="00FE01F8">
            <w:pPr>
              <w:spacing w:before="0" w:after="0" w:line="240" w:lineRule="auto"/>
              <w:jc w:val="center"/>
              <w:rPr>
                <w:rFonts w:asciiTheme="minorHAnsi" w:hAnsiTheme="minorHAnsi" w:cstheme="minorHAnsi"/>
                <w:sz w:val="16"/>
                <w:szCs w:val="16"/>
              </w:rPr>
            </w:pPr>
            <w:r w:rsidRPr="000E2305">
              <w:rPr>
                <w:rFonts w:asciiTheme="minorHAnsi" w:hAnsiTheme="minorHAnsi" w:cstheme="minorHAnsi"/>
                <w:sz w:val="16"/>
                <w:szCs w:val="16"/>
              </w:rPr>
              <w:t>N</w:t>
            </w:r>
          </w:p>
        </w:tc>
        <w:tc>
          <w:tcPr>
            <w:tcW w:w="232" w:type="pct"/>
            <w:shd w:val="clear" w:color="auto" w:fill="FFFF00"/>
            <w:vAlign w:val="center"/>
          </w:tcPr>
          <w:p w14:paraId="5D8C1566" w14:textId="428A9E54" w:rsidR="00FE01F8" w:rsidRPr="000E2305" w:rsidRDefault="000120E1" w:rsidP="00FE01F8">
            <w:pPr>
              <w:spacing w:before="0" w:after="0" w:line="240" w:lineRule="auto"/>
              <w:jc w:val="center"/>
              <w:rPr>
                <w:rFonts w:asciiTheme="minorHAnsi" w:hAnsiTheme="minorHAnsi" w:cstheme="minorHAnsi"/>
                <w:sz w:val="16"/>
                <w:szCs w:val="16"/>
              </w:rPr>
            </w:pPr>
            <w:r>
              <w:rPr>
                <w:rFonts w:asciiTheme="minorHAnsi" w:hAnsiTheme="minorHAnsi" w:cstheme="minorHAnsi"/>
                <w:sz w:val="16"/>
                <w:szCs w:val="16"/>
              </w:rPr>
              <w:t>Y</w:t>
            </w:r>
          </w:p>
        </w:tc>
        <w:tc>
          <w:tcPr>
            <w:tcW w:w="232" w:type="pct"/>
            <w:shd w:val="clear" w:color="auto" w:fill="FFFF00"/>
            <w:vAlign w:val="center"/>
          </w:tcPr>
          <w:p w14:paraId="621DD0A2" w14:textId="1D837A85" w:rsidR="00FE01F8" w:rsidRPr="000E2305" w:rsidRDefault="003C7709" w:rsidP="00FE01F8">
            <w:pPr>
              <w:spacing w:before="0" w:after="0" w:line="240" w:lineRule="auto"/>
              <w:jc w:val="center"/>
              <w:rPr>
                <w:rFonts w:asciiTheme="minorHAnsi" w:hAnsiTheme="minorHAnsi" w:cstheme="minorHAnsi"/>
                <w:sz w:val="16"/>
                <w:szCs w:val="16"/>
              </w:rPr>
            </w:pPr>
            <w:r>
              <w:rPr>
                <w:rFonts w:asciiTheme="minorHAnsi" w:hAnsiTheme="minorHAnsi" w:cstheme="minorHAnsi"/>
                <w:sz w:val="16"/>
                <w:szCs w:val="16"/>
              </w:rPr>
              <w:t>Y</w:t>
            </w:r>
          </w:p>
        </w:tc>
        <w:tc>
          <w:tcPr>
            <w:tcW w:w="232" w:type="pct"/>
            <w:vAlign w:val="center"/>
          </w:tcPr>
          <w:p w14:paraId="2CD9BAE2" w14:textId="77777777" w:rsidR="00FE01F8" w:rsidRPr="000E2305" w:rsidRDefault="00FE01F8" w:rsidP="00FE01F8">
            <w:pPr>
              <w:spacing w:before="0" w:after="0" w:line="240" w:lineRule="auto"/>
              <w:jc w:val="center"/>
              <w:rPr>
                <w:rFonts w:asciiTheme="minorHAnsi" w:hAnsiTheme="minorHAnsi" w:cstheme="minorHAnsi"/>
                <w:sz w:val="16"/>
                <w:szCs w:val="16"/>
              </w:rPr>
            </w:pPr>
            <w:r w:rsidRPr="000E2305">
              <w:rPr>
                <w:rFonts w:asciiTheme="minorHAnsi" w:hAnsiTheme="minorHAnsi" w:cstheme="minorHAnsi"/>
                <w:sz w:val="16"/>
                <w:szCs w:val="16"/>
              </w:rPr>
              <w:t>N</w:t>
            </w:r>
          </w:p>
        </w:tc>
        <w:tc>
          <w:tcPr>
            <w:tcW w:w="220" w:type="pct"/>
            <w:shd w:val="clear" w:color="auto" w:fill="FFFF00"/>
            <w:vAlign w:val="center"/>
          </w:tcPr>
          <w:p w14:paraId="37E33663" w14:textId="1BAB6B16" w:rsidR="00FE01F8" w:rsidRPr="000E2305" w:rsidRDefault="00A422BB" w:rsidP="00FE01F8">
            <w:pPr>
              <w:spacing w:before="0" w:after="0" w:line="240" w:lineRule="auto"/>
              <w:jc w:val="center"/>
              <w:rPr>
                <w:rFonts w:asciiTheme="minorHAnsi" w:hAnsiTheme="minorHAnsi" w:cstheme="minorHAnsi"/>
                <w:sz w:val="16"/>
                <w:szCs w:val="16"/>
              </w:rPr>
            </w:pPr>
            <w:r>
              <w:rPr>
                <w:rFonts w:asciiTheme="minorHAnsi" w:hAnsiTheme="minorHAnsi" w:cstheme="minorHAnsi"/>
                <w:sz w:val="16"/>
                <w:szCs w:val="16"/>
              </w:rPr>
              <w:t>Y</w:t>
            </w:r>
          </w:p>
        </w:tc>
      </w:tr>
      <w:tr w:rsidR="00FE01F8" w:rsidRPr="000E2305" w14:paraId="76EA2150" w14:textId="77777777" w:rsidTr="000212D1">
        <w:trPr>
          <w:cantSplit/>
        </w:trPr>
        <w:tc>
          <w:tcPr>
            <w:tcW w:w="169" w:type="pct"/>
            <w:shd w:val="clear" w:color="auto" w:fill="D6EAEB"/>
            <w:vAlign w:val="center"/>
          </w:tcPr>
          <w:p w14:paraId="76E592A1" w14:textId="77777777" w:rsidR="00FE01F8" w:rsidRPr="000E2305" w:rsidRDefault="00FE01F8" w:rsidP="00FE01F8">
            <w:pPr>
              <w:keepNext/>
              <w:spacing w:before="0" w:after="0" w:line="240" w:lineRule="auto"/>
              <w:rPr>
                <w:rFonts w:asciiTheme="minorHAnsi" w:hAnsiTheme="minorHAnsi" w:cstheme="minorHAnsi"/>
                <w:b/>
                <w:sz w:val="16"/>
                <w:szCs w:val="16"/>
              </w:rPr>
            </w:pPr>
          </w:p>
        </w:tc>
        <w:tc>
          <w:tcPr>
            <w:tcW w:w="2291" w:type="pct"/>
            <w:shd w:val="clear" w:color="auto" w:fill="D6EAEB"/>
            <w:vAlign w:val="center"/>
          </w:tcPr>
          <w:p w14:paraId="60373062" w14:textId="77777777" w:rsidR="00FE01F8" w:rsidRPr="000E2305" w:rsidRDefault="00FE01F8" w:rsidP="00FE01F8">
            <w:pPr>
              <w:keepNext/>
              <w:spacing w:before="0" w:after="0" w:line="240" w:lineRule="auto"/>
              <w:rPr>
                <w:rFonts w:asciiTheme="minorHAnsi" w:hAnsiTheme="minorHAnsi" w:cstheme="minorHAnsi"/>
                <w:b/>
                <w:sz w:val="16"/>
                <w:szCs w:val="16"/>
              </w:rPr>
            </w:pPr>
            <w:r w:rsidRPr="000E2305">
              <w:rPr>
                <w:rFonts w:asciiTheme="minorHAnsi" w:hAnsiTheme="minorHAnsi" w:cstheme="minorHAnsi"/>
                <w:b/>
                <w:sz w:val="16"/>
                <w:szCs w:val="16"/>
              </w:rPr>
              <w:t xml:space="preserve">Evidence </w:t>
            </w:r>
            <w:proofErr w:type="gramStart"/>
            <w:r w:rsidRPr="000E2305">
              <w:rPr>
                <w:rFonts w:asciiTheme="minorHAnsi" w:hAnsiTheme="minorHAnsi" w:cstheme="minorHAnsi"/>
                <w:b/>
                <w:sz w:val="16"/>
                <w:szCs w:val="16"/>
              </w:rPr>
              <w:t>review</w:t>
            </w:r>
            <w:proofErr w:type="gramEnd"/>
            <w:r w:rsidRPr="000E2305">
              <w:rPr>
                <w:rFonts w:asciiTheme="minorHAnsi" w:hAnsiTheme="minorHAnsi" w:cstheme="minorHAnsi"/>
                <w:b/>
                <w:sz w:val="16"/>
                <w:szCs w:val="16"/>
              </w:rPr>
              <w:t xml:space="preserve"> parameters</w:t>
            </w:r>
          </w:p>
        </w:tc>
        <w:tc>
          <w:tcPr>
            <w:tcW w:w="232" w:type="pct"/>
            <w:shd w:val="clear" w:color="auto" w:fill="D6EAEB"/>
            <w:vAlign w:val="center"/>
          </w:tcPr>
          <w:p w14:paraId="40481038" w14:textId="77777777" w:rsidR="00FE01F8" w:rsidRPr="000E2305" w:rsidRDefault="00FE01F8" w:rsidP="00FE01F8">
            <w:pPr>
              <w:keepNext/>
              <w:spacing w:before="0" w:after="0" w:line="240" w:lineRule="auto"/>
              <w:jc w:val="center"/>
              <w:rPr>
                <w:rFonts w:asciiTheme="minorHAnsi" w:hAnsiTheme="minorHAnsi" w:cstheme="minorHAnsi"/>
                <w:b/>
                <w:sz w:val="16"/>
                <w:szCs w:val="16"/>
              </w:rPr>
            </w:pPr>
          </w:p>
        </w:tc>
        <w:tc>
          <w:tcPr>
            <w:tcW w:w="232" w:type="pct"/>
            <w:shd w:val="clear" w:color="auto" w:fill="D6EAEB"/>
            <w:vAlign w:val="center"/>
          </w:tcPr>
          <w:p w14:paraId="27A30E69" w14:textId="77777777" w:rsidR="00FE01F8" w:rsidRPr="000E2305" w:rsidRDefault="00FE01F8" w:rsidP="00FE01F8">
            <w:pPr>
              <w:keepNext/>
              <w:spacing w:before="0" w:after="0" w:line="240" w:lineRule="auto"/>
              <w:jc w:val="center"/>
              <w:rPr>
                <w:rFonts w:asciiTheme="minorHAnsi" w:hAnsiTheme="minorHAnsi" w:cstheme="minorHAnsi"/>
                <w:b/>
                <w:sz w:val="16"/>
                <w:szCs w:val="16"/>
              </w:rPr>
            </w:pPr>
          </w:p>
        </w:tc>
        <w:tc>
          <w:tcPr>
            <w:tcW w:w="232" w:type="pct"/>
            <w:shd w:val="clear" w:color="auto" w:fill="D6EAEB"/>
            <w:vAlign w:val="center"/>
          </w:tcPr>
          <w:p w14:paraId="356C925C" w14:textId="77777777" w:rsidR="00FE01F8" w:rsidRPr="000E2305" w:rsidRDefault="00FE01F8" w:rsidP="00FE01F8">
            <w:pPr>
              <w:keepNext/>
              <w:spacing w:before="0" w:after="0" w:line="240" w:lineRule="auto"/>
              <w:jc w:val="center"/>
              <w:rPr>
                <w:rFonts w:asciiTheme="minorHAnsi" w:hAnsiTheme="minorHAnsi" w:cstheme="minorHAnsi"/>
                <w:b/>
                <w:sz w:val="16"/>
                <w:szCs w:val="16"/>
              </w:rPr>
            </w:pPr>
          </w:p>
        </w:tc>
        <w:tc>
          <w:tcPr>
            <w:tcW w:w="232" w:type="pct"/>
            <w:shd w:val="clear" w:color="auto" w:fill="D6EAEB"/>
            <w:vAlign w:val="center"/>
          </w:tcPr>
          <w:p w14:paraId="2137A073" w14:textId="77777777" w:rsidR="00FE01F8" w:rsidRPr="000E2305" w:rsidRDefault="00FE01F8" w:rsidP="00FE01F8">
            <w:pPr>
              <w:keepNext/>
              <w:spacing w:before="0" w:after="0" w:line="240" w:lineRule="auto"/>
              <w:jc w:val="center"/>
              <w:rPr>
                <w:rFonts w:asciiTheme="minorHAnsi" w:hAnsiTheme="minorHAnsi" w:cstheme="minorHAnsi"/>
                <w:b/>
                <w:sz w:val="16"/>
                <w:szCs w:val="16"/>
              </w:rPr>
            </w:pPr>
          </w:p>
        </w:tc>
        <w:tc>
          <w:tcPr>
            <w:tcW w:w="232" w:type="pct"/>
            <w:shd w:val="clear" w:color="auto" w:fill="D6EAEB"/>
            <w:vAlign w:val="center"/>
          </w:tcPr>
          <w:p w14:paraId="6E132B20" w14:textId="77777777" w:rsidR="00FE01F8" w:rsidRPr="000E2305" w:rsidRDefault="00FE01F8" w:rsidP="00FE01F8">
            <w:pPr>
              <w:keepNext/>
              <w:spacing w:before="0" w:after="0" w:line="240" w:lineRule="auto"/>
              <w:jc w:val="center"/>
              <w:rPr>
                <w:rFonts w:asciiTheme="minorHAnsi" w:hAnsiTheme="minorHAnsi" w:cstheme="minorHAnsi"/>
                <w:b/>
                <w:sz w:val="16"/>
                <w:szCs w:val="16"/>
              </w:rPr>
            </w:pPr>
          </w:p>
        </w:tc>
        <w:tc>
          <w:tcPr>
            <w:tcW w:w="232" w:type="pct"/>
            <w:shd w:val="clear" w:color="auto" w:fill="D6EAEB"/>
            <w:vAlign w:val="center"/>
          </w:tcPr>
          <w:p w14:paraId="706A522C" w14:textId="77777777" w:rsidR="00FE01F8" w:rsidRPr="000E2305" w:rsidRDefault="00FE01F8" w:rsidP="00FE01F8">
            <w:pPr>
              <w:keepNext/>
              <w:spacing w:before="0" w:after="0" w:line="240" w:lineRule="auto"/>
              <w:jc w:val="center"/>
              <w:rPr>
                <w:rFonts w:asciiTheme="minorHAnsi" w:hAnsiTheme="minorHAnsi" w:cstheme="minorHAnsi"/>
                <w:b/>
                <w:sz w:val="16"/>
                <w:szCs w:val="16"/>
              </w:rPr>
            </w:pPr>
          </w:p>
        </w:tc>
        <w:tc>
          <w:tcPr>
            <w:tcW w:w="232" w:type="pct"/>
            <w:shd w:val="clear" w:color="auto" w:fill="D6EAEB"/>
            <w:vAlign w:val="center"/>
          </w:tcPr>
          <w:p w14:paraId="39DF6363" w14:textId="77777777" w:rsidR="00FE01F8" w:rsidRPr="000E2305" w:rsidRDefault="00FE01F8" w:rsidP="00FE01F8">
            <w:pPr>
              <w:keepNext/>
              <w:spacing w:before="0" w:after="0" w:line="240" w:lineRule="auto"/>
              <w:jc w:val="center"/>
              <w:rPr>
                <w:rFonts w:asciiTheme="minorHAnsi" w:hAnsiTheme="minorHAnsi" w:cstheme="minorHAnsi"/>
                <w:b/>
                <w:sz w:val="16"/>
                <w:szCs w:val="16"/>
              </w:rPr>
            </w:pPr>
          </w:p>
        </w:tc>
        <w:tc>
          <w:tcPr>
            <w:tcW w:w="232" w:type="pct"/>
            <w:shd w:val="clear" w:color="auto" w:fill="D6EAEB"/>
            <w:vAlign w:val="center"/>
          </w:tcPr>
          <w:p w14:paraId="49F49B1D" w14:textId="77777777" w:rsidR="00FE01F8" w:rsidRPr="000E2305" w:rsidRDefault="00FE01F8" w:rsidP="00FE01F8">
            <w:pPr>
              <w:keepNext/>
              <w:spacing w:before="0" w:after="0" w:line="240" w:lineRule="auto"/>
              <w:jc w:val="center"/>
              <w:rPr>
                <w:rFonts w:asciiTheme="minorHAnsi" w:hAnsiTheme="minorHAnsi" w:cstheme="minorHAnsi"/>
                <w:b/>
                <w:sz w:val="16"/>
                <w:szCs w:val="16"/>
              </w:rPr>
            </w:pPr>
          </w:p>
        </w:tc>
        <w:tc>
          <w:tcPr>
            <w:tcW w:w="232" w:type="pct"/>
            <w:shd w:val="clear" w:color="auto" w:fill="D6EAEB"/>
            <w:vAlign w:val="center"/>
          </w:tcPr>
          <w:p w14:paraId="47EF92AF" w14:textId="77777777" w:rsidR="00FE01F8" w:rsidRPr="000E2305" w:rsidRDefault="00FE01F8" w:rsidP="00FE01F8">
            <w:pPr>
              <w:keepNext/>
              <w:spacing w:before="0" w:after="0" w:line="240" w:lineRule="auto"/>
              <w:jc w:val="center"/>
              <w:rPr>
                <w:rFonts w:asciiTheme="minorHAnsi" w:hAnsiTheme="minorHAnsi" w:cstheme="minorHAnsi"/>
                <w:b/>
                <w:sz w:val="16"/>
                <w:szCs w:val="16"/>
              </w:rPr>
            </w:pPr>
          </w:p>
        </w:tc>
        <w:tc>
          <w:tcPr>
            <w:tcW w:w="232" w:type="pct"/>
            <w:shd w:val="clear" w:color="auto" w:fill="D6EAEB"/>
            <w:vAlign w:val="center"/>
          </w:tcPr>
          <w:p w14:paraId="4CDB13AC" w14:textId="77777777" w:rsidR="00FE01F8" w:rsidRPr="000E2305" w:rsidRDefault="00FE01F8" w:rsidP="00FE01F8">
            <w:pPr>
              <w:keepNext/>
              <w:spacing w:before="0" w:after="0" w:line="240" w:lineRule="auto"/>
              <w:jc w:val="center"/>
              <w:rPr>
                <w:rFonts w:asciiTheme="minorHAnsi" w:hAnsiTheme="minorHAnsi" w:cstheme="minorHAnsi"/>
                <w:b/>
                <w:sz w:val="16"/>
                <w:szCs w:val="16"/>
              </w:rPr>
            </w:pPr>
          </w:p>
        </w:tc>
        <w:tc>
          <w:tcPr>
            <w:tcW w:w="220" w:type="pct"/>
            <w:shd w:val="clear" w:color="auto" w:fill="D6EAEB"/>
            <w:vAlign w:val="center"/>
          </w:tcPr>
          <w:p w14:paraId="0B8E8DFF" w14:textId="77777777" w:rsidR="00FE01F8" w:rsidRPr="000E2305" w:rsidRDefault="00FE01F8" w:rsidP="00FE01F8">
            <w:pPr>
              <w:keepNext/>
              <w:spacing w:before="0" w:after="0" w:line="240" w:lineRule="auto"/>
              <w:jc w:val="center"/>
              <w:rPr>
                <w:rFonts w:asciiTheme="minorHAnsi" w:hAnsiTheme="minorHAnsi" w:cstheme="minorHAnsi"/>
                <w:b/>
                <w:sz w:val="16"/>
                <w:szCs w:val="16"/>
              </w:rPr>
            </w:pPr>
          </w:p>
        </w:tc>
      </w:tr>
      <w:tr w:rsidR="00FE01F8" w:rsidRPr="000E2305" w14:paraId="6321E06E" w14:textId="77777777" w:rsidTr="000212D1">
        <w:trPr>
          <w:cantSplit/>
        </w:trPr>
        <w:tc>
          <w:tcPr>
            <w:tcW w:w="169" w:type="pct"/>
            <w:shd w:val="clear" w:color="auto" w:fill="92D050"/>
            <w:vAlign w:val="center"/>
          </w:tcPr>
          <w:p w14:paraId="0F0CE450" w14:textId="77777777" w:rsidR="00FE01F8" w:rsidRPr="000E2305" w:rsidRDefault="00FE01F8" w:rsidP="00FE01F8">
            <w:pPr>
              <w:spacing w:before="0" w:after="0" w:line="240" w:lineRule="auto"/>
              <w:rPr>
                <w:rFonts w:asciiTheme="minorHAnsi" w:hAnsiTheme="minorHAnsi" w:cstheme="minorHAnsi"/>
                <w:b/>
                <w:sz w:val="16"/>
                <w:szCs w:val="16"/>
              </w:rPr>
            </w:pPr>
          </w:p>
        </w:tc>
        <w:tc>
          <w:tcPr>
            <w:tcW w:w="2291" w:type="pct"/>
          </w:tcPr>
          <w:p w14:paraId="7C9F9A6A" w14:textId="77777777" w:rsidR="00FE01F8" w:rsidRPr="000E2305" w:rsidRDefault="00FE01F8" w:rsidP="00FE01F8">
            <w:pPr>
              <w:spacing w:before="0" w:after="0" w:line="240" w:lineRule="auto"/>
              <w:rPr>
                <w:rFonts w:asciiTheme="minorHAnsi" w:hAnsiTheme="minorHAnsi" w:cstheme="minorHAnsi"/>
                <w:sz w:val="16"/>
                <w:szCs w:val="16"/>
              </w:rPr>
            </w:pPr>
            <w:r w:rsidRPr="000E2305">
              <w:rPr>
                <w:rFonts w:asciiTheme="minorHAnsi" w:hAnsiTheme="minorHAnsi" w:cstheme="minorHAnsi"/>
                <w:sz w:val="16"/>
                <w:szCs w:val="16"/>
              </w:rPr>
              <w:t>Are decisions about scope, definitions and evidence review parameters documented and publicly available?</w:t>
            </w:r>
          </w:p>
        </w:tc>
        <w:tc>
          <w:tcPr>
            <w:tcW w:w="232" w:type="pct"/>
            <w:vAlign w:val="center"/>
          </w:tcPr>
          <w:p w14:paraId="11F3CE0B" w14:textId="77777777" w:rsidR="00FE01F8" w:rsidRPr="000E2305" w:rsidRDefault="00FE01F8" w:rsidP="00FE01F8">
            <w:pPr>
              <w:spacing w:before="0" w:after="0" w:line="240" w:lineRule="auto"/>
              <w:jc w:val="center"/>
              <w:rPr>
                <w:rFonts w:asciiTheme="minorHAnsi" w:hAnsiTheme="minorHAnsi" w:cstheme="minorHAnsi"/>
                <w:sz w:val="16"/>
                <w:szCs w:val="16"/>
              </w:rPr>
            </w:pPr>
            <w:r w:rsidRPr="000E2305">
              <w:rPr>
                <w:rFonts w:asciiTheme="minorHAnsi" w:hAnsiTheme="minorHAnsi" w:cstheme="minorHAnsi"/>
                <w:sz w:val="16"/>
                <w:szCs w:val="16"/>
              </w:rPr>
              <w:t>N</w:t>
            </w:r>
          </w:p>
        </w:tc>
        <w:tc>
          <w:tcPr>
            <w:tcW w:w="232" w:type="pct"/>
            <w:vAlign w:val="center"/>
          </w:tcPr>
          <w:p w14:paraId="51344773" w14:textId="1C082536" w:rsidR="00FE01F8" w:rsidRPr="000E2305" w:rsidRDefault="00FE01F8" w:rsidP="00FE01F8">
            <w:pPr>
              <w:spacing w:before="0" w:after="0" w:line="240" w:lineRule="auto"/>
              <w:jc w:val="center"/>
              <w:rPr>
                <w:rFonts w:asciiTheme="minorHAnsi" w:hAnsiTheme="minorHAnsi" w:cstheme="minorHAnsi"/>
                <w:sz w:val="16"/>
                <w:szCs w:val="16"/>
              </w:rPr>
            </w:pPr>
            <w:r w:rsidRPr="000E2305">
              <w:rPr>
                <w:rFonts w:asciiTheme="minorHAnsi" w:hAnsiTheme="minorHAnsi" w:cstheme="minorHAnsi"/>
                <w:sz w:val="16"/>
                <w:szCs w:val="16"/>
              </w:rPr>
              <w:t>N</w:t>
            </w:r>
          </w:p>
        </w:tc>
        <w:tc>
          <w:tcPr>
            <w:tcW w:w="232" w:type="pct"/>
            <w:vAlign w:val="center"/>
          </w:tcPr>
          <w:p w14:paraId="5DA5DD3E" w14:textId="77777777" w:rsidR="00FE01F8" w:rsidRPr="000E2305" w:rsidRDefault="00FE01F8" w:rsidP="00FE01F8">
            <w:pPr>
              <w:spacing w:before="0" w:after="0" w:line="240" w:lineRule="auto"/>
              <w:jc w:val="center"/>
              <w:rPr>
                <w:rFonts w:asciiTheme="minorHAnsi" w:hAnsiTheme="minorHAnsi" w:cstheme="minorHAnsi"/>
                <w:sz w:val="16"/>
                <w:szCs w:val="16"/>
              </w:rPr>
            </w:pPr>
            <w:r w:rsidRPr="000E2305">
              <w:rPr>
                <w:rFonts w:asciiTheme="minorHAnsi" w:hAnsiTheme="minorHAnsi" w:cstheme="minorHAnsi"/>
                <w:sz w:val="16"/>
                <w:szCs w:val="16"/>
              </w:rPr>
              <w:t>N</w:t>
            </w:r>
          </w:p>
        </w:tc>
        <w:tc>
          <w:tcPr>
            <w:tcW w:w="232" w:type="pct"/>
            <w:vAlign w:val="center"/>
          </w:tcPr>
          <w:p w14:paraId="3F2584E4" w14:textId="77777777" w:rsidR="00FE01F8" w:rsidRPr="000E2305" w:rsidRDefault="00FE01F8" w:rsidP="00FE01F8">
            <w:pPr>
              <w:spacing w:before="0" w:after="0" w:line="240" w:lineRule="auto"/>
              <w:jc w:val="center"/>
              <w:rPr>
                <w:rFonts w:asciiTheme="minorHAnsi" w:hAnsiTheme="minorHAnsi" w:cstheme="minorHAnsi"/>
                <w:sz w:val="16"/>
                <w:szCs w:val="16"/>
              </w:rPr>
            </w:pPr>
            <w:r w:rsidRPr="000E2305">
              <w:rPr>
                <w:rFonts w:asciiTheme="minorHAnsi" w:hAnsiTheme="minorHAnsi" w:cstheme="minorHAnsi"/>
                <w:sz w:val="16"/>
                <w:szCs w:val="16"/>
              </w:rPr>
              <w:t>N</w:t>
            </w:r>
          </w:p>
        </w:tc>
        <w:tc>
          <w:tcPr>
            <w:tcW w:w="232" w:type="pct"/>
            <w:vAlign w:val="center"/>
          </w:tcPr>
          <w:p w14:paraId="1D67F1DA" w14:textId="77777777" w:rsidR="00FE01F8" w:rsidRPr="000E2305" w:rsidRDefault="00FE01F8" w:rsidP="00FE01F8">
            <w:pPr>
              <w:spacing w:before="0" w:after="0" w:line="240" w:lineRule="auto"/>
              <w:jc w:val="center"/>
              <w:rPr>
                <w:rFonts w:asciiTheme="minorHAnsi" w:hAnsiTheme="minorHAnsi" w:cstheme="minorHAnsi"/>
                <w:sz w:val="16"/>
                <w:szCs w:val="16"/>
              </w:rPr>
            </w:pPr>
            <w:r w:rsidRPr="000E2305">
              <w:rPr>
                <w:rFonts w:asciiTheme="minorHAnsi" w:hAnsiTheme="minorHAnsi" w:cstheme="minorHAnsi"/>
                <w:sz w:val="16"/>
                <w:szCs w:val="16"/>
              </w:rPr>
              <w:t>N</w:t>
            </w:r>
          </w:p>
        </w:tc>
        <w:tc>
          <w:tcPr>
            <w:tcW w:w="232" w:type="pct"/>
            <w:vAlign w:val="center"/>
          </w:tcPr>
          <w:p w14:paraId="37B5F590" w14:textId="77777777" w:rsidR="00FE01F8" w:rsidRPr="000E2305" w:rsidRDefault="00FE01F8" w:rsidP="00FE01F8">
            <w:pPr>
              <w:spacing w:before="0" w:after="0" w:line="240" w:lineRule="auto"/>
              <w:jc w:val="center"/>
              <w:rPr>
                <w:rFonts w:asciiTheme="minorHAnsi" w:hAnsiTheme="minorHAnsi" w:cstheme="minorHAnsi"/>
                <w:sz w:val="16"/>
                <w:szCs w:val="16"/>
              </w:rPr>
            </w:pPr>
            <w:r w:rsidRPr="000E2305">
              <w:rPr>
                <w:rFonts w:asciiTheme="minorHAnsi" w:hAnsiTheme="minorHAnsi" w:cstheme="minorHAnsi"/>
                <w:sz w:val="16"/>
                <w:szCs w:val="16"/>
              </w:rPr>
              <w:t>N</w:t>
            </w:r>
          </w:p>
        </w:tc>
        <w:tc>
          <w:tcPr>
            <w:tcW w:w="232" w:type="pct"/>
            <w:vAlign w:val="center"/>
          </w:tcPr>
          <w:p w14:paraId="5A9A6615" w14:textId="77777777" w:rsidR="00FE01F8" w:rsidRPr="000E2305" w:rsidRDefault="00FE01F8" w:rsidP="00FE01F8">
            <w:pPr>
              <w:spacing w:before="0" w:after="0" w:line="240" w:lineRule="auto"/>
              <w:jc w:val="center"/>
              <w:rPr>
                <w:rFonts w:asciiTheme="minorHAnsi" w:hAnsiTheme="minorHAnsi" w:cstheme="minorHAnsi"/>
                <w:sz w:val="16"/>
                <w:szCs w:val="16"/>
              </w:rPr>
            </w:pPr>
            <w:r w:rsidRPr="000E2305">
              <w:rPr>
                <w:rFonts w:asciiTheme="minorHAnsi" w:hAnsiTheme="minorHAnsi" w:cstheme="minorHAnsi"/>
                <w:sz w:val="16"/>
                <w:szCs w:val="16"/>
              </w:rPr>
              <w:t>N</w:t>
            </w:r>
          </w:p>
        </w:tc>
        <w:tc>
          <w:tcPr>
            <w:tcW w:w="232" w:type="pct"/>
            <w:vAlign w:val="center"/>
          </w:tcPr>
          <w:p w14:paraId="704B2C7C" w14:textId="1CF0BC6A" w:rsidR="00FE01F8" w:rsidRPr="000E2305" w:rsidRDefault="000120E1" w:rsidP="00FE01F8">
            <w:pPr>
              <w:spacing w:before="0" w:after="0" w:line="240" w:lineRule="auto"/>
              <w:jc w:val="center"/>
              <w:rPr>
                <w:rFonts w:asciiTheme="minorHAnsi" w:hAnsiTheme="minorHAnsi" w:cstheme="minorHAnsi"/>
                <w:sz w:val="16"/>
                <w:szCs w:val="16"/>
              </w:rPr>
            </w:pPr>
            <w:r>
              <w:rPr>
                <w:rFonts w:asciiTheme="minorHAnsi" w:hAnsiTheme="minorHAnsi" w:cstheme="minorHAnsi"/>
                <w:sz w:val="16"/>
                <w:szCs w:val="16"/>
              </w:rPr>
              <w:t>Can’t tell</w:t>
            </w:r>
          </w:p>
        </w:tc>
        <w:tc>
          <w:tcPr>
            <w:tcW w:w="232" w:type="pct"/>
            <w:vAlign w:val="center"/>
          </w:tcPr>
          <w:p w14:paraId="0EF690BA" w14:textId="77777777" w:rsidR="00FE01F8" w:rsidRPr="000E2305" w:rsidRDefault="00FE01F8" w:rsidP="00FE01F8">
            <w:pPr>
              <w:spacing w:before="0" w:after="0" w:line="240" w:lineRule="auto"/>
              <w:jc w:val="center"/>
              <w:rPr>
                <w:rFonts w:asciiTheme="minorHAnsi" w:hAnsiTheme="minorHAnsi" w:cstheme="minorHAnsi"/>
                <w:sz w:val="16"/>
                <w:szCs w:val="16"/>
              </w:rPr>
            </w:pPr>
            <w:r w:rsidRPr="000E2305">
              <w:rPr>
                <w:rFonts w:asciiTheme="minorHAnsi" w:hAnsiTheme="minorHAnsi" w:cstheme="minorHAnsi"/>
                <w:sz w:val="16"/>
                <w:szCs w:val="16"/>
              </w:rPr>
              <w:t>N</w:t>
            </w:r>
          </w:p>
        </w:tc>
        <w:tc>
          <w:tcPr>
            <w:tcW w:w="232" w:type="pct"/>
            <w:vAlign w:val="center"/>
          </w:tcPr>
          <w:p w14:paraId="241AF6D4" w14:textId="77777777" w:rsidR="00FE01F8" w:rsidRPr="000E2305" w:rsidRDefault="00FE01F8" w:rsidP="00FE01F8">
            <w:pPr>
              <w:spacing w:before="0" w:after="0" w:line="240" w:lineRule="auto"/>
              <w:jc w:val="center"/>
              <w:rPr>
                <w:rFonts w:asciiTheme="minorHAnsi" w:hAnsiTheme="minorHAnsi" w:cstheme="minorHAnsi"/>
                <w:sz w:val="16"/>
                <w:szCs w:val="16"/>
              </w:rPr>
            </w:pPr>
            <w:r w:rsidRPr="000E2305">
              <w:rPr>
                <w:rFonts w:asciiTheme="minorHAnsi" w:hAnsiTheme="minorHAnsi" w:cstheme="minorHAnsi"/>
                <w:sz w:val="16"/>
                <w:szCs w:val="16"/>
              </w:rPr>
              <w:t>N</w:t>
            </w:r>
          </w:p>
        </w:tc>
        <w:tc>
          <w:tcPr>
            <w:tcW w:w="220" w:type="pct"/>
            <w:vAlign w:val="center"/>
          </w:tcPr>
          <w:p w14:paraId="397BF2E4" w14:textId="29B37E12" w:rsidR="00FE01F8" w:rsidRPr="000E2305" w:rsidRDefault="00A422BB" w:rsidP="00FE01F8">
            <w:pPr>
              <w:spacing w:before="0" w:after="0" w:line="240" w:lineRule="auto"/>
              <w:jc w:val="center"/>
              <w:rPr>
                <w:rFonts w:asciiTheme="minorHAnsi" w:hAnsiTheme="minorHAnsi" w:cstheme="minorHAnsi"/>
                <w:sz w:val="16"/>
                <w:szCs w:val="16"/>
              </w:rPr>
            </w:pPr>
            <w:r>
              <w:rPr>
                <w:rFonts w:asciiTheme="minorHAnsi" w:hAnsiTheme="minorHAnsi" w:cstheme="minorHAnsi"/>
                <w:sz w:val="16"/>
                <w:szCs w:val="16"/>
              </w:rPr>
              <w:t>Can’t tell</w:t>
            </w:r>
          </w:p>
        </w:tc>
      </w:tr>
      <w:tr w:rsidR="00FE01F8" w:rsidRPr="000E2305" w14:paraId="1C46EC57" w14:textId="77777777" w:rsidTr="000212D1">
        <w:trPr>
          <w:cantSplit/>
        </w:trPr>
        <w:tc>
          <w:tcPr>
            <w:tcW w:w="169" w:type="pct"/>
            <w:shd w:val="clear" w:color="auto" w:fill="92D050"/>
            <w:vAlign w:val="center"/>
          </w:tcPr>
          <w:p w14:paraId="25ABC05E" w14:textId="77777777" w:rsidR="00FE01F8" w:rsidRPr="000E2305" w:rsidRDefault="00FE01F8" w:rsidP="00FE01F8">
            <w:pPr>
              <w:spacing w:before="0" w:after="0" w:line="240" w:lineRule="auto"/>
              <w:rPr>
                <w:rFonts w:asciiTheme="minorHAnsi" w:hAnsiTheme="minorHAnsi" w:cstheme="minorHAnsi"/>
                <w:b/>
                <w:sz w:val="16"/>
                <w:szCs w:val="16"/>
              </w:rPr>
            </w:pPr>
          </w:p>
        </w:tc>
        <w:tc>
          <w:tcPr>
            <w:tcW w:w="2291" w:type="pct"/>
          </w:tcPr>
          <w:p w14:paraId="48FF98E9" w14:textId="77777777" w:rsidR="00FE01F8" w:rsidRPr="000E2305" w:rsidRDefault="00FE01F8" w:rsidP="00FE01F8">
            <w:pPr>
              <w:spacing w:before="0" w:after="0" w:line="240" w:lineRule="auto"/>
              <w:rPr>
                <w:rFonts w:asciiTheme="minorHAnsi" w:hAnsiTheme="minorHAnsi" w:cstheme="minorHAnsi"/>
                <w:sz w:val="16"/>
                <w:szCs w:val="16"/>
              </w:rPr>
            </w:pPr>
            <w:r w:rsidRPr="000E2305">
              <w:rPr>
                <w:rFonts w:asciiTheme="minorHAnsi" w:hAnsiTheme="minorHAnsi" w:cstheme="minorHAnsi"/>
                <w:sz w:val="16"/>
                <w:szCs w:val="16"/>
              </w:rPr>
              <w:t>Is there a preference for data from studies that follow agreed international protocols or meet appropriate industry standards?</w:t>
            </w:r>
          </w:p>
        </w:tc>
        <w:tc>
          <w:tcPr>
            <w:tcW w:w="232" w:type="pct"/>
            <w:vAlign w:val="center"/>
          </w:tcPr>
          <w:p w14:paraId="1099F66B" w14:textId="77777777" w:rsidR="00FE01F8" w:rsidRPr="000E2305" w:rsidRDefault="00FE01F8" w:rsidP="00FE01F8">
            <w:pPr>
              <w:spacing w:before="0" w:after="0" w:line="240" w:lineRule="auto"/>
              <w:jc w:val="center"/>
              <w:rPr>
                <w:rFonts w:asciiTheme="minorHAnsi" w:hAnsiTheme="minorHAnsi" w:cstheme="minorHAnsi"/>
                <w:sz w:val="16"/>
                <w:szCs w:val="16"/>
              </w:rPr>
            </w:pPr>
            <w:r w:rsidRPr="000E2305">
              <w:rPr>
                <w:rFonts w:asciiTheme="minorHAnsi" w:hAnsiTheme="minorHAnsi" w:cstheme="minorHAnsi"/>
                <w:sz w:val="16"/>
                <w:szCs w:val="16"/>
              </w:rPr>
              <w:t>N</w:t>
            </w:r>
          </w:p>
        </w:tc>
        <w:tc>
          <w:tcPr>
            <w:tcW w:w="232" w:type="pct"/>
            <w:vAlign w:val="center"/>
          </w:tcPr>
          <w:p w14:paraId="7D8F1D31" w14:textId="2933EDDB" w:rsidR="00FE01F8" w:rsidRPr="000E2305" w:rsidRDefault="00FE01F8" w:rsidP="00FE01F8">
            <w:pPr>
              <w:spacing w:before="0" w:after="0" w:line="240" w:lineRule="auto"/>
              <w:jc w:val="center"/>
              <w:rPr>
                <w:rFonts w:asciiTheme="minorHAnsi" w:hAnsiTheme="minorHAnsi" w:cstheme="minorHAnsi"/>
                <w:sz w:val="16"/>
                <w:szCs w:val="16"/>
              </w:rPr>
            </w:pPr>
            <w:r w:rsidRPr="000E2305">
              <w:rPr>
                <w:rFonts w:asciiTheme="minorHAnsi" w:hAnsiTheme="minorHAnsi" w:cstheme="minorHAnsi"/>
                <w:sz w:val="16"/>
                <w:szCs w:val="16"/>
              </w:rPr>
              <w:t>N</w:t>
            </w:r>
          </w:p>
        </w:tc>
        <w:tc>
          <w:tcPr>
            <w:tcW w:w="232" w:type="pct"/>
            <w:vAlign w:val="center"/>
          </w:tcPr>
          <w:p w14:paraId="765FD516" w14:textId="77777777" w:rsidR="00FE01F8" w:rsidRPr="000E2305" w:rsidRDefault="00FE01F8" w:rsidP="00FE01F8">
            <w:pPr>
              <w:spacing w:before="0" w:after="0" w:line="240" w:lineRule="auto"/>
              <w:jc w:val="center"/>
              <w:rPr>
                <w:rFonts w:asciiTheme="minorHAnsi" w:hAnsiTheme="minorHAnsi" w:cstheme="minorHAnsi"/>
                <w:sz w:val="16"/>
                <w:szCs w:val="16"/>
              </w:rPr>
            </w:pPr>
            <w:r w:rsidRPr="000E2305">
              <w:rPr>
                <w:rFonts w:asciiTheme="minorHAnsi" w:hAnsiTheme="minorHAnsi" w:cstheme="minorHAnsi"/>
                <w:sz w:val="16"/>
                <w:szCs w:val="16"/>
              </w:rPr>
              <w:t>N</w:t>
            </w:r>
          </w:p>
        </w:tc>
        <w:tc>
          <w:tcPr>
            <w:tcW w:w="232" w:type="pct"/>
            <w:vAlign w:val="center"/>
          </w:tcPr>
          <w:p w14:paraId="557EA999" w14:textId="77777777" w:rsidR="00FE01F8" w:rsidRPr="000E2305" w:rsidRDefault="00FE01F8" w:rsidP="00FE01F8">
            <w:pPr>
              <w:spacing w:before="0" w:after="0" w:line="240" w:lineRule="auto"/>
              <w:jc w:val="center"/>
              <w:rPr>
                <w:rFonts w:asciiTheme="minorHAnsi" w:hAnsiTheme="minorHAnsi" w:cstheme="minorHAnsi"/>
                <w:sz w:val="16"/>
                <w:szCs w:val="16"/>
              </w:rPr>
            </w:pPr>
            <w:r w:rsidRPr="000E2305">
              <w:rPr>
                <w:rFonts w:asciiTheme="minorHAnsi" w:hAnsiTheme="minorHAnsi" w:cstheme="minorHAnsi"/>
                <w:sz w:val="16"/>
                <w:szCs w:val="16"/>
              </w:rPr>
              <w:t>N</w:t>
            </w:r>
          </w:p>
        </w:tc>
        <w:tc>
          <w:tcPr>
            <w:tcW w:w="232" w:type="pct"/>
            <w:vAlign w:val="center"/>
          </w:tcPr>
          <w:p w14:paraId="773D2F1E" w14:textId="77777777" w:rsidR="00FE01F8" w:rsidRPr="000E2305" w:rsidRDefault="00FE01F8" w:rsidP="00FE01F8">
            <w:pPr>
              <w:spacing w:before="0" w:after="0" w:line="240" w:lineRule="auto"/>
              <w:jc w:val="center"/>
              <w:rPr>
                <w:rFonts w:asciiTheme="minorHAnsi" w:hAnsiTheme="minorHAnsi" w:cstheme="minorHAnsi"/>
                <w:sz w:val="16"/>
                <w:szCs w:val="16"/>
              </w:rPr>
            </w:pPr>
            <w:r w:rsidRPr="000E2305">
              <w:rPr>
                <w:rFonts w:asciiTheme="minorHAnsi" w:hAnsiTheme="minorHAnsi" w:cstheme="minorHAnsi"/>
                <w:sz w:val="16"/>
                <w:szCs w:val="16"/>
              </w:rPr>
              <w:t>N</w:t>
            </w:r>
          </w:p>
        </w:tc>
        <w:tc>
          <w:tcPr>
            <w:tcW w:w="232" w:type="pct"/>
            <w:vAlign w:val="center"/>
          </w:tcPr>
          <w:p w14:paraId="01457841" w14:textId="77777777" w:rsidR="00FE01F8" w:rsidRPr="000E2305" w:rsidRDefault="00FE01F8" w:rsidP="00FE01F8">
            <w:pPr>
              <w:spacing w:before="0" w:after="0" w:line="240" w:lineRule="auto"/>
              <w:jc w:val="center"/>
              <w:rPr>
                <w:rFonts w:asciiTheme="minorHAnsi" w:hAnsiTheme="minorHAnsi" w:cstheme="minorHAnsi"/>
                <w:sz w:val="16"/>
                <w:szCs w:val="16"/>
              </w:rPr>
            </w:pPr>
            <w:r w:rsidRPr="000E2305">
              <w:rPr>
                <w:rFonts w:asciiTheme="minorHAnsi" w:hAnsiTheme="minorHAnsi" w:cstheme="minorHAnsi"/>
                <w:sz w:val="16"/>
                <w:szCs w:val="16"/>
              </w:rPr>
              <w:t>N</w:t>
            </w:r>
          </w:p>
        </w:tc>
        <w:tc>
          <w:tcPr>
            <w:tcW w:w="232" w:type="pct"/>
            <w:vAlign w:val="center"/>
          </w:tcPr>
          <w:p w14:paraId="61230DE2" w14:textId="77777777" w:rsidR="00FE01F8" w:rsidRPr="000E2305" w:rsidRDefault="00FE01F8" w:rsidP="00FE01F8">
            <w:pPr>
              <w:spacing w:before="0" w:after="0" w:line="240" w:lineRule="auto"/>
              <w:jc w:val="center"/>
              <w:rPr>
                <w:rFonts w:asciiTheme="minorHAnsi" w:hAnsiTheme="minorHAnsi" w:cstheme="minorHAnsi"/>
                <w:sz w:val="16"/>
                <w:szCs w:val="16"/>
              </w:rPr>
            </w:pPr>
            <w:r w:rsidRPr="000E2305">
              <w:rPr>
                <w:rFonts w:asciiTheme="minorHAnsi" w:hAnsiTheme="minorHAnsi" w:cstheme="minorHAnsi"/>
                <w:sz w:val="16"/>
                <w:szCs w:val="16"/>
              </w:rPr>
              <w:t>N</w:t>
            </w:r>
          </w:p>
        </w:tc>
        <w:tc>
          <w:tcPr>
            <w:tcW w:w="232" w:type="pct"/>
            <w:vAlign w:val="center"/>
          </w:tcPr>
          <w:p w14:paraId="18D880C1" w14:textId="1F600E46" w:rsidR="00FE01F8" w:rsidRPr="000E2305" w:rsidRDefault="000120E1" w:rsidP="00FE01F8">
            <w:pPr>
              <w:spacing w:before="0" w:after="0" w:line="240" w:lineRule="auto"/>
              <w:jc w:val="center"/>
              <w:rPr>
                <w:rFonts w:asciiTheme="minorHAnsi" w:hAnsiTheme="minorHAnsi" w:cstheme="minorHAnsi"/>
                <w:sz w:val="16"/>
                <w:szCs w:val="16"/>
              </w:rPr>
            </w:pPr>
            <w:r>
              <w:rPr>
                <w:rFonts w:asciiTheme="minorHAnsi" w:hAnsiTheme="minorHAnsi" w:cstheme="minorHAnsi"/>
                <w:sz w:val="16"/>
                <w:szCs w:val="16"/>
              </w:rPr>
              <w:t>Can’t tell</w:t>
            </w:r>
          </w:p>
        </w:tc>
        <w:tc>
          <w:tcPr>
            <w:tcW w:w="232" w:type="pct"/>
            <w:vAlign w:val="center"/>
          </w:tcPr>
          <w:p w14:paraId="44D02F66" w14:textId="77777777" w:rsidR="00FE01F8" w:rsidRPr="000E2305" w:rsidRDefault="00FE01F8" w:rsidP="00FE01F8">
            <w:pPr>
              <w:spacing w:before="0" w:after="0" w:line="240" w:lineRule="auto"/>
              <w:jc w:val="center"/>
              <w:rPr>
                <w:rFonts w:asciiTheme="minorHAnsi" w:hAnsiTheme="minorHAnsi" w:cstheme="minorHAnsi"/>
                <w:sz w:val="16"/>
                <w:szCs w:val="16"/>
              </w:rPr>
            </w:pPr>
            <w:r w:rsidRPr="000E2305">
              <w:rPr>
                <w:rFonts w:asciiTheme="minorHAnsi" w:hAnsiTheme="minorHAnsi" w:cstheme="minorHAnsi"/>
                <w:sz w:val="16"/>
                <w:szCs w:val="16"/>
              </w:rPr>
              <w:t>N</w:t>
            </w:r>
          </w:p>
        </w:tc>
        <w:tc>
          <w:tcPr>
            <w:tcW w:w="232" w:type="pct"/>
            <w:vAlign w:val="center"/>
          </w:tcPr>
          <w:p w14:paraId="01B73A3E" w14:textId="77777777" w:rsidR="00FE01F8" w:rsidRPr="000E2305" w:rsidRDefault="00FE01F8" w:rsidP="00FE01F8">
            <w:pPr>
              <w:spacing w:before="0" w:after="0" w:line="240" w:lineRule="auto"/>
              <w:jc w:val="center"/>
              <w:rPr>
                <w:rFonts w:asciiTheme="minorHAnsi" w:hAnsiTheme="minorHAnsi" w:cstheme="minorHAnsi"/>
                <w:sz w:val="16"/>
                <w:szCs w:val="16"/>
              </w:rPr>
            </w:pPr>
            <w:r w:rsidRPr="000E2305">
              <w:rPr>
                <w:rFonts w:asciiTheme="minorHAnsi" w:hAnsiTheme="minorHAnsi" w:cstheme="minorHAnsi"/>
                <w:sz w:val="16"/>
                <w:szCs w:val="16"/>
              </w:rPr>
              <w:t>N</w:t>
            </w:r>
          </w:p>
        </w:tc>
        <w:tc>
          <w:tcPr>
            <w:tcW w:w="220" w:type="pct"/>
            <w:vAlign w:val="center"/>
          </w:tcPr>
          <w:p w14:paraId="6D421C5C" w14:textId="53B7FCE4" w:rsidR="00FE01F8" w:rsidRPr="000E2305" w:rsidRDefault="00A422BB" w:rsidP="00FE01F8">
            <w:pPr>
              <w:spacing w:before="0" w:after="0" w:line="240" w:lineRule="auto"/>
              <w:jc w:val="center"/>
              <w:rPr>
                <w:rFonts w:asciiTheme="minorHAnsi" w:hAnsiTheme="minorHAnsi" w:cstheme="minorHAnsi"/>
                <w:sz w:val="16"/>
                <w:szCs w:val="16"/>
              </w:rPr>
            </w:pPr>
            <w:r>
              <w:rPr>
                <w:rFonts w:asciiTheme="minorHAnsi" w:hAnsiTheme="minorHAnsi" w:cstheme="minorHAnsi"/>
                <w:sz w:val="16"/>
                <w:szCs w:val="16"/>
              </w:rPr>
              <w:t>Can’t tell</w:t>
            </w:r>
          </w:p>
        </w:tc>
      </w:tr>
      <w:tr w:rsidR="006110F6" w:rsidRPr="000E2305" w14:paraId="0DB104AC" w14:textId="77777777" w:rsidTr="000212D1">
        <w:trPr>
          <w:cantSplit/>
        </w:trPr>
        <w:tc>
          <w:tcPr>
            <w:tcW w:w="169" w:type="pct"/>
            <w:shd w:val="clear" w:color="auto" w:fill="92D050"/>
            <w:vAlign w:val="center"/>
          </w:tcPr>
          <w:p w14:paraId="67E573D6" w14:textId="77777777" w:rsidR="00FE01F8" w:rsidRPr="000E2305" w:rsidRDefault="00FE01F8" w:rsidP="00FE01F8">
            <w:pPr>
              <w:spacing w:before="0" w:after="0" w:line="240" w:lineRule="auto"/>
              <w:rPr>
                <w:rFonts w:asciiTheme="minorHAnsi" w:hAnsiTheme="minorHAnsi" w:cstheme="minorHAnsi"/>
                <w:b/>
                <w:sz w:val="16"/>
                <w:szCs w:val="16"/>
              </w:rPr>
            </w:pPr>
          </w:p>
        </w:tc>
        <w:tc>
          <w:tcPr>
            <w:tcW w:w="2291" w:type="pct"/>
          </w:tcPr>
          <w:p w14:paraId="6899B55A" w14:textId="77777777" w:rsidR="00FE01F8" w:rsidRPr="000E2305" w:rsidRDefault="00FE01F8" w:rsidP="00FE01F8">
            <w:pPr>
              <w:spacing w:before="0" w:after="0" w:line="240" w:lineRule="auto"/>
              <w:rPr>
                <w:rFonts w:asciiTheme="minorHAnsi" w:hAnsiTheme="minorHAnsi" w:cstheme="minorHAnsi"/>
                <w:sz w:val="16"/>
                <w:szCs w:val="16"/>
              </w:rPr>
            </w:pPr>
            <w:r w:rsidRPr="000E2305">
              <w:rPr>
                <w:rFonts w:asciiTheme="minorHAnsi" w:hAnsiTheme="minorHAnsi" w:cstheme="minorHAnsi"/>
                <w:sz w:val="16"/>
                <w:szCs w:val="16"/>
              </w:rPr>
              <w:t>Does the organisation use or undertake systematic literature review methods to identify and select data underpinning the advice? Are the methods used documented clearly?</w:t>
            </w:r>
          </w:p>
        </w:tc>
        <w:tc>
          <w:tcPr>
            <w:tcW w:w="232" w:type="pct"/>
            <w:vAlign w:val="center"/>
          </w:tcPr>
          <w:p w14:paraId="6BCF2B03" w14:textId="77777777" w:rsidR="00FE01F8" w:rsidRPr="000E2305" w:rsidRDefault="00FE01F8" w:rsidP="00FE01F8">
            <w:pPr>
              <w:spacing w:before="0" w:after="0" w:line="240" w:lineRule="auto"/>
              <w:jc w:val="center"/>
              <w:rPr>
                <w:rFonts w:asciiTheme="minorHAnsi" w:hAnsiTheme="minorHAnsi" w:cstheme="minorHAnsi"/>
                <w:sz w:val="16"/>
                <w:szCs w:val="16"/>
              </w:rPr>
            </w:pPr>
            <w:r w:rsidRPr="000E2305">
              <w:rPr>
                <w:rFonts w:asciiTheme="minorHAnsi" w:hAnsiTheme="minorHAnsi" w:cstheme="minorHAnsi"/>
                <w:sz w:val="16"/>
                <w:szCs w:val="16"/>
              </w:rPr>
              <w:t>N</w:t>
            </w:r>
          </w:p>
        </w:tc>
        <w:tc>
          <w:tcPr>
            <w:tcW w:w="232" w:type="pct"/>
            <w:vAlign w:val="center"/>
          </w:tcPr>
          <w:p w14:paraId="05B212D2" w14:textId="443DD574" w:rsidR="00FE01F8" w:rsidRPr="000E2305" w:rsidRDefault="00FE01F8" w:rsidP="00FE01F8">
            <w:pPr>
              <w:spacing w:before="0" w:after="0" w:line="240" w:lineRule="auto"/>
              <w:jc w:val="center"/>
              <w:rPr>
                <w:rFonts w:asciiTheme="minorHAnsi" w:hAnsiTheme="minorHAnsi" w:cstheme="minorHAnsi"/>
                <w:sz w:val="16"/>
                <w:szCs w:val="16"/>
              </w:rPr>
            </w:pPr>
            <w:r w:rsidRPr="000E2305">
              <w:rPr>
                <w:rFonts w:asciiTheme="minorHAnsi" w:hAnsiTheme="minorHAnsi" w:cstheme="minorHAnsi"/>
                <w:sz w:val="16"/>
                <w:szCs w:val="16"/>
              </w:rPr>
              <w:t>N</w:t>
            </w:r>
          </w:p>
        </w:tc>
        <w:tc>
          <w:tcPr>
            <w:tcW w:w="232" w:type="pct"/>
            <w:vAlign w:val="center"/>
          </w:tcPr>
          <w:p w14:paraId="1B88B82A" w14:textId="77777777" w:rsidR="00FE01F8" w:rsidRPr="000E2305" w:rsidRDefault="00FE01F8" w:rsidP="00FE01F8">
            <w:pPr>
              <w:spacing w:before="0" w:after="0" w:line="240" w:lineRule="auto"/>
              <w:jc w:val="center"/>
              <w:rPr>
                <w:rFonts w:asciiTheme="minorHAnsi" w:hAnsiTheme="minorHAnsi" w:cstheme="minorHAnsi"/>
                <w:sz w:val="16"/>
                <w:szCs w:val="16"/>
              </w:rPr>
            </w:pPr>
            <w:r w:rsidRPr="000E2305">
              <w:rPr>
                <w:rFonts w:asciiTheme="minorHAnsi" w:hAnsiTheme="minorHAnsi" w:cstheme="minorHAnsi"/>
                <w:sz w:val="16"/>
                <w:szCs w:val="16"/>
              </w:rPr>
              <w:t>N</w:t>
            </w:r>
          </w:p>
        </w:tc>
        <w:tc>
          <w:tcPr>
            <w:tcW w:w="232" w:type="pct"/>
            <w:vAlign w:val="center"/>
          </w:tcPr>
          <w:p w14:paraId="670DEDBC" w14:textId="0EF13FD8" w:rsidR="00FE01F8" w:rsidRPr="000E2305" w:rsidRDefault="006110F6" w:rsidP="00FE01F8">
            <w:pPr>
              <w:spacing w:before="0" w:after="0" w:line="240" w:lineRule="auto"/>
              <w:jc w:val="center"/>
              <w:rPr>
                <w:rFonts w:asciiTheme="minorHAnsi" w:hAnsiTheme="minorHAnsi" w:cstheme="minorHAnsi"/>
                <w:sz w:val="16"/>
                <w:szCs w:val="16"/>
              </w:rPr>
            </w:pPr>
            <w:r>
              <w:rPr>
                <w:rFonts w:asciiTheme="minorHAnsi" w:hAnsiTheme="minorHAnsi" w:cstheme="minorHAnsi"/>
                <w:sz w:val="16"/>
                <w:szCs w:val="16"/>
              </w:rPr>
              <w:t>N</w:t>
            </w:r>
          </w:p>
        </w:tc>
        <w:tc>
          <w:tcPr>
            <w:tcW w:w="232" w:type="pct"/>
            <w:vAlign w:val="center"/>
          </w:tcPr>
          <w:p w14:paraId="1C663445" w14:textId="77777777" w:rsidR="00FE01F8" w:rsidRPr="000E2305" w:rsidRDefault="00FE01F8" w:rsidP="00FE01F8">
            <w:pPr>
              <w:spacing w:before="0" w:after="0" w:line="240" w:lineRule="auto"/>
              <w:jc w:val="center"/>
              <w:rPr>
                <w:rFonts w:asciiTheme="minorHAnsi" w:hAnsiTheme="minorHAnsi" w:cstheme="minorHAnsi"/>
                <w:sz w:val="16"/>
                <w:szCs w:val="16"/>
              </w:rPr>
            </w:pPr>
            <w:r w:rsidRPr="000E2305">
              <w:rPr>
                <w:rFonts w:asciiTheme="minorHAnsi" w:hAnsiTheme="minorHAnsi" w:cstheme="minorHAnsi"/>
                <w:sz w:val="16"/>
                <w:szCs w:val="16"/>
              </w:rPr>
              <w:t>N</w:t>
            </w:r>
          </w:p>
        </w:tc>
        <w:tc>
          <w:tcPr>
            <w:tcW w:w="232" w:type="pct"/>
            <w:vAlign w:val="center"/>
          </w:tcPr>
          <w:p w14:paraId="17EFEEEB" w14:textId="77777777" w:rsidR="00FE01F8" w:rsidRPr="000E2305" w:rsidRDefault="00FE01F8" w:rsidP="00FE01F8">
            <w:pPr>
              <w:spacing w:before="0" w:after="0" w:line="240" w:lineRule="auto"/>
              <w:jc w:val="center"/>
              <w:rPr>
                <w:rFonts w:asciiTheme="minorHAnsi" w:hAnsiTheme="minorHAnsi" w:cstheme="minorHAnsi"/>
                <w:sz w:val="16"/>
                <w:szCs w:val="16"/>
              </w:rPr>
            </w:pPr>
            <w:r w:rsidRPr="000E2305">
              <w:rPr>
                <w:rFonts w:asciiTheme="minorHAnsi" w:hAnsiTheme="minorHAnsi" w:cstheme="minorHAnsi"/>
                <w:sz w:val="16"/>
                <w:szCs w:val="16"/>
              </w:rPr>
              <w:t>N</w:t>
            </w:r>
          </w:p>
        </w:tc>
        <w:tc>
          <w:tcPr>
            <w:tcW w:w="232" w:type="pct"/>
            <w:shd w:val="clear" w:color="auto" w:fill="92D050"/>
            <w:vAlign w:val="center"/>
          </w:tcPr>
          <w:p w14:paraId="6AAD7B85" w14:textId="7D927D7F" w:rsidR="00FE01F8" w:rsidRPr="000E2305" w:rsidRDefault="006110F6" w:rsidP="00FE01F8">
            <w:pPr>
              <w:spacing w:before="0" w:after="0" w:line="240" w:lineRule="auto"/>
              <w:jc w:val="center"/>
              <w:rPr>
                <w:rFonts w:asciiTheme="minorHAnsi" w:hAnsiTheme="minorHAnsi" w:cstheme="minorHAnsi"/>
                <w:sz w:val="16"/>
                <w:szCs w:val="16"/>
              </w:rPr>
            </w:pPr>
            <w:r>
              <w:rPr>
                <w:rFonts w:asciiTheme="minorHAnsi" w:hAnsiTheme="minorHAnsi" w:cstheme="minorHAnsi"/>
                <w:sz w:val="16"/>
                <w:szCs w:val="16"/>
              </w:rPr>
              <w:t>Y</w:t>
            </w:r>
          </w:p>
        </w:tc>
        <w:tc>
          <w:tcPr>
            <w:tcW w:w="232" w:type="pct"/>
            <w:vAlign w:val="center"/>
          </w:tcPr>
          <w:p w14:paraId="1C688877" w14:textId="36B84372" w:rsidR="00FE01F8" w:rsidRPr="000E2305" w:rsidRDefault="000120E1" w:rsidP="00FE01F8">
            <w:pPr>
              <w:spacing w:before="0" w:after="0" w:line="240" w:lineRule="auto"/>
              <w:jc w:val="center"/>
              <w:rPr>
                <w:rFonts w:asciiTheme="minorHAnsi" w:hAnsiTheme="minorHAnsi" w:cstheme="minorHAnsi"/>
                <w:sz w:val="16"/>
                <w:szCs w:val="16"/>
              </w:rPr>
            </w:pPr>
            <w:r>
              <w:rPr>
                <w:rFonts w:asciiTheme="minorHAnsi" w:hAnsiTheme="minorHAnsi" w:cstheme="minorHAnsi"/>
                <w:sz w:val="16"/>
                <w:szCs w:val="16"/>
              </w:rPr>
              <w:t>Can’t tell</w:t>
            </w:r>
          </w:p>
        </w:tc>
        <w:tc>
          <w:tcPr>
            <w:tcW w:w="232" w:type="pct"/>
            <w:shd w:val="clear" w:color="auto" w:fill="92D050"/>
            <w:vAlign w:val="center"/>
          </w:tcPr>
          <w:p w14:paraId="71480D53" w14:textId="12101AB9" w:rsidR="00FE01F8" w:rsidRPr="000E2305" w:rsidRDefault="003C7709" w:rsidP="00FE01F8">
            <w:pPr>
              <w:spacing w:before="0" w:after="0" w:line="240" w:lineRule="auto"/>
              <w:jc w:val="center"/>
              <w:rPr>
                <w:rFonts w:asciiTheme="minorHAnsi" w:hAnsiTheme="minorHAnsi" w:cstheme="minorHAnsi"/>
                <w:sz w:val="16"/>
                <w:szCs w:val="16"/>
              </w:rPr>
            </w:pPr>
            <w:r>
              <w:rPr>
                <w:rFonts w:asciiTheme="minorHAnsi" w:hAnsiTheme="minorHAnsi" w:cstheme="minorHAnsi"/>
                <w:sz w:val="16"/>
                <w:szCs w:val="16"/>
              </w:rPr>
              <w:t>Y</w:t>
            </w:r>
          </w:p>
        </w:tc>
        <w:tc>
          <w:tcPr>
            <w:tcW w:w="232" w:type="pct"/>
            <w:vAlign w:val="center"/>
          </w:tcPr>
          <w:p w14:paraId="74343005" w14:textId="05DB6E3B" w:rsidR="00FE01F8" w:rsidRPr="000E2305" w:rsidRDefault="003C7709" w:rsidP="00FE01F8">
            <w:pPr>
              <w:spacing w:before="0" w:after="0" w:line="240" w:lineRule="auto"/>
              <w:jc w:val="center"/>
              <w:rPr>
                <w:rFonts w:asciiTheme="minorHAnsi" w:hAnsiTheme="minorHAnsi" w:cstheme="minorHAnsi"/>
                <w:sz w:val="16"/>
                <w:szCs w:val="16"/>
              </w:rPr>
            </w:pPr>
            <w:r>
              <w:rPr>
                <w:rFonts w:asciiTheme="minorHAnsi" w:hAnsiTheme="minorHAnsi" w:cstheme="minorHAnsi"/>
                <w:sz w:val="16"/>
                <w:szCs w:val="16"/>
              </w:rPr>
              <w:t>Can’t tell</w:t>
            </w:r>
          </w:p>
        </w:tc>
        <w:tc>
          <w:tcPr>
            <w:tcW w:w="220" w:type="pct"/>
            <w:vAlign w:val="center"/>
          </w:tcPr>
          <w:p w14:paraId="11232E39" w14:textId="57741080" w:rsidR="00FE01F8" w:rsidRPr="000E2305" w:rsidRDefault="00A422BB" w:rsidP="00FE01F8">
            <w:pPr>
              <w:spacing w:before="0" w:after="0" w:line="240" w:lineRule="auto"/>
              <w:jc w:val="center"/>
              <w:rPr>
                <w:rFonts w:asciiTheme="minorHAnsi" w:hAnsiTheme="minorHAnsi" w:cstheme="minorHAnsi"/>
                <w:sz w:val="16"/>
                <w:szCs w:val="16"/>
              </w:rPr>
            </w:pPr>
            <w:r>
              <w:rPr>
                <w:rFonts w:asciiTheme="minorHAnsi" w:hAnsiTheme="minorHAnsi" w:cstheme="minorHAnsi"/>
                <w:sz w:val="16"/>
                <w:szCs w:val="16"/>
              </w:rPr>
              <w:t>Can’t tell</w:t>
            </w:r>
          </w:p>
        </w:tc>
      </w:tr>
      <w:tr w:rsidR="00FE01F8" w:rsidRPr="000E2305" w14:paraId="2B24D82C" w14:textId="77777777" w:rsidTr="000212D1">
        <w:trPr>
          <w:cantSplit/>
        </w:trPr>
        <w:tc>
          <w:tcPr>
            <w:tcW w:w="169" w:type="pct"/>
            <w:shd w:val="clear" w:color="auto" w:fill="92D050"/>
            <w:vAlign w:val="center"/>
          </w:tcPr>
          <w:p w14:paraId="5B0CE44B" w14:textId="77777777" w:rsidR="00FE01F8" w:rsidRPr="000E2305" w:rsidRDefault="00FE01F8" w:rsidP="00FE01F8">
            <w:pPr>
              <w:spacing w:before="0" w:after="0" w:line="240" w:lineRule="auto"/>
              <w:rPr>
                <w:rFonts w:asciiTheme="minorHAnsi" w:hAnsiTheme="minorHAnsi" w:cstheme="minorHAnsi"/>
                <w:b/>
                <w:sz w:val="16"/>
                <w:szCs w:val="16"/>
              </w:rPr>
            </w:pPr>
          </w:p>
        </w:tc>
        <w:tc>
          <w:tcPr>
            <w:tcW w:w="2291" w:type="pct"/>
          </w:tcPr>
          <w:p w14:paraId="189EF8BA" w14:textId="77777777" w:rsidR="00FE01F8" w:rsidRPr="000E2305" w:rsidRDefault="00FE01F8" w:rsidP="00FE01F8">
            <w:pPr>
              <w:spacing w:before="0" w:after="0" w:line="240" w:lineRule="auto"/>
              <w:rPr>
                <w:rFonts w:asciiTheme="minorHAnsi" w:hAnsiTheme="minorHAnsi" w:cstheme="minorHAnsi"/>
                <w:sz w:val="16"/>
                <w:szCs w:val="16"/>
              </w:rPr>
            </w:pPr>
            <w:r w:rsidRPr="000E2305">
              <w:rPr>
                <w:rFonts w:asciiTheme="minorHAnsi" w:hAnsiTheme="minorHAnsi" w:cstheme="minorHAnsi"/>
                <w:sz w:val="16"/>
                <w:szCs w:val="16"/>
              </w:rPr>
              <w:t>If proprietary/confidential studies or data are considered by the agency, are these appropriately described/recorded?</w:t>
            </w:r>
          </w:p>
        </w:tc>
        <w:tc>
          <w:tcPr>
            <w:tcW w:w="232" w:type="pct"/>
            <w:vAlign w:val="center"/>
          </w:tcPr>
          <w:p w14:paraId="25B8A521" w14:textId="77777777" w:rsidR="00FE01F8" w:rsidRPr="000E2305" w:rsidRDefault="00FE01F8" w:rsidP="00FE01F8">
            <w:pPr>
              <w:spacing w:before="0" w:after="0" w:line="240" w:lineRule="auto"/>
              <w:jc w:val="center"/>
              <w:rPr>
                <w:rFonts w:asciiTheme="minorHAnsi" w:hAnsiTheme="minorHAnsi" w:cstheme="minorHAnsi"/>
                <w:sz w:val="16"/>
                <w:szCs w:val="16"/>
              </w:rPr>
            </w:pPr>
            <w:r w:rsidRPr="000E2305">
              <w:rPr>
                <w:rFonts w:asciiTheme="minorHAnsi" w:hAnsiTheme="minorHAnsi" w:cstheme="minorHAnsi"/>
                <w:sz w:val="16"/>
                <w:szCs w:val="16"/>
              </w:rPr>
              <w:t>n/a</w:t>
            </w:r>
          </w:p>
        </w:tc>
        <w:tc>
          <w:tcPr>
            <w:tcW w:w="232" w:type="pct"/>
            <w:vAlign w:val="center"/>
          </w:tcPr>
          <w:p w14:paraId="37A3A740" w14:textId="154A770D" w:rsidR="00FE01F8" w:rsidRPr="000E2305" w:rsidRDefault="00FE01F8" w:rsidP="00FE01F8">
            <w:pPr>
              <w:spacing w:before="0" w:after="0" w:line="240" w:lineRule="auto"/>
              <w:jc w:val="center"/>
              <w:rPr>
                <w:rFonts w:asciiTheme="minorHAnsi" w:hAnsiTheme="minorHAnsi" w:cstheme="minorHAnsi"/>
                <w:sz w:val="16"/>
                <w:szCs w:val="16"/>
              </w:rPr>
            </w:pPr>
            <w:r w:rsidRPr="000E2305">
              <w:rPr>
                <w:rFonts w:asciiTheme="minorHAnsi" w:hAnsiTheme="minorHAnsi" w:cstheme="minorHAnsi"/>
                <w:sz w:val="16"/>
                <w:szCs w:val="16"/>
              </w:rPr>
              <w:t>n/a</w:t>
            </w:r>
          </w:p>
        </w:tc>
        <w:tc>
          <w:tcPr>
            <w:tcW w:w="232" w:type="pct"/>
            <w:vAlign w:val="center"/>
          </w:tcPr>
          <w:p w14:paraId="1C5407F0" w14:textId="77777777" w:rsidR="00FE01F8" w:rsidRPr="000E2305" w:rsidRDefault="00FE01F8" w:rsidP="00FE01F8">
            <w:pPr>
              <w:spacing w:before="0" w:after="0" w:line="240" w:lineRule="auto"/>
              <w:jc w:val="center"/>
              <w:rPr>
                <w:rFonts w:asciiTheme="minorHAnsi" w:hAnsiTheme="minorHAnsi" w:cstheme="minorHAnsi"/>
                <w:sz w:val="16"/>
                <w:szCs w:val="16"/>
              </w:rPr>
            </w:pPr>
            <w:r w:rsidRPr="000E2305">
              <w:rPr>
                <w:rFonts w:asciiTheme="minorHAnsi" w:hAnsiTheme="minorHAnsi" w:cstheme="minorHAnsi"/>
                <w:sz w:val="16"/>
                <w:szCs w:val="16"/>
              </w:rPr>
              <w:t>n/a</w:t>
            </w:r>
          </w:p>
        </w:tc>
        <w:tc>
          <w:tcPr>
            <w:tcW w:w="232" w:type="pct"/>
            <w:vAlign w:val="center"/>
          </w:tcPr>
          <w:p w14:paraId="5EC132D0" w14:textId="07200CFE" w:rsidR="00FE01F8" w:rsidRPr="000E2305" w:rsidRDefault="006110F6" w:rsidP="00FE01F8">
            <w:pPr>
              <w:spacing w:before="0" w:after="0" w:line="240" w:lineRule="auto"/>
              <w:jc w:val="center"/>
              <w:rPr>
                <w:rFonts w:asciiTheme="minorHAnsi" w:hAnsiTheme="minorHAnsi" w:cstheme="minorHAnsi"/>
                <w:sz w:val="16"/>
                <w:szCs w:val="16"/>
              </w:rPr>
            </w:pPr>
            <w:r>
              <w:rPr>
                <w:rFonts w:asciiTheme="minorHAnsi" w:hAnsiTheme="minorHAnsi" w:cstheme="minorHAnsi"/>
                <w:sz w:val="16"/>
                <w:szCs w:val="16"/>
              </w:rPr>
              <w:t>n/a</w:t>
            </w:r>
          </w:p>
        </w:tc>
        <w:tc>
          <w:tcPr>
            <w:tcW w:w="232" w:type="pct"/>
            <w:vAlign w:val="center"/>
          </w:tcPr>
          <w:p w14:paraId="34C75158" w14:textId="7D144E08" w:rsidR="00FE01F8" w:rsidRPr="000E2305" w:rsidRDefault="00FE01F8" w:rsidP="00FE01F8">
            <w:pPr>
              <w:spacing w:before="0" w:after="0" w:line="240" w:lineRule="auto"/>
              <w:jc w:val="center"/>
              <w:rPr>
                <w:rFonts w:asciiTheme="minorHAnsi" w:hAnsiTheme="minorHAnsi" w:cstheme="minorHAnsi"/>
                <w:sz w:val="16"/>
                <w:szCs w:val="16"/>
              </w:rPr>
            </w:pPr>
            <w:r>
              <w:rPr>
                <w:rFonts w:asciiTheme="minorHAnsi" w:hAnsiTheme="minorHAnsi" w:cstheme="minorHAnsi"/>
                <w:sz w:val="16"/>
                <w:szCs w:val="16"/>
              </w:rPr>
              <w:t>n/a</w:t>
            </w:r>
          </w:p>
        </w:tc>
        <w:tc>
          <w:tcPr>
            <w:tcW w:w="232" w:type="pct"/>
            <w:vAlign w:val="center"/>
          </w:tcPr>
          <w:p w14:paraId="5D887981" w14:textId="13467799" w:rsidR="00FE01F8" w:rsidRPr="000E2305" w:rsidRDefault="00FE01F8" w:rsidP="00FE01F8">
            <w:pPr>
              <w:spacing w:before="0" w:after="0" w:line="240" w:lineRule="auto"/>
              <w:jc w:val="center"/>
              <w:rPr>
                <w:rFonts w:asciiTheme="minorHAnsi" w:hAnsiTheme="minorHAnsi" w:cstheme="minorHAnsi"/>
                <w:sz w:val="16"/>
                <w:szCs w:val="16"/>
              </w:rPr>
            </w:pPr>
            <w:r>
              <w:rPr>
                <w:rFonts w:asciiTheme="minorHAnsi" w:hAnsiTheme="minorHAnsi" w:cstheme="minorHAnsi"/>
                <w:sz w:val="16"/>
                <w:szCs w:val="16"/>
              </w:rPr>
              <w:t>n/a</w:t>
            </w:r>
          </w:p>
        </w:tc>
        <w:tc>
          <w:tcPr>
            <w:tcW w:w="232" w:type="pct"/>
            <w:vAlign w:val="center"/>
          </w:tcPr>
          <w:p w14:paraId="57AA3037" w14:textId="32C29191" w:rsidR="00FE01F8" w:rsidRPr="000E2305" w:rsidRDefault="006110F6" w:rsidP="00FE01F8">
            <w:pPr>
              <w:spacing w:before="0" w:after="0" w:line="240" w:lineRule="auto"/>
              <w:jc w:val="center"/>
              <w:rPr>
                <w:rFonts w:asciiTheme="minorHAnsi" w:hAnsiTheme="minorHAnsi" w:cstheme="minorHAnsi"/>
                <w:sz w:val="16"/>
                <w:szCs w:val="16"/>
              </w:rPr>
            </w:pPr>
            <w:r>
              <w:rPr>
                <w:rFonts w:asciiTheme="minorHAnsi" w:hAnsiTheme="minorHAnsi" w:cstheme="minorHAnsi"/>
                <w:sz w:val="16"/>
                <w:szCs w:val="16"/>
              </w:rPr>
              <w:t>n/a</w:t>
            </w:r>
          </w:p>
        </w:tc>
        <w:tc>
          <w:tcPr>
            <w:tcW w:w="232" w:type="pct"/>
            <w:vAlign w:val="center"/>
          </w:tcPr>
          <w:p w14:paraId="37088C77" w14:textId="77777777" w:rsidR="00FE01F8" w:rsidRPr="000E2305" w:rsidRDefault="00FE01F8" w:rsidP="00FE01F8">
            <w:pPr>
              <w:spacing w:before="0" w:after="0" w:line="240" w:lineRule="auto"/>
              <w:jc w:val="center"/>
              <w:rPr>
                <w:rFonts w:asciiTheme="minorHAnsi" w:hAnsiTheme="minorHAnsi" w:cstheme="minorHAnsi"/>
                <w:sz w:val="16"/>
                <w:szCs w:val="16"/>
              </w:rPr>
            </w:pPr>
            <w:r w:rsidRPr="000E2305">
              <w:rPr>
                <w:rFonts w:asciiTheme="minorHAnsi" w:hAnsiTheme="minorHAnsi" w:cstheme="minorHAnsi"/>
                <w:sz w:val="16"/>
                <w:szCs w:val="16"/>
              </w:rPr>
              <w:t>n/a</w:t>
            </w:r>
          </w:p>
        </w:tc>
        <w:tc>
          <w:tcPr>
            <w:tcW w:w="232" w:type="pct"/>
            <w:vAlign w:val="center"/>
          </w:tcPr>
          <w:p w14:paraId="5E018CF1" w14:textId="77777777" w:rsidR="00FE01F8" w:rsidRPr="000E2305" w:rsidRDefault="00FE01F8" w:rsidP="00FE01F8">
            <w:pPr>
              <w:spacing w:before="0" w:after="0" w:line="240" w:lineRule="auto"/>
              <w:jc w:val="center"/>
              <w:rPr>
                <w:rFonts w:asciiTheme="minorHAnsi" w:hAnsiTheme="minorHAnsi" w:cstheme="minorHAnsi"/>
                <w:sz w:val="16"/>
                <w:szCs w:val="16"/>
              </w:rPr>
            </w:pPr>
            <w:r w:rsidRPr="000E2305">
              <w:rPr>
                <w:rFonts w:asciiTheme="minorHAnsi" w:hAnsiTheme="minorHAnsi" w:cstheme="minorHAnsi"/>
                <w:sz w:val="16"/>
                <w:szCs w:val="16"/>
              </w:rPr>
              <w:t>n/a</w:t>
            </w:r>
          </w:p>
        </w:tc>
        <w:tc>
          <w:tcPr>
            <w:tcW w:w="232" w:type="pct"/>
            <w:vAlign w:val="center"/>
          </w:tcPr>
          <w:p w14:paraId="7C88DFF9" w14:textId="7AE419E1" w:rsidR="00FE01F8" w:rsidRPr="000E2305" w:rsidRDefault="003C7709" w:rsidP="00FE01F8">
            <w:pPr>
              <w:spacing w:before="0" w:after="0" w:line="240" w:lineRule="auto"/>
              <w:jc w:val="center"/>
              <w:rPr>
                <w:rFonts w:asciiTheme="minorHAnsi" w:hAnsiTheme="minorHAnsi" w:cstheme="minorHAnsi"/>
                <w:sz w:val="16"/>
                <w:szCs w:val="16"/>
              </w:rPr>
            </w:pPr>
            <w:r>
              <w:rPr>
                <w:rFonts w:asciiTheme="minorHAnsi" w:hAnsiTheme="minorHAnsi" w:cstheme="minorHAnsi"/>
                <w:sz w:val="16"/>
                <w:szCs w:val="16"/>
              </w:rPr>
              <w:t>Can’t tell</w:t>
            </w:r>
          </w:p>
        </w:tc>
        <w:tc>
          <w:tcPr>
            <w:tcW w:w="220" w:type="pct"/>
            <w:vAlign w:val="center"/>
          </w:tcPr>
          <w:p w14:paraId="2A055F46" w14:textId="791B1414" w:rsidR="00FE01F8" w:rsidRPr="000E2305" w:rsidRDefault="00A422BB" w:rsidP="00FE01F8">
            <w:pPr>
              <w:spacing w:before="0" w:after="0" w:line="240" w:lineRule="auto"/>
              <w:jc w:val="center"/>
              <w:rPr>
                <w:rFonts w:asciiTheme="minorHAnsi" w:hAnsiTheme="minorHAnsi" w:cstheme="minorHAnsi"/>
                <w:sz w:val="16"/>
                <w:szCs w:val="16"/>
              </w:rPr>
            </w:pPr>
            <w:r>
              <w:rPr>
                <w:rFonts w:asciiTheme="minorHAnsi" w:hAnsiTheme="minorHAnsi" w:cstheme="minorHAnsi"/>
                <w:sz w:val="16"/>
                <w:szCs w:val="16"/>
              </w:rPr>
              <w:t>Can’t tell</w:t>
            </w:r>
          </w:p>
        </w:tc>
      </w:tr>
      <w:tr w:rsidR="006110F6" w:rsidRPr="000E2305" w14:paraId="2AFDFFA2" w14:textId="77777777" w:rsidTr="000212D1">
        <w:trPr>
          <w:cantSplit/>
        </w:trPr>
        <w:tc>
          <w:tcPr>
            <w:tcW w:w="169" w:type="pct"/>
            <w:shd w:val="clear" w:color="auto" w:fill="92D050"/>
            <w:vAlign w:val="center"/>
          </w:tcPr>
          <w:p w14:paraId="3F85DE5C" w14:textId="77777777" w:rsidR="00FE01F8" w:rsidRPr="000E2305" w:rsidRDefault="00FE01F8" w:rsidP="00FE01F8">
            <w:pPr>
              <w:spacing w:before="0" w:after="0" w:line="240" w:lineRule="auto"/>
              <w:rPr>
                <w:rFonts w:asciiTheme="minorHAnsi" w:hAnsiTheme="minorHAnsi" w:cstheme="minorHAnsi"/>
                <w:b/>
                <w:sz w:val="16"/>
                <w:szCs w:val="16"/>
              </w:rPr>
            </w:pPr>
          </w:p>
        </w:tc>
        <w:tc>
          <w:tcPr>
            <w:tcW w:w="2291" w:type="pct"/>
          </w:tcPr>
          <w:p w14:paraId="0DB0491D" w14:textId="77777777" w:rsidR="00FE01F8" w:rsidRPr="000E2305" w:rsidRDefault="00FE01F8" w:rsidP="00FE01F8">
            <w:pPr>
              <w:spacing w:before="0" w:after="0" w:line="240" w:lineRule="auto"/>
              <w:rPr>
                <w:rFonts w:asciiTheme="minorHAnsi" w:hAnsiTheme="minorHAnsi" w:cstheme="minorHAnsi"/>
                <w:sz w:val="16"/>
                <w:szCs w:val="16"/>
              </w:rPr>
            </w:pPr>
            <w:r w:rsidRPr="000E2305">
              <w:rPr>
                <w:rFonts w:asciiTheme="minorHAnsi" w:hAnsiTheme="minorHAnsi" w:cstheme="minorHAnsi"/>
                <w:sz w:val="16"/>
                <w:szCs w:val="16"/>
              </w:rPr>
              <w:t>Are inclusion/exclusion criteria used to select or exclude certain studies from the review? If so, is justification provided?</w:t>
            </w:r>
          </w:p>
        </w:tc>
        <w:tc>
          <w:tcPr>
            <w:tcW w:w="232" w:type="pct"/>
            <w:vAlign w:val="center"/>
          </w:tcPr>
          <w:p w14:paraId="3EF1A145" w14:textId="77777777" w:rsidR="00FE01F8" w:rsidRPr="000E2305" w:rsidRDefault="00FE01F8" w:rsidP="00FE01F8">
            <w:pPr>
              <w:spacing w:before="0" w:after="0" w:line="240" w:lineRule="auto"/>
              <w:jc w:val="center"/>
              <w:rPr>
                <w:rFonts w:asciiTheme="minorHAnsi" w:hAnsiTheme="minorHAnsi" w:cstheme="minorHAnsi"/>
                <w:sz w:val="16"/>
                <w:szCs w:val="16"/>
              </w:rPr>
            </w:pPr>
            <w:r w:rsidRPr="000E2305">
              <w:rPr>
                <w:rFonts w:asciiTheme="minorHAnsi" w:hAnsiTheme="minorHAnsi" w:cstheme="minorHAnsi"/>
                <w:sz w:val="16"/>
                <w:szCs w:val="16"/>
              </w:rPr>
              <w:t>N</w:t>
            </w:r>
          </w:p>
        </w:tc>
        <w:tc>
          <w:tcPr>
            <w:tcW w:w="232" w:type="pct"/>
            <w:vAlign w:val="center"/>
          </w:tcPr>
          <w:p w14:paraId="56C4B5B2" w14:textId="18B3184D" w:rsidR="00FE01F8" w:rsidRPr="000E2305" w:rsidRDefault="00FE01F8" w:rsidP="00FE01F8">
            <w:pPr>
              <w:spacing w:before="0" w:after="0" w:line="240" w:lineRule="auto"/>
              <w:jc w:val="center"/>
              <w:rPr>
                <w:rFonts w:asciiTheme="minorHAnsi" w:hAnsiTheme="minorHAnsi" w:cstheme="minorHAnsi"/>
                <w:sz w:val="16"/>
                <w:szCs w:val="16"/>
              </w:rPr>
            </w:pPr>
            <w:r w:rsidRPr="000E2305">
              <w:rPr>
                <w:rFonts w:asciiTheme="minorHAnsi" w:hAnsiTheme="minorHAnsi" w:cstheme="minorHAnsi"/>
                <w:sz w:val="16"/>
                <w:szCs w:val="16"/>
              </w:rPr>
              <w:t>N</w:t>
            </w:r>
          </w:p>
        </w:tc>
        <w:tc>
          <w:tcPr>
            <w:tcW w:w="232" w:type="pct"/>
            <w:vAlign w:val="center"/>
          </w:tcPr>
          <w:p w14:paraId="537B6181" w14:textId="77777777" w:rsidR="00FE01F8" w:rsidRPr="000E2305" w:rsidRDefault="00FE01F8" w:rsidP="00FE01F8">
            <w:pPr>
              <w:spacing w:before="0" w:after="0" w:line="240" w:lineRule="auto"/>
              <w:jc w:val="center"/>
              <w:rPr>
                <w:rFonts w:asciiTheme="minorHAnsi" w:hAnsiTheme="minorHAnsi" w:cstheme="minorHAnsi"/>
                <w:sz w:val="16"/>
                <w:szCs w:val="16"/>
              </w:rPr>
            </w:pPr>
            <w:r w:rsidRPr="000E2305">
              <w:rPr>
                <w:rFonts w:asciiTheme="minorHAnsi" w:hAnsiTheme="minorHAnsi" w:cstheme="minorHAnsi"/>
                <w:sz w:val="16"/>
                <w:szCs w:val="16"/>
              </w:rPr>
              <w:t>N</w:t>
            </w:r>
          </w:p>
        </w:tc>
        <w:tc>
          <w:tcPr>
            <w:tcW w:w="232" w:type="pct"/>
            <w:vAlign w:val="center"/>
          </w:tcPr>
          <w:p w14:paraId="3F5864A9" w14:textId="3B806FB0" w:rsidR="00FE01F8" w:rsidRPr="000E2305" w:rsidRDefault="006110F6" w:rsidP="00FE01F8">
            <w:pPr>
              <w:spacing w:before="0" w:after="0" w:line="240" w:lineRule="auto"/>
              <w:jc w:val="center"/>
              <w:rPr>
                <w:rFonts w:asciiTheme="minorHAnsi" w:hAnsiTheme="minorHAnsi" w:cstheme="minorHAnsi"/>
                <w:sz w:val="16"/>
                <w:szCs w:val="16"/>
              </w:rPr>
            </w:pPr>
            <w:r>
              <w:rPr>
                <w:rFonts w:asciiTheme="minorHAnsi" w:hAnsiTheme="minorHAnsi" w:cstheme="minorHAnsi"/>
                <w:sz w:val="16"/>
                <w:szCs w:val="16"/>
              </w:rPr>
              <w:t>N</w:t>
            </w:r>
          </w:p>
        </w:tc>
        <w:tc>
          <w:tcPr>
            <w:tcW w:w="232" w:type="pct"/>
            <w:vAlign w:val="center"/>
          </w:tcPr>
          <w:p w14:paraId="3D1A7638" w14:textId="77777777" w:rsidR="00FE01F8" w:rsidRPr="000E2305" w:rsidRDefault="00FE01F8" w:rsidP="00FE01F8">
            <w:pPr>
              <w:spacing w:before="0" w:after="0" w:line="240" w:lineRule="auto"/>
              <w:jc w:val="center"/>
              <w:rPr>
                <w:rFonts w:asciiTheme="minorHAnsi" w:hAnsiTheme="minorHAnsi" w:cstheme="minorHAnsi"/>
                <w:sz w:val="16"/>
                <w:szCs w:val="16"/>
              </w:rPr>
            </w:pPr>
            <w:r w:rsidRPr="000E2305">
              <w:rPr>
                <w:rFonts w:asciiTheme="minorHAnsi" w:hAnsiTheme="minorHAnsi" w:cstheme="minorHAnsi"/>
                <w:sz w:val="16"/>
                <w:szCs w:val="16"/>
              </w:rPr>
              <w:t>N</w:t>
            </w:r>
          </w:p>
        </w:tc>
        <w:tc>
          <w:tcPr>
            <w:tcW w:w="232" w:type="pct"/>
            <w:vAlign w:val="center"/>
          </w:tcPr>
          <w:p w14:paraId="3B361F7B" w14:textId="4F65F22E" w:rsidR="00FE01F8" w:rsidRPr="000E2305" w:rsidRDefault="00FE01F8" w:rsidP="00FE01F8">
            <w:pPr>
              <w:spacing w:before="0" w:after="0" w:line="240" w:lineRule="auto"/>
              <w:jc w:val="center"/>
              <w:rPr>
                <w:rFonts w:asciiTheme="minorHAnsi" w:hAnsiTheme="minorHAnsi" w:cstheme="minorHAnsi"/>
                <w:sz w:val="16"/>
                <w:szCs w:val="16"/>
              </w:rPr>
            </w:pPr>
            <w:r>
              <w:rPr>
                <w:rFonts w:asciiTheme="minorHAnsi" w:hAnsiTheme="minorHAnsi" w:cstheme="minorHAnsi"/>
                <w:sz w:val="16"/>
                <w:szCs w:val="16"/>
              </w:rPr>
              <w:t>n/a</w:t>
            </w:r>
          </w:p>
        </w:tc>
        <w:tc>
          <w:tcPr>
            <w:tcW w:w="232" w:type="pct"/>
            <w:shd w:val="clear" w:color="auto" w:fill="92D050"/>
            <w:vAlign w:val="center"/>
          </w:tcPr>
          <w:p w14:paraId="2662830F" w14:textId="48848A99" w:rsidR="00FE01F8" w:rsidRPr="000E2305" w:rsidRDefault="006110F6" w:rsidP="00FE01F8">
            <w:pPr>
              <w:spacing w:before="0" w:after="0" w:line="240" w:lineRule="auto"/>
              <w:jc w:val="center"/>
              <w:rPr>
                <w:rFonts w:asciiTheme="minorHAnsi" w:hAnsiTheme="minorHAnsi" w:cstheme="minorHAnsi"/>
                <w:sz w:val="16"/>
                <w:szCs w:val="16"/>
              </w:rPr>
            </w:pPr>
            <w:r>
              <w:rPr>
                <w:rFonts w:asciiTheme="minorHAnsi" w:hAnsiTheme="minorHAnsi" w:cstheme="minorHAnsi"/>
                <w:sz w:val="16"/>
                <w:szCs w:val="16"/>
              </w:rPr>
              <w:t>Y</w:t>
            </w:r>
          </w:p>
        </w:tc>
        <w:tc>
          <w:tcPr>
            <w:tcW w:w="232" w:type="pct"/>
            <w:vAlign w:val="center"/>
          </w:tcPr>
          <w:p w14:paraId="2C4A93F8" w14:textId="72CB14F0" w:rsidR="00FE01F8" w:rsidRPr="000E2305" w:rsidRDefault="000120E1" w:rsidP="00FE01F8">
            <w:pPr>
              <w:spacing w:before="0" w:after="0" w:line="240" w:lineRule="auto"/>
              <w:jc w:val="center"/>
              <w:rPr>
                <w:rFonts w:asciiTheme="minorHAnsi" w:hAnsiTheme="minorHAnsi" w:cstheme="minorHAnsi"/>
                <w:sz w:val="16"/>
                <w:szCs w:val="16"/>
              </w:rPr>
            </w:pPr>
            <w:r>
              <w:rPr>
                <w:rFonts w:asciiTheme="minorHAnsi" w:hAnsiTheme="minorHAnsi" w:cstheme="minorHAnsi"/>
                <w:sz w:val="16"/>
                <w:szCs w:val="16"/>
              </w:rPr>
              <w:t>Can’t tell</w:t>
            </w:r>
          </w:p>
        </w:tc>
        <w:tc>
          <w:tcPr>
            <w:tcW w:w="232" w:type="pct"/>
            <w:shd w:val="clear" w:color="auto" w:fill="92D050"/>
            <w:vAlign w:val="center"/>
          </w:tcPr>
          <w:p w14:paraId="441B4971" w14:textId="605AF61C" w:rsidR="00FE01F8" w:rsidRPr="000E2305" w:rsidRDefault="003C7709" w:rsidP="00FE01F8">
            <w:pPr>
              <w:spacing w:before="0" w:after="0" w:line="240" w:lineRule="auto"/>
              <w:jc w:val="center"/>
              <w:rPr>
                <w:rFonts w:asciiTheme="minorHAnsi" w:hAnsiTheme="minorHAnsi" w:cstheme="minorHAnsi"/>
                <w:sz w:val="16"/>
                <w:szCs w:val="16"/>
              </w:rPr>
            </w:pPr>
            <w:r>
              <w:rPr>
                <w:rFonts w:asciiTheme="minorHAnsi" w:hAnsiTheme="minorHAnsi" w:cstheme="minorHAnsi"/>
                <w:sz w:val="16"/>
                <w:szCs w:val="16"/>
              </w:rPr>
              <w:t>Y</w:t>
            </w:r>
          </w:p>
        </w:tc>
        <w:tc>
          <w:tcPr>
            <w:tcW w:w="232" w:type="pct"/>
            <w:vAlign w:val="center"/>
          </w:tcPr>
          <w:p w14:paraId="65DD3E4E" w14:textId="7910FB4D" w:rsidR="00FE01F8" w:rsidRPr="000E2305" w:rsidRDefault="003C7709" w:rsidP="00FE01F8">
            <w:pPr>
              <w:spacing w:before="0" w:after="0" w:line="240" w:lineRule="auto"/>
              <w:jc w:val="center"/>
              <w:rPr>
                <w:rFonts w:asciiTheme="minorHAnsi" w:hAnsiTheme="minorHAnsi" w:cstheme="minorHAnsi"/>
                <w:sz w:val="16"/>
                <w:szCs w:val="16"/>
              </w:rPr>
            </w:pPr>
            <w:r>
              <w:rPr>
                <w:rFonts w:asciiTheme="minorHAnsi" w:hAnsiTheme="minorHAnsi" w:cstheme="minorHAnsi"/>
                <w:sz w:val="16"/>
                <w:szCs w:val="16"/>
              </w:rPr>
              <w:t>Can’t tell</w:t>
            </w:r>
          </w:p>
        </w:tc>
        <w:tc>
          <w:tcPr>
            <w:tcW w:w="220" w:type="pct"/>
            <w:vAlign w:val="center"/>
          </w:tcPr>
          <w:p w14:paraId="73AC1066" w14:textId="44D7398E" w:rsidR="00FE01F8" w:rsidRPr="000E2305" w:rsidRDefault="00A422BB" w:rsidP="00FE01F8">
            <w:pPr>
              <w:spacing w:before="0" w:after="0" w:line="240" w:lineRule="auto"/>
              <w:jc w:val="center"/>
              <w:rPr>
                <w:rFonts w:asciiTheme="minorHAnsi" w:hAnsiTheme="minorHAnsi" w:cstheme="minorHAnsi"/>
                <w:sz w:val="16"/>
                <w:szCs w:val="16"/>
              </w:rPr>
            </w:pPr>
            <w:r>
              <w:rPr>
                <w:rFonts w:asciiTheme="minorHAnsi" w:hAnsiTheme="minorHAnsi" w:cstheme="minorHAnsi"/>
                <w:sz w:val="16"/>
                <w:szCs w:val="16"/>
              </w:rPr>
              <w:t>Can’t tell</w:t>
            </w:r>
          </w:p>
        </w:tc>
      </w:tr>
      <w:tr w:rsidR="00FE01F8" w:rsidRPr="000E2305" w14:paraId="3631BF3D" w14:textId="77777777" w:rsidTr="000212D1">
        <w:trPr>
          <w:cantSplit/>
        </w:trPr>
        <w:tc>
          <w:tcPr>
            <w:tcW w:w="169" w:type="pct"/>
            <w:shd w:val="clear" w:color="auto" w:fill="92D050"/>
            <w:vAlign w:val="center"/>
          </w:tcPr>
          <w:p w14:paraId="6D44B6F3" w14:textId="77777777" w:rsidR="00FE01F8" w:rsidRPr="000E2305" w:rsidRDefault="00FE01F8" w:rsidP="00FE01F8">
            <w:pPr>
              <w:spacing w:before="0" w:after="0" w:line="240" w:lineRule="auto"/>
              <w:rPr>
                <w:rFonts w:asciiTheme="minorHAnsi" w:hAnsiTheme="minorHAnsi" w:cstheme="minorHAnsi"/>
                <w:b/>
                <w:sz w:val="16"/>
                <w:szCs w:val="16"/>
              </w:rPr>
            </w:pPr>
          </w:p>
        </w:tc>
        <w:tc>
          <w:tcPr>
            <w:tcW w:w="2291" w:type="pct"/>
          </w:tcPr>
          <w:p w14:paraId="002B84F6" w14:textId="77777777" w:rsidR="00FE01F8" w:rsidRPr="000E2305" w:rsidRDefault="00FE01F8" w:rsidP="00FE01F8">
            <w:pPr>
              <w:spacing w:before="0" w:after="0" w:line="240" w:lineRule="auto"/>
              <w:rPr>
                <w:rFonts w:asciiTheme="minorHAnsi" w:hAnsiTheme="minorHAnsi" w:cstheme="minorHAnsi"/>
                <w:sz w:val="16"/>
                <w:szCs w:val="16"/>
              </w:rPr>
            </w:pPr>
            <w:r w:rsidRPr="000E2305">
              <w:rPr>
                <w:rFonts w:asciiTheme="minorHAnsi" w:hAnsiTheme="minorHAnsi" w:cstheme="minorHAnsi"/>
                <w:sz w:val="16"/>
                <w:szCs w:val="16"/>
              </w:rPr>
              <w:t>Does the organisation use or adopt review findings or risk assessments from other organisations? What process was used to critically assess these external findings?</w:t>
            </w:r>
          </w:p>
        </w:tc>
        <w:tc>
          <w:tcPr>
            <w:tcW w:w="232" w:type="pct"/>
            <w:vAlign w:val="center"/>
          </w:tcPr>
          <w:p w14:paraId="20988E70" w14:textId="1D2E1AD6" w:rsidR="00FE01F8" w:rsidRPr="000E2305" w:rsidRDefault="00FE01F8" w:rsidP="00FE01F8">
            <w:pPr>
              <w:spacing w:before="0" w:after="0" w:line="240" w:lineRule="auto"/>
              <w:jc w:val="center"/>
              <w:rPr>
                <w:rFonts w:asciiTheme="minorHAnsi" w:hAnsiTheme="minorHAnsi" w:cstheme="minorHAnsi"/>
                <w:sz w:val="16"/>
                <w:szCs w:val="16"/>
              </w:rPr>
            </w:pPr>
            <w:r>
              <w:rPr>
                <w:rFonts w:asciiTheme="minorHAnsi" w:hAnsiTheme="minorHAnsi" w:cstheme="minorHAnsi"/>
                <w:sz w:val="16"/>
                <w:szCs w:val="16"/>
              </w:rPr>
              <w:t>N</w:t>
            </w:r>
          </w:p>
        </w:tc>
        <w:tc>
          <w:tcPr>
            <w:tcW w:w="232" w:type="pct"/>
            <w:vAlign w:val="center"/>
          </w:tcPr>
          <w:p w14:paraId="179D1397" w14:textId="1504A3C6" w:rsidR="00FE01F8" w:rsidRPr="000E2305" w:rsidRDefault="00FE01F8" w:rsidP="00FE01F8">
            <w:pPr>
              <w:spacing w:before="0" w:after="0" w:line="240" w:lineRule="auto"/>
              <w:jc w:val="center"/>
              <w:rPr>
                <w:rFonts w:asciiTheme="minorHAnsi" w:hAnsiTheme="minorHAnsi" w:cstheme="minorHAnsi"/>
                <w:sz w:val="16"/>
                <w:szCs w:val="16"/>
              </w:rPr>
            </w:pPr>
            <w:r>
              <w:rPr>
                <w:rFonts w:asciiTheme="minorHAnsi" w:hAnsiTheme="minorHAnsi" w:cstheme="minorHAnsi"/>
                <w:sz w:val="16"/>
                <w:szCs w:val="16"/>
              </w:rPr>
              <w:t>N</w:t>
            </w:r>
          </w:p>
        </w:tc>
        <w:tc>
          <w:tcPr>
            <w:tcW w:w="232" w:type="pct"/>
            <w:vAlign w:val="center"/>
          </w:tcPr>
          <w:p w14:paraId="000552DD" w14:textId="77777777" w:rsidR="00FE01F8" w:rsidRPr="000E2305" w:rsidRDefault="00FE01F8" w:rsidP="00FE01F8">
            <w:pPr>
              <w:spacing w:before="0" w:after="0" w:line="240" w:lineRule="auto"/>
              <w:jc w:val="center"/>
              <w:rPr>
                <w:rFonts w:asciiTheme="minorHAnsi" w:hAnsiTheme="minorHAnsi" w:cstheme="minorHAnsi"/>
                <w:sz w:val="16"/>
                <w:szCs w:val="16"/>
              </w:rPr>
            </w:pPr>
            <w:r w:rsidRPr="000E2305">
              <w:rPr>
                <w:rFonts w:asciiTheme="minorHAnsi" w:hAnsiTheme="minorHAnsi" w:cstheme="minorHAnsi"/>
                <w:sz w:val="16"/>
                <w:szCs w:val="16"/>
              </w:rPr>
              <w:t>N</w:t>
            </w:r>
          </w:p>
        </w:tc>
        <w:tc>
          <w:tcPr>
            <w:tcW w:w="232" w:type="pct"/>
            <w:vAlign w:val="center"/>
          </w:tcPr>
          <w:p w14:paraId="674894F1" w14:textId="77777777" w:rsidR="00FE01F8" w:rsidRPr="000E2305" w:rsidRDefault="00FE01F8" w:rsidP="00FE01F8">
            <w:pPr>
              <w:spacing w:before="0" w:after="0" w:line="240" w:lineRule="auto"/>
              <w:jc w:val="center"/>
              <w:rPr>
                <w:rFonts w:asciiTheme="minorHAnsi" w:hAnsiTheme="minorHAnsi" w:cstheme="minorHAnsi"/>
                <w:sz w:val="16"/>
                <w:szCs w:val="16"/>
              </w:rPr>
            </w:pPr>
            <w:r w:rsidRPr="000E2305">
              <w:rPr>
                <w:rFonts w:asciiTheme="minorHAnsi" w:hAnsiTheme="minorHAnsi" w:cstheme="minorHAnsi"/>
                <w:sz w:val="16"/>
                <w:szCs w:val="16"/>
              </w:rPr>
              <w:t>N</w:t>
            </w:r>
          </w:p>
        </w:tc>
        <w:tc>
          <w:tcPr>
            <w:tcW w:w="232" w:type="pct"/>
            <w:shd w:val="clear" w:color="auto" w:fill="92D050"/>
            <w:vAlign w:val="center"/>
          </w:tcPr>
          <w:p w14:paraId="6686C548" w14:textId="77777777" w:rsidR="00FE01F8" w:rsidRPr="000E2305" w:rsidRDefault="00FE01F8" w:rsidP="00FE01F8">
            <w:pPr>
              <w:spacing w:before="0" w:after="0" w:line="240" w:lineRule="auto"/>
              <w:jc w:val="center"/>
              <w:rPr>
                <w:rFonts w:asciiTheme="minorHAnsi" w:hAnsiTheme="minorHAnsi" w:cstheme="minorHAnsi"/>
                <w:sz w:val="16"/>
                <w:szCs w:val="16"/>
              </w:rPr>
            </w:pPr>
            <w:r w:rsidRPr="000E2305">
              <w:rPr>
                <w:rFonts w:asciiTheme="minorHAnsi" w:hAnsiTheme="minorHAnsi" w:cstheme="minorHAnsi"/>
                <w:sz w:val="16"/>
                <w:szCs w:val="16"/>
              </w:rPr>
              <w:t>Y</w:t>
            </w:r>
          </w:p>
        </w:tc>
        <w:tc>
          <w:tcPr>
            <w:tcW w:w="232" w:type="pct"/>
            <w:shd w:val="clear" w:color="auto" w:fill="92D050"/>
            <w:vAlign w:val="center"/>
          </w:tcPr>
          <w:p w14:paraId="5B4B39CA" w14:textId="6D5B2095" w:rsidR="00FE01F8" w:rsidRPr="000E2305" w:rsidRDefault="00FE01F8" w:rsidP="00FE01F8">
            <w:pPr>
              <w:spacing w:before="0" w:after="0" w:line="240" w:lineRule="auto"/>
              <w:jc w:val="center"/>
              <w:rPr>
                <w:rFonts w:asciiTheme="minorHAnsi" w:hAnsiTheme="minorHAnsi" w:cstheme="minorHAnsi"/>
                <w:sz w:val="16"/>
                <w:szCs w:val="16"/>
              </w:rPr>
            </w:pPr>
            <w:r w:rsidRPr="000E2305">
              <w:rPr>
                <w:rFonts w:asciiTheme="minorHAnsi" w:hAnsiTheme="minorHAnsi" w:cstheme="minorHAnsi"/>
                <w:sz w:val="16"/>
                <w:szCs w:val="16"/>
              </w:rPr>
              <w:t>Y</w:t>
            </w:r>
          </w:p>
        </w:tc>
        <w:tc>
          <w:tcPr>
            <w:tcW w:w="232" w:type="pct"/>
            <w:vAlign w:val="center"/>
          </w:tcPr>
          <w:p w14:paraId="6FF4E407" w14:textId="77777777" w:rsidR="00FE01F8" w:rsidRPr="000E2305" w:rsidRDefault="00FE01F8" w:rsidP="00FE01F8">
            <w:pPr>
              <w:spacing w:before="0" w:after="0" w:line="240" w:lineRule="auto"/>
              <w:jc w:val="center"/>
              <w:rPr>
                <w:rFonts w:asciiTheme="minorHAnsi" w:hAnsiTheme="minorHAnsi" w:cstheme="minorHAnsi"/>
                <w:sz w:val="16"/>
                <w:szCs w:val="16"/>
              </w:rPr>
            </w:pPr>
            <w:r w:rsidRPr="000E2305">
              <w:rPr>
                <w:rFonts w:asciiTheme="minorHAnsi" w:hAnsiTheme="minorHAnsi" w:cstheme="minorHAnsi"/>
                <w:sz w:val="16"/>
                <w:szCs w:val="16"/>
              </w:rPr>
              <w:t>N</w:t>
            </w:r>
          </w:p>
        </w:tc>
        <w:tc>
          <w:tcPr>
            <w:tcW w:w="232" w:type="pct"/>
            <w:vAlign w:val="center"/>
          </w:tcPr>
          <w:p w14:paraId="20DCE518" w14:textId="37766EBD" w:rsidR="00FE01F8" w:rsidRPr="000E2305" w:rsidRDefault="000120E1" w:rsidP="00FE01F8">
            <w:pPr>
              <w:spacing w:before="0" w:after="0" w:line="240" w:lineRule="auto"/>
              <w:jc w:val="center"/>
              <w:rPr>
                <w:rFonts w:asciiTheme="minorHAnsi" w:hAnsiTheme="minorHAnsi" w:cstheme="minorHAnsi"/>
                <w:sz w:val="16"/>
                <w:szCs w:val="16"/>
              </w:rPr>
            </w:pPr>
            <w:r>
              <w:rPr>
                <w:rFonts w:asciiTheme="minorHAnsi" w:hAnsiTheme="minorHAnsi" w:cstheme="minorHAnsi"/>
                <w:sz w:val="16"/>
                <w:szCs w:val="16"/>
              </w:rPr>
              <w:t>N</w:t>
            </w:r>
          </w:p>
        </w:tc>
        <w:tc>
          <w:tcPr>
            <w:tcW w:w="232" w:type="pct"/>
            <w:vAlign w:val="center"/>
          </w:tcPr>
          <w:p w14:paraId="554D89A2" w14:textId="55DB2F8A" w:rsidR="00FE01F8" w:rsidRPr="000E2305" w:rsidRDefault="003C7709" w:rsidP="00FE01F8">
            <w:pPr>
              <w:spacing w:before="0" w:after="0" w:line="240" w:lineRule="auto"/>
              <w:jc w:val="center"/>
              <w:rPr>
                <w:rFonts w:asciiTheme="minorHAnsi" w:hAnsiTheme="minorHAnsi" w:cstheme="minorHAnsi"/>
                <w:sz w:val="16"/>
                <w:szCs w:val="16"/>
              </w:rPr>
            </w:pPr>
            <w:r>
              <w:rPr>
                <w:rFonts w:asciiTheme="minorHAnsi" w:hAnsiTheme="minorHAnsi" w:cstheme="minorHAnsi"/>
                <w:sz w:val="16"/>
                <w:szCs w:val="16"/>
              </w:rPr>
              <w:t>N</w:t>
            </w:r>
          </w:p>
        </w:tc>
        <w:tc>
          <w:tcPr>
            <w:tcW w:w="232" w:type="pct"/>
            <w:vAlign w:val="center"/>
          </w:tcPr>
          <w:p w14:paraId="1AA5E35F" w14:textId="55F99272" w:rsidR="00FE01F8" w:rsidRPr="000E2305" w:rsidRDefault="003C7709" w:rsidP="00FE01F8">
            <w:pPr>
              <w:spacing w:before="0" w:after="0" w:line="240" w:lineRule="auto"/>
              <w:jc w:val="center"/>
              <w:rPr>
                <w:rFonts w:asciiTheme="minorHAnsi" w:hAnsiTheme="minorHAnsi" w:cstheme="minorHAnsi"/>
                <w:sz w:val="16"/>
                <w:szCs w:val="16"/>
              </w:rPr>
            </w:pPr>
            <w:r>
              <w:rPr>
                <w:rFonts w:asciiTheme="minorHAnsi" w:hAnsiTheme="minorHAnsi" w:cstheme="minorHAnsi"/>
                <w:sz w:val="16"/>
                <w:szCs w:val="16"/>
              </w:rPr>
              <w:t>N</w:t>
            </w:r>
          </w:p>
        </w:tc>
        <w:tc>
          <w:tcPr>
            <w:tcW w:w="220" w:type="pct"/>
            <w:vAlign w:val="center"/>
          </w:tcPr>
          <w:p w14:paraId="69106CFB" w14:textId="6ACD1117" w:rsidR="00FE01F8" w:rsidRPr="000E2305" w:rsidRDefault="00A422BB" w:rsidP="00FE01F8">
            <w:pPr>
              <w:spacing w:before="0" w:after="0" w:line="240" w:lineRule="auto"/>
              <w:jc w:val="center"/>
              <w:rPr>
                <w:rFonts w:asciiTheme="minorHAnsi" w:hAnsiTheme="minorHAnsi" w:cstheme="minorHAnsi"/>
                <w:sz w:val="16"/>
                <w:szCs w:val="16"/>
              </w:rPr>
            </w:pPr>
            <w:r>
              <w:rPr>
                <w:rFonts w:asciiTheme="minorHAnsi" w:hAnsiTheme="minorHAnsi" w:cstheme="minorHAnsi"/>
                <w:sz w:val="16"/>
                <w:szCs w:val="16"/>
              </w:rPr>
              <w:t>Can’t tell</w:t>
            </w:r>
          </w:p>
        </w:tc>
      </w:tr>
      <w:tr w:rsidR="00A422BB" w:rsidRPr="000E2305" w14:paraId="0F7D3134" w14:textId="77777777" w:rsidTr="000212D1">
        <w:trPr>
          <w:cantSplit/>
        </w:trPr>
        <w:tc>
          <w:tcPr>
            <w:tcW w:w="169" w:type="pct"/>
            <w:shd w:val="clear" w:color="auto" w:fill="FFFF00"/>
            <w:vAlign w:val="center"/>
          </w:tcPr>
          <w:p w14:paraId="2D8249C6" w14:textId="77777777" w:rsidR="00FE01F8" w:rsidRPr="000E2305" w:rsidRDefault="00FE01F8" w:rsidP="00FE01F8">
            <w:pPr>
              <w:spacing w:before="0" w:after="0" w:line="240" w:lineRule="auto"/>
              <w:rPr>
                <w:rFonts w:asciiTheme="minorHAnsi" w:hAnsiTheme="minorHAnsi" w:cstheme="minorHAnsi"/>
                <w:b/>
                <w:sz w:val="16"/>
                <w:szCs w:val="16"/>
              </w:rPr>
            </w:pPr>
          </w:p>
        </w:tc>
        <w:tc>
          <w:tcPr>
            <w:tcW w:w="2291" w:type="pct"/>
          </w:tcPr>
          <w:p w14:paraId="7A54F6C2" w14:textId="77777777" w:rsidR="00FE01F8" w:rsidRPr="000E2305" w:rsidRDefault="00FE01F8" w:rsidP="00FE01F8">
            <w:pPr>
              <w:spacing w:before="0" w:after="0" w:line="240" w:lineRule="auto"/>
              <w:rPr>
                <w:rFonts w:asciiTheme="minorHAnsi" w:hAnsiTheme="minorHAnsi" w:cstheme="minorHAnsi"/>
                <w:sz w:val="16"/>
                <w:szCs w:val="16"/>
              </w:rPr>
            </w:pPr>
            <w:r w:rsidRPr="000E2305">
              <w:rPr>
                <w:rFonts w:asciiTheme="minorHAnsi" w:hAnsiTheme="minorHAnsi" w:cstheme="minorHAnsi"/>
                <w:sz w:val="16"/>
                <w:szCs w:val="16"/>
              </w:rPr>
              <w:t xml:space="preserve">Can grey literature such as government reports and policy documents be included? </w:t>
            </w:r>
          </w:p>
        </w:tc>
        <w:tc>
          <w:tcPr>
            <w:tcW w:w="232" w:type="pct"/>
            <w:shd w:val="clear" w:color="auto" w:fill="FFFF00"/>
            <w:vAlign w:val="center"/>
          </w:tcPr>
          <w:p w14:paraId="288B7BC5" w14:textId="77777777" w:rsidR="00FE01F8" w:rsidRPr="000E2305" w:rsidRDefault="00FE01F8" w:rsidP="00FE01F8">
            <w:pPr>
              <w:spacing w:before="0" w:after="0" w:line="240" w:lineRule="auto"/>
              <w:jc w:val="center"/>
              <w:rPr>
                <w:rFonts w:asciiTheme="minorHAnsi" w:hAnsiTheme="minorHAnsi" w:cstheme="minorHAnsi"/>
                <w:sz w:val="16"/>
                <w:szCs w:val="16"/>
                <w:highlight w:val="yellow"/>
              </w:rPr>
            </w:pPr>
            <w:r w:rsidRPr="000E2305">
              <w:rPr>
                <w:rFonts w:asciiTheme="minorHAnsi" w:hAnsiTheme="minorHAnsi" w:cstheme="minorHAnsi"/>
                <w:sz w:val="16"/>
                <w:szCs w:val="16"/>
              </w:rPr>
              <w:t>Y</w:t>
            </w:r>
          </w:p>
        </w:tc>
        <w:tc>
          <w:tcPr>
            <w:tcW w:w="232" w:type="pct"/>
            <w:shd w:val="clear" w:color="auto" w:fill="FFFF00"/>
            <w:vAlign w:val="center"/>
          </w:tcPr>
          <w:p w14:paraId="0A1801D2" w14:textId="50AF41C2" w:rsidR="00FE01F8" w:rsidRPr="000E2305" w:rsidRDefault="00FE01F8" w:rsidP="00FE01F8">
            <w:pPr>
              <w:spacing w:before="0" w:after="0" w:line="240" w:lineRule="auto"/>
              <w:jc w:val="center"/>
              <w:rPr>
                <w:rFonts w:asciiTheme="minorHAnsi" w:hAnsiTheme="minorHAnsi" w:cstheme="minorHAnsi"/>
                <w:sz w:val="16"/>
                <w:szCs w:val="16"/>
                <w:highlight w:val="yellow"/>
              </w:rPr>
            </w:pPr>
            <w:r w:rsidRPr="000E2305">
              <w:rPr>
                <w:rFonts w:asciiTheme="minorHAnsi" w:hAnsiTheme="minorHAnsi" w:cstheme="minorHAnsi"/>
                <w:sz w:val="16"/>
                <w:szCs w:val="16"/>
              </w:rPr>
              <w:t>Y</w:t>
            </w:r>
          </w:p>
        </w:tc>
        <w:tc>
          <w:tcPr>
            <w:tcW w:w="232" w:type="pct"/>
            <w:shd w:val="clear" w:color="auto" w:fill="FFFF00"/>
            <w:vAlign w:val="center"/>
          </w:tcPr>
          <w:p w14:paraId="560A932E" w14:textId="77777777" w:rsidR="00FE01F8" w:rsidRPr="000E2305" w:rsidRDefault="00FE01F8" w:rsidP="00FE01F8">
            <w:pPr>
              <w:spacing w:before="0" w:after="0" w:line="240" w:lineRule="auto"/>
              <w:jc w:val="center"/>
              <w:rPr>
                <w:rFonts w:asciiTheme="minorHAnsi" w:hAnsiTheme="minorHAnsi" w:cstheme="minorHAnsi"/>
                <w:sz w:val="16"/>
                <w:szCs w:val="16"/>
                <w:highlight w:val="yellow"/>
              </w:rPr>
            </w:pPr>
            <w:r w:rsidRPr="000E2305">
              <w:rPr>
                <w:rFonts w:asciiTheme="minorHAnsi" w:hAnsiTheme="minorHAnsi" w:cstheme="minorHAnsi"/>
                <w:sz w:val="16"/>
                <w:szCs w:val="16"/>
              </w:rPr>
              <w:t>Y</w:t>
            </w:r>
          </w:p>
        </w:tc>
        <w:tc>
          <w:tcPr>
            <w:tcW w:w="232" w:type="pct"/>
            <w:shd w:val="clear" w:color="auto" w:fill="FFFF00"/>
            <w:vAlign w:val="center"/>
          </w:tcPr>
          <w:p w14:paraId="6EBD26E5" w14:textId="2617BB0D" w:rsidR="00FE01F8" w:rsidRPr="000E2305" w:rsidRDefault="006110F6" w:rsidP="00FE01F8">
            <w:pPr>
              <w:spacing w:before="0" w:after="0" w:line="240" w:lineRule="auto"/>
              <w:jc w:val="center"/>
              <w:rPr>
                <w:rFonts w:asciiTheme="minorHAnsi" w:hAnsiTheme="minorHAnsi" w:cstheme="minorHAnsi"/>
                <w:sz w:val="16"/>
                <w:szCs w:val="16"/>
              </w:rPr>
            </w:pPr>
            <w:r>
              <w:rPr>
                <w:rFonts w:asciiTheme="minorHAnsi" w:hAnsiTheme="minorHAnsi" w:cstheme="minorHAnsi"/>
                <w:sz w:val="16"/>
                <w:szCs w:val="16"/>
              </w:rPr>
              <w:t>Y</w:t>
            </w:r>
          </w:p>
        </w:tc>
        <w:tc>
          <w:tcPr>
            <w:tcW w:w="232" w:type="pct"/>
            <w:shd w:val="clear" w:color="auto" w:fill="FFFF00"/>
            <w:vAlign w:val="center"/>
          </w:tcPr>
          <w:p w14:paraId="698A2190" w14:textId="77777777" w:rsidR="00FE01F8" w:rsidRPr="000E2305" w:rsidRDefault="00FE01F8" w:rsidP="00FE01F8">
            <w:pPr>
              <w:spacing w:before="0" w:after="0" w:line="240" w:lineRule="auto"/>
              <w:jc w:val="center"/>
              <w:rPr>
                <w:rFonts w:asciiTheme="minorHAnsi" w:hAnsiTheme="minorHAnsi" w:cstheme="minorHAnsi"/>
                <w:sz w:val="16"/>
                <w:szCs w:val="16"/>
              </w:rPr>
            </w:pPr>
            <w:r w:rsidRPr="000E2305">
              <w:rPr>
                <w:rFonts w:asciiTheme="minorHAnsi" w:hAnsiTheme="minorHAnsi" w:cstheme="minorHAnsi"/>
                <w:sz w:val="16"/>
                <w:szCs w:val="16"/>
              </w:rPr>
              <w:t>Y</w:t>
            </w:r>
          </w:p>
        </w:tc>
        <w:tc>
          <w:tcPr>
            <w:tcW w:w="232" w:type="pct"/>
            <w:shd w:val="clear" w:color="auto" w:fill="FFFF00"/>
            <w:vAlign w:val="center"/>
          </w:tcPr>
          <w:p w14:paraId="7336939C" w14:textId="35D8B1FA" w:rsidR="00FE01F8" w:rsidRPr="000E2305" w:rsidRDefault="00FE01F8" w:rsidP="00FE01F8">
            <w:pPr>
              <w:spacing w:before="0" w:after="0" w:line="240" w:lineRule="auto"/>
              <w:jc w:val="center"/>
              <w:rPr>
                <w:rFonts w:asciiTheme="minorHAnsi" w:hAnsiTheme="minorHAnsi" w:cstheme="minorHAnsi"/>
                <w:sz w:val="16"/>
                <w:szCs w:val="16"/>
              </w:rPr>
            </w:pPr>
            <w:r w:rsidRPr="000E2305">
              <w:rPr>
                <w:rFonts w:asciiTheme="minorHAnsi" w:hAnsiTheme="minorHAnsi" w:cstheme="minorHAnsi"/>
                <w:sz w:val="16"/>
                <w:szCs w:val="16"/>
              </w:rPr>
              <w:t>Y</w:t>
            </w:r>
          </w:p>
        </w:tc>
        <w:tc>
          <w:tcPr>
            <w:tcW w:w="232" w:type="pct"/>
            <w:shd w:val="clear" w:color="auto" w:fill="FFFF00"/>
            <w:vAlign w:val="center"/>
          </w:tcPr>
          <w:p w14:paraId="0FC9C302" w14:textId="77777777" w:rsidR="00FE01F8" w:rsidRPr="000E2305" w:rsidRDefault="00FE01F8" w:rsidP="00FE01F8">
            <w:pPr>
              <w:spacing w:before="0" w:after="0" w:line="240" w:lineRule="auto"/>
              <w:jc w:val="center"/>
              <w:rPr>
                <w:rFonts w:asciiTheme="minorHAnsi" w:hAnsiTheme="minorHAnsi" w:cstheme="minorHAnsi"/>
                <w:sz w:val="16"/>
                <w:szCs w:val="16"/>
              </w:rPr>
            </w:pPr>
            <w:r w:rsidRPr="000E2305">
              <w:rPr>
                <w:rFonts w:asciiTheme="minorHAnsi" w:hAnsiTheme="minorHAnsi" w:cstheme="minorHAnsi"/>
                <w:sz w:val="16"/>
                <w:szCs w:val="16"/>
              </w:rPr>
              <w:t>Y</w:t>
            </w:r>
          </w:p>
        </w:tc>
        <w:tc>
          <w:tcPr>
            <w:tcW w:w="232" w:type="pct"/>
            <w:vAlign w:val="center"/>
          </w:tcPr>
          <w:p w14:paraId="4A4AD69A" w14:textId="39764B94" w:rsidR="00FE01F8" w:rsidRPr="000E2305" w:rsidRDefault="000120E1" w:rsidP="00FE01F8">
            <w:pPr>
              <w:spacing w:before="0" w:after="0" w:line="240" w:lineRule="auto"/>
              <w:jc w:val="center"/>
              <w:rPr>
                <w:rFonts w:asciiTheme="minorHAnsi" w:hAnsiTheme="minorHAnsi" w:cstheme="minorHAnsi"/>
                <w:sz w:val="16"/>
                <w:szCs w:val="16"/>
              </w:rPr>
            </w:pPr>
            <w:r>
              <w:rPr>
                <w:rFonts w:asciiTheme="minorHAnsi" w:hAnsiTheme="minorHAnsi" w:cstheme="minorHAnsi"/>
                <w:sz w:val="16"/>
                <w:szCs w:val="16"/>
              </w:rPr>
              <w:t>Can’t tell</w:t>
            </w:r>
          </w:p>
        </w:tc>
        <w:tc>
          <w:tcPr>
            <w:tcW w:w="232" w:type="pct"/>
            <w:shd w:val="clear" w:color="auto" w:fill="FFFF00"/>
            <w:vAlign w:val="center"/>
          </w:tcPr>
          <w:p w14:paraId="3417B899" w14:textId="77777777" w:rsidR="00FE01F8" w:rsidRPr="000E2305" w:rsidRDefault="00FE01F8" w:rsidP="00FE01F8">
            <w:pPr>
              <w:spacing w:before="0" w:after="0" w:line="240" w:lineRule="auto"/>
              <w:jc w:val="center"/>
              <w:rPr>
                <w:rFonts w:asciiTheme="minorHAnsi" w:hAnsiTheme="minorHAnsi" w:cstheme="minorHAnsi"/>
                <w:sz w:val="16"/>
                <w:szCs w:val="16"/>
              </w:rPr>
            </w:pPr>
            <w:r w:rsidRPr="000E2305">
              <w:rPr>
                <w:rFonts w:asciiTheme="minorHAnsi" w:hAnsiTheme="minorHAnsi" w:cstheme="minorHAnsi"/>
                <w:sz w:val="16"/>
                <w:szCs w:val="16"/>
              </w:rPr>
              <w:t>Y</w:t>
            </w:r>
          </w:p>
        </w:tc>
        <w:tc>
          <w:tcPr>
            <w:tcW w:w="232" w:type="pct"/>
            <w:shd w:val="clear" w:color="auto" w:fill="FFFF00"/>
            <w:vAlign w:val="center"/>
          </w:tcPr>
          <w:p w14:paraId="0D119995" w14:textId="77777777" w:rsidR="00FE01F8" w:rsidRPr="000E2305" w:rsidRDefault="00FE01F8" w:rsidP="00FE01F8">
            <w:pPr>
              <w:spacing w:before="0" w:after="0" w:line="240" w:lineRule="auto"/>
              <w:jc w:val="center"/>
              <w:rPr>
                <w:rFonts w:asciiTheme="minorHAnsi" w:hAnsiTheme="minorHAnsi" w:cstheme="minorHAnsi"/>
                <w:sz w:val="16"/>
                <w:szCs w:val="16"/>
              </w:rPr>
            </w:pPr>
            <w:r w:rsidRPr="000E2305">
              <w:rPr>
                <w:rFonts w:asciiTheme="minorHAnsi" w:hAnsiTheme="minorHAnsi" w:cstheme="minorHAnsi"/>
                <w:sz w:val="16"/>
                <w:szCs w:val="16"/>
              </w:rPr>
              <w:t>Y</w:t>
            </w:r>
          </w:p>
        </w:tc>
        <w:tc>
          <w:tcPr>
            <w:tcW w:w="220" w:type="pct"/>
            <w:shd w:val="clear" w:color="auto" w:fill="FFFF00"/>
            <w:vAlign w:val="center"/>
          </w:tcPr>
          <w:p w14:paraId="773D8DFE" w14:textId="4E1E9F26" w:rsidR="00FE01F8" w:rsidRPr="000E2305" w:rsidRDefault="00A422BB" w:rsidP="00FE01F8">
            <w:pPr>
              <w:spacing w:before="0" w:after="0" w:line="240" w:lineRule="auto"/>
              <w:jc w:val="center"/>
              <w:rPr>
                <w:rFonts w:asciiTheme="minorHAnsi" w:hAnsiTheme="minorHAnsi" w:cstheme="minorHAnsi"/>
                <w:sz w:val="16"/>
                <w:szCs w:val="16"/>
              </w:rPr>
            </w:pPr>
            <w:r>
              <w:rPr>
                <w:rFonts w:asciiTheme="minorHAnsi" w:hAnsiTheme="minorHAnsi" w:cstheme="minorHAnsi"/>
                <w:sz w:val="16"/>
                <w:szCs w:val="16"/>
              </w:rPr>
              <w:t>Y</w:t>
            </w:r>
          </w:p>
        </w:tc>
      </w:tr>
      <w:tr w:rsidR="00A422BB" w:rsidRPr="000E2305" w14:paraId="21A1A1FE" w14:textId="77777777" w:rsidTr="000212D1">
        <w:trPr>
          <w:cantSplit/>
        </w:trPr>
        <w:tc>
          <w:tcPr>
            <w:tcW w:w="169" w:type="pct"/>
            <w:shd w:val="clear" w:color="auto" w:fill="FFFF00"/>
            <w:vAlign w:val="center"/>
          </w:tcPr>
          <w:p w14:paraId="50D548F8" w14:textId="77777777" w:rsidR="00FE01F8" w:rsidRPr="000E2305" w:rsidRDefault="00FE01F8" w:rsidP="00FE01F8">
            <w:pPr>
              <w:spacing w:before="0" w:after="0" w:line="240" w:lineRule="auto"/>
              <w:rPr>
                <w:rFonts w:asciiTheme="minorHAnsi" w:hAnsiTheme="minorHAnsi" w:cstheme="minorHAnsi"/>
                <w:b/>
                <w:sz w:val="16"/>
                <w:szCs w:val="16"/>
              </w:rPr>
            </w:pPr>
          </w:p>
        </w:tc>
        <w:tc>
          <w:tcPr>
            <w:tcW w:w="2291" w:type="pct"/>
          </w:tcPr>
          <w:p w14:paraId="215D2AF6" w14:textId="77777777" w:rsidR="00FE01F8" w:rsidRPr="000E2305" w:rsidRDefault="00FE01F8" w:rsidP="00FE01F8">
            <w:pPr>
              <w:spacing w:before="0" w:after="0" w:line="240" w:lineRule="auto"/>
              <w:rPr>
                <w:rFonts w:asciiTheme="minorHAnsi" w:hAnsiTheme="minorHAnsi" w:cstheme="minorHAnsi"/>
                <w:sz w:val="16"/>
                <w:szCs w:val="16"/>
              </w:rPr>
            </w:pPr>
            <w:r w:rsidRPr="000E2305">
              <w:rPr>
                <w:rFonts w:asciiTheme="minorHAnsi" w:hAnsiTheme="minorHAnsi" w:cstheme="minorHAnsi"/>
                <w:sz w:val="16"/>
                <w:szCs w:val="16"/>
              </w:rPr>
              <w:t>Is there documentation and justification on the selection of a toxicological endpoint for use as point of departure for health-based guideline derivation?</w:t>
            </w:r>
          </w:p>
        </w:tc>
        <w:tc>
          <w:tcPr>
            <w:tcW w:w="232" w:type="pct"/>
            <w:shd w:val="clear" w:color="auto" w:fill="FFFF00"/>
            <w:vAlign w:val="center"/>
          </w:tcPr>
          <w:p w14:paraId="0E45E32E" w14:textId="673DB867" w:rsidR="00FE01F8" w:rsidRPr="000E2305" w:rsidRDefault="00A422BB" w:rsidP="00FE01F8">
            <w:pPr>
              <w:spacing w:before="0" w:after="0" w:line="240" w:lineRule="auto"/>
              <w:jc w:val="center"/>
              <w:rPr>
                <w:rFonts w:asciiTheme="minorHAnsi" w:hAnsiTheme="minorHAnsi" w:cstheme="minorHAnsi"/>
                <w:sz w:val="16"/>
                <w:szCs w:val="16"/>
              </w:rPr>
            </w:pPr>
            <w:r>
              <w:rPr>
                <w:rFonts w:asciiTheme="minorHAnsi" w:hAnsiTheme="minorHAnsi" w:cstheme="minorHAnsi"/>
                <w:sz w:val="16"/>
                <w:szCs w:val="16"/>
              </w:rPr>
              <w:t>Y</w:t>
            </w:r>
          </w:p>
        </w:tc>
        <w:tc>
          <w:tcPr>
            <w:tcW w:w="232" w:type="pct"/>
            <w:vAlign w:val="center"/>
          </w:tcPr>
          <w:p w14:paraId="2A291DF3" w14:textId="6FECA355" w:rsidR="00FE01F8" w:rsidRPr="000E2305" w:rsidRDefault="00FE01F8" w:rsidP="00FE01F8">
            <w:pPr>
              <w:spacing w:before="0" w:after="0" w:line="240" w:lineRule="auto"/>
              <w:jc w:val="center"/>
              <w:rPr>
                <w:rFonts w:asciiTheme="minorHAnsi" w:hAnsiTheme="minorHAnsi" w:cstheme="minorHAnsi"/>
                <w:sz w:val="16"/>
                <w:szCs w:val="16"/>
              </w:rPr>
            </w:pPr>
            <w:r w:rsidRPr="000E2305">
              <w:rPr>
                <w:rFonts w:asciiTheme="minorHAnsi" w:hAnsiTheme="minorHAnsi" w:cstheme="minorHAnsi"/>
                <w:sz w:val="16"/>
                <w:szCs w:val="16"/>
              </w:rPr>
              <w:t>N</w:t>
            </w:r>
          </w:p>
        </w:tc>
        <w:tc>
          <w:tcPr>
            <w:tcW w:w="232" w:type="pct"/>
            <w:vAlign w:val="center"/>
          </w:tcPr>
          <w:p w14:paraId="066EBCA3" w14:textId="77777777" w:rsidR="00FE01F8" w:rsidRPr="000E2305" w:rsidRDefault="00FE01F8" w:rsidP="00FE01F8">
            <w:pPr>
              <w:spacing w:before="0" w:after="0" w:line="240" w:lineRule="auto"/>
              <w:jc w:val="center"/>
              <w:rPr>
                <w:rFonts w:asciiTheme="minorHAnsi" w:hAnsiTheme="minorHAnsi" w:cstheme="minorHAnsi"/>
                <w:sz w:val="16"/>
                <w:szCs w:val="16"/>
              </w:rPr>
            </w:pPr>
            <w:r w:rsidRPr="000E2305">
              <w:rPr>
                <w:rFonts w:asciiTheme="minorHAnsi" w:hAnsiTheme="minorHAnsi" w:cstheme="minorHAnsi"/>
                <w:sz w:val="16"/>
                <w:szCs w:val="16"/>
              </w:rPr>
              <w:t>N</w:t>
            </w:r>
          </w:p>
        </w:tc>
        <w:tc>
          <w:tcPr>
            <w:tcW w:w="232" w:type="pct"/>
            <w:vAlign w:val="center"/>
          </w:tcPr>
          <w:p w14:paraId="61476605" w14:textId="77777777" w:rsidR="00FE01F8" w:rsidRPr="000E2305" w:rsidRDefault="00FE01F8" w:rsidP="00FE01F8">
            <w:pPr>
              <w:spacing w:before="0" w:after="0" w:line="240" w:lineRule="auto"/>
              <w:jc w:val="center"/>
              <w:rPr>
                <w:rFonts w:asciiTheme="minorHAnsi" w:hAnsiTheme="minorHAnsi" w:cstheme="minorHAnsi"/>
                <w:sz w:val="16"/>
                <w:szCs w:val="16"/>
              </w:rPr>
            </w:pPr>
            <w:r w:rsidRPr="000E2305">
              <w:rPr>
                <w:rFonts w:asciiTheme="minorHAnsi" w:hAnsiTheme="minorHAnsi" w:cstheme="minorHAnsi"/>
                <w:sz w:val="16"/>
                <w:szCs w:val="16"/>
              </w:rPr>
              <w:t>N</w:t>
            </w:r>
          </w:p>
        </w:tc>
        <w:tc>
          <w:tcPr>
            <w:tcW w:w="232" w:type="pct"/>
            <w:vAlign w:val="center"/>
          </w:tcPr>
          <w:p w14:paraId="0B21BF7C" w14:textId="77777777" w:rsidR="00FE01F8" w:rsidRPr="000E2305" w:rsidRDefault="00FE01F8" w:rsidP="00FE01F8">
            <w:pPr>
              <w:spacing w:before="0" w:after="0" w:line="240" w:lineRule="auto"/>
              <w:jc w:val="center"/>
              <w:rPr>
                <w:rFonts w:asciiTheme="minorHAnsi" w:hAnsiTheme="minorHAnsi" w:cstheme="minorHAnsi"/>
                <w:sz w:val="16"/>
                <w:szCs w:val="16"/>
              </w:rPr>
            </w:pPr>
            <w:r w:rsidRPr="000E2305">
              <w:rPr>
                <w:rFonts w:asciiTheme="minorHAnsi" w:hAnsiTheme="minorHAnsi" w:cstheme="minorHAnsi"/>
                <w:sz w:val="16"/>
                <w:szCs w:val="16"/>
              </w:rPr>
              <w:t>N</w:t>
            </w:r>
          </w:p>
        </w:tc>
        <w:tc>
          <w:tcPr>
            <w:tcW w:w="232" w:type="pct"/>
            <w:shd w:val="clear" w:color="auto" w:fill="FFFF00"/>
            <w:vAlign w:val="center"/>
          </w:tcPr>
          <w:p w14:paraId="28BBC094" w14:textId="45A447FD" w:rsidR="00FE01F8" w:rsidRPr="000E2305" w:rsidRDefault="00FE01F8" w:rsidP="00FE01F8">
            <w:pPr>
              <w:spacing w:before="0" w:after="0" w:line="240" w:lineRule="auto"/>
              <w:jc w:val="center"/>
              <w:rPr>
                <w:rFonts w:asciiTheme="minorHAnsi" w:hAnsiTheme="minorHAnsi" w:cstheme="minorHAnsi"/>
                <w:sz w:val="16"/>
                <w:szCs w:val="16"/>
              </w:rPr>
            </w:pPr>
            <w:r w:rsidRPr="000E2305">
              <w:rPr>
                <w:rFonts w:asciiTheme="minorHAnsi" w:hAnsiTheme="minorHAnsi" w:cstheme="minorHAnsi"/>
                <w:sz w:val="16"/>
                <w:szCs w:val="16"/>
              </w:rPr>
              <w:t>Y</w:t>
            </w:r>
          </w:p>
        </w:tc>
        <w:tc>
          <w:tcPr>
            <w:tcW w:w="232" w:type="pct"/>
            <w:vAlign w:val="center"/>
          </w:tcPr>
          <w:p w14:paraId="45D7C103" w14:textId="076B2AB7" w:rsidR="00FE01F8" w:rsidRPr="000E2305" w:rsidRDefault="006110F6" w:rsidP="00FE01F8">
            <w:pPr>
              <w:spacing w:before="0" w:after="0" w:line="240" w:lineRule="auto"/>
              <w:jc w:val="center"/>
              <w:rPr>
                <w:rFonts w:asciiTheme="minorHAnsi" w:hAnsiTheme="minorHAnsi" w:cstheme="minorHAnsi"/>
                <w:sz w:val="16"/>
                <w:szCs w:val="16"/>
              </w:rPr>
            </w:pPr>
            <w:r>
              <w:rPr>
                <w:rFonts w:asciiTheme="minorHAnsi" w:hAnsiTheme="minorHAnsi" w:cstheme="minorHAnsi"/>
                <w:sz w:val="16"/>
                <w:szCs w:val="16"/>
              </w:rPr>
              <w:t>n/a</w:t>
            </w:r>
          </w:p>
        </w:tc>
        <w:tc>
          <w:tcPr>
            <w:tcW w:w="232" w:type="pct"/>
            <w:vAlign w:val="center"/>
          </w:tcPr>
          <w:p w14:paraId="0114625E" w14:textId="77777777" w:rsidR="00FE01F8" w:rsidRPr="000E2305" w:rsidRDefault="00FE01F8" w:rsidP="00FE01F8">
            <w:pPr>
              <w:spacing w:before="0" w:after="0" w:line="240" w:lineRule="auto"/>
              <w:jc w:val="center"/>
              <w:rPr>
                <w:rFonts w:asciiTheme="minorHAnsi" w:hAnsiTheme="minorHAnsi" w:cstheme="minorHAnsi"/>
                <w:sz w:val="16"/>
                <w:szCs w:val="16"/>
              </w:rPr>
            </w:pPr>
            <w:r w:rsidRPr="000E2305">
              <w:rPr>
                <w:rFonts w:asciiTheme="minorHAnsi" w:hAnsiTheme="minorHAnsi" w:cstheme="minorHAnsi"/>
                <w:sz w:val="16"/>
                <w:szCs w:val="16"/>
              </w:rPr>
              <w:t>N</w:t>
            </w:r>
          </w:p>
        </w:tc>
        <w:tc>
          <w:tcPr>
            <w:tcW w:w="232" w:type="pct"/>
            <w:vAlign w:val="center"/>
          </w:tcPr>
          <w:p w14:paraId="060E4E33" w14:textId="4ED45D39" w:rsidR="00FE01F8" w:rsidRPr="000E2305" w:rsidRDefault="003C7709" w:rsidP="00FE01F8">
            <w:pPr>
              <w:spacing w:before="0" w:after="0" w:line="240" w:lineRule="auto"/>
              <w:jc w:val="center"/>
              <w:rPr>
                <w:rFonts w:asciiTheme="minorHAnsi" w:hAnsiTheme="minorHAnsi" w:cstheme="minorHAnsi"/>
                <w:sz w:val="16"/>
                <w:szCs w:val="16"/>
              </w:rPr>
            </w:pPr>
            <w:r>
              <w:rPr>
                <w:rFonts w:asciiTheme="minorHAnsi" w:hAnsiTheme="minorHAnsi" w:cstheme="minorHAnsi"/>
                <w:sz w:val="16"/>
                <w:szCs w:val="16"/>
              </w:rPr>
              <w:t>n/a</w:t>
            </w:r>
          </w:p>
        </w:tc>
        <w:tc>
          <w:tcPr>
            <w:tcW w:w="232" w:type="pct"/>
            <w:vAlign w:val="center"/>
          </w:tcPr>
          <w:p w14:paraId="6DDAA7C8" w14:textId="2B641B1B" w:rsidR="00FE01F8" w:rsidRPr="000E2305" w:rsidRDefault="003C7709" w:rsidP="00FE01F8">
            <w:pPr>
              <w:spacing w:before="0" w:after="0" w:line="240" w:lineRule="auto"/>
              <w:jc w:val="center"/>
              <w:rPr>
                <w:rFonts w:asciiTheme="minorHAnsi" w:hAnsiTheme="minorHAnsi" w:cstheme="minorHAnsi"/>
                <w:sz w:val="16"/>
                <w:szCs w:val="16"/>
              </w:rPr>
            </w:pPr>
            <w:r>
              <w:rPr>
                <w:rFonts w:asciiTheme="minorHAnsi" w:hAnsiTheme="minorHAnsi" w:cstheme="minorHAnsi"/>
                <w:sz w:val="16"/>
                <w:szCs w:val="16"/>
              </w:rPr>
              <w:t>n/a</w:t>
            </w:r>
          </w:p>
        </w:tc>
        <w:tc>
          <w:tcPr>
            <w:tcW w:w="220" w:type="pct"/>
            <w:vAlign w:val="center"/>
          </w:tcPr>
          <w:p w14:paraId="7863A443" w14:textId="77777777" w:rsidR="00FE01F8" w:rsidRPr="000E2305" w:rsidRDefault="00FE01F8" w:rsidP="00FE01F8">
            <w:pPr>
              <w:spacing w:before="0" w:after="0" w:line="240" w:lineRule="auto"/>
              <w:jc w:val="center"/>
              <w:rPr>
                <w:rFonts w:asciiTheme="minorHAnsi" w:hAnsiTheme="minorHAnsi" w:cstheme="minorHAnsi"/>
                <w:sz w:val="16"/>
                <w:szCs w:val="16"/>
              </w:rPr>
            </w:pPr>
            <w:r w:rsidRPr="000E2305">
              <w:rPr>
                <w:rFonts w:asciiTheme="minorHAnsi" w:hAnsiTheme="minorHAnsi" w:cstheme="minorHAnsi"/>
                <w:sz w:val="16"/>
                <w:szCs w:val="16"/>
              </w:rPr>
              <w:t>N</w:t>
            </w:r>
          </w:p>
        </w:tc>
      </w:tr>
      <w:tr w:rsidR="00FE01F8" w:rsidRPr="000E2305" w14:paraId="0C141E9F" w14:textId="77777777" w:rsidTr="000212D1">
        <w:trPr>
          <w:cantSplit/>
        </w:trPr>
        <w:tc>
          <w:tcPr>
            <w:tcW w:w="169" w:type="pct"/>
            <w:shd w:val="clear" w:color="auto" w:fill="D6EAEB"/>
            <w:vAlign w:val="center"/>
          </w:tcPr>
          <w:p w14:paraId="50D0464B" w14:textId="77777777" w:rsidR="00FE01F8" w:rsidRPr="000E2305" w:rsidRDefault="00FE01F8" w:rsidP="00FE01F8">
            <w:pPr>
              <w:keepNext/>
              <w:spacing w:before="0" w:after="0" w:line="240" w:lineRule="auto"/>
              <w:rPr>
                <w:rFonts w:asciiTheme="minorHAnsi" w:hAnsiTheme="minorHAnsi" w:cstheme="minorHAnsi"/>
                <w:b/>
                <w:sz w:val="16"/>
                <w:szCs w:val="16"/>
              </w:rPr>
            </w:pPr>
          </w:p>
        </w:tc>
        <w:tc>
          <w:tcPr>
            <w:tcW w:w="2291" w:type="pct"/>
            <w:shd w:val="clear" w:color="auto" w:fill="D6EAEB"/>
            <w:vAlign w:val="center"/>
          </w:tcPr>
          <w:p w14:paraId="61258DDA" w14:textId="77777777" w:rsidR="00FE01F8" w:rsidRPr="000E2305" w:rsidRDefault="00FE01F8" w:rsidP="00FE01F8">
            <w:pPr>
              <w:keepNext/>
              <w:spacing w:before="0" w:after="0" w:line="240" w:lineRule="auto"/>
              <w:rPr>
                <w:rFonts w:asciiTheme="minorHAnsi" w:hAnsiTheme="minorHAnsi" w:cstheme="minorHAnsi"/>
                <w:b/>
                <w:sz w:val="16"/>
                <w:szCs w:val="16"/>
              </w:rPr>
            </w:pPr>
            <w:r w:rsidRPr="000E2305">
              <w:rPr>
                <w:rFonts w:asciiTheme="minorHAnsi" w:hAnsiTheme="minorHAnsi" w:cstheme="minorHAnsi"/>
                <w:b/>
                <w:sz w:val="16"/>
                <w:szCs w:val="16"/>
              </w:rPr>
              <w:t xml:space="preserve">Evidence </w:t>
            </w:r>
            <w:proofErr w:type="gramStart"/>
            <w:r w:rsidRPr="000E2305">
              <w:rPr>
                <w:rFonts w:asciiTheme="minorHAnsi" w:hAnsiTheme="minorHAnsi" w:cstheme="minorHAnsi"/>
                <w:b/>
                <w:sz w:val="16"/>
                <w:szCs w:val="16"/>
              </w:rPr>
              <w:t>search</w:t>
            </w:r>
            <w:proofErr w:type="gramEnd"/>
          </w:p>
        </w:tc>
        <w:tc>
          <w:tcPr>
            <w:tcW w:w="232" w:type="pct"/>
            <w:shd w:val="clear" w:color="auto" w:fill="D6EAEB"/>
            <w:vAlign w:val="center"/>
          </w:tcPr>
          <w:p w14:paraId="78BFBF88" w14:textId="77777777" w:rsidR="00FE01F8" w:rsidRPr="000E2305" w:rsidRDefault="00FE01F8" w:rsidP="00FE01F8">
            <w:pPr>
              <w:keepNext/>
              <w:spacing w:before="0" w:after="0" w:line="240" w:lineRule="auto"/>
              <w:jc w:val="center"/>
              <w:rPr>
                <w:rFonts w:asciiTheme="minorHAnsi" w:hAnsiTheme="minorHAnsi" w:cstheme="minorHAnsi"/>
                <w:b/>
                <w:sz w:val="16"/>
                <w:szCs w:val="16"/>
              </w:rPr>
            </w:pPr>
          </w:p>
        </w:tc>
        <w:tc>
          <w:tcPr>
            <w:tcW w:w="232" w:type="pct"/>
            <w:shd w:val="clear" w:color="auto" w:fill="D6EAEB"/>
            <w:vAlign w:val="center"/>
          </w:tcPr>
          <w:p w14:paraId="6F23AE5A" w14:textId="77777777" w:rsidR="00FE01F8" w:rsidRPr="000E2305" w:rsidRDefault="00FE01F8" w:rsidP="00FE01F8">
            <w:pPr>
              <w:keepNext/>
              <w:spacing w:before="0" w:after="0" w:line="240" w:lineRule="auto"/>
              <w:jc w:val="center"/>
              <w:rPr>
                <w:rFonts w:asciiTheme="minorHAnsi" w:hAnsiTheme="minorHAnsi" w:cstheme="minorHAnsi"/>
                <w:b/>
                <w:sz w:val="16"/>
                <w:szCs w:val="16"/>
              </w:rPr>
            </w:pPr>
          </w:p>
        </w:tc>
        <w:tc>
          <w:tcPr>
            <w:tcW w:w="232" w:type="pct"/>
            <w:shd w:val="clear" w:color="auto" w:fill="D6EAEB"/>
            <w:vAlign w:val="center"/>
          </w:tcPr>
          <w:p w14:paraId="46E4ACE7" w14:textId="77777777" w:rsidR="00FE01F8" w:rsidRPr="000E2305" w:rsidRDefault="00FE01F8" w:rsidP="00FE01F8">
            <w:pPr>
              <w:keepNext/>
              <w:spacing w:before="0" w:after="0" w:line="240" w:lineRule="auto"/>
              <w:jc w:val="center"/>
              <w:rPr>
                <w:rFonts w:asciiTheme="minorHAnsi" w:hAnsiTheme="minorHAnsi" w:cstheme="minorHAnsi"/>
                <w:b/>
                <w:sz w:val="16"/>
                <w:szCs w:val="16"/>
              </w:rPr>
            </w:pPr>
          </w:p>
        </w:tc>
        <w:tc>
          <w:tcPr>
            <w:tcW w:w="232" w:type="pct"/>
            <w:shd w:val="clear" w:color="auto" w:fill="D6EAEB"/>
            <w:vAlign w:val="center"/>
          </w:tcPr>
          <w:p w14:paraId="4DC9FDA6" w14:textId="77777777" w:rsidR="00FE01F8" w:rsidRPr="000E2305" w:rsidRDefault="00FE01F8" w:rsidP="00FE01F8">
            <w:pPr>
              <w:keepNext/>
              <w:spacing w:before="0" w:after="0" w:line="240" w:lineRule="auto"/>
              <w:jc w:val="center"/>
              <w:rPr>
                <w:rFonts w:asciiTheme="minorHAnsi" w:hAnsiTheme="minorHAnsi" w:cstheme="minorHAnsi"/>
                <w:b/>
                <w:sz w:val="16"/>
                <w:szCs w:val="16"/>
              </w:rPr>
            </w:pPr>
          </w:p>
        </w:tc>
        <w:tc>
          <w:tcPr>
            <w:tcW w:w="232" w:type="pct"/>
            <w:shd w:val="clear" w:color="auto" w:fill="D6EAEB"/>
            <w:vAlign w:val="center"/>
          </w:tcPr>
          <w:p w14:paraId="59149A14" w14:textId="77777777" w:rsidR="00FE01F8" w:rsidRPr="000E2305" w:rsidRDefault="00FE01F8" w:rsidP="00FE01F8">
            <w:pPr>
              <w:keepNext/>
              <w:spacing w:before="0" w:after="0" w:line="240" w:lineRule="auto"/>
              <w:jc w:val="center"/>
              <w:rPr>
                <w:rFonts w:asciiTheme="minorHAnsi" w:hAnsiTheme="minorHAnsi" w:cstheme="minorHAnsi"/>
                <w:b/>
                <w:sz w:val="16"/>
                <w:szCs w:val="16"/>
              </w:rPr>
            </w:pPr>
          </w:p>
        </w:tc>
        <w:tc>
          <w:tcPr>
            <w:tcW w:w="232" w:type="pct"/>
            <w:shd w:val="clear" w:color="auto" w:fill="D6EAEB"/>
            <w:vAlign w:val="center"/>
          </w:tcPr>
          <w:p w14:paraId="0667C3C4" w14:textId="77777777" w:rsidR="00FE01F8" w:rsidRPr="000E2305" w:rsidRDefault="00FE01F8" w:rsidP="00FE01F8">
            <w:pPr>
              <w:keepNext/>
              <w:spacing w:before="0" w:after="0" w:line="240" w:lineRule="auto"/>
              <w:jc w:val="center"/>
              <w:rPr>
                <w:rFonts w:asciiTheme="minorHAnsi" w:hAnsiTheme="minorHAnsi" w:cstheme="minorHAnsi"/>
                <w:b/>
                <w:sz w:val="16"/>
                <w:szCs w:val="16"/>
              </w:rPr>
            </w:pPr>
          </w:p>
        </w:tc>
        <w:tc>
          <w:tcPr>
            <w:tcW w:w="232" w:type="pct"/>
            <w:shd w:val="clear" w:color="auto" w:fill="D6EAEB"/>
            <w:vAlign w:val="center"/>
          </w:tcPr>
          <w:p w14:paraId="55CDE927" w14:textId="77777777" w:rsidR="00FE01F8" w:rsidRPr="000E2305" w:rsidRDefault="00FE01F8" w:rsidP="00FE01F8">
            <w:pPr>
              <w:keepNext/>
              <w:spacing w:before="0" w:after="0" w:line="240" w:lineRule="auto"/>
              <w:jc w:val="center"/>
              <w:rPr>
                <w:rFonts w:asciiTheme="minorHAnsi" w:hAnsiTheme="minorHAnsi" w:cstheme="minorHAnsi"/>
                <w:b/>
                <w:sz w:val="16"/>
                <w:szCs w:val="16"/>
              </w:rPr>
            </w:pPr>
          </w:p>
        </w:tc>
        <w:tc>
          <w:tcPr>
            <w:tcW w:w="232" w:type="pct"/>
            <w:shd w:val="clear" w:color="auto" w:fill="D6EAEB"/>
            <w:vAlign w:val="center"/>
          </w:tcPr>
          <w:p w14:paraId="57766AC9" w14:textId="77777777" w:rsidR="00FE01F8" w:rsidRPr="000E2305" w:rsidRDefault="00FE01F8" w:rsidP="00FE01F8">
            <w:pPr>
              <w:keepNext/>
              <w:spacing w:before="0" w:after="0" w:line="240" w:lineRule="auto"/>
              <w:jc w:val="center"/>
              <w:rPr>
                <w:rFonts w:asciiTheme="minorHAnsi" w:hAnsiTheme="minorHAnsi" w:cstheme="minorHAnsi"/>
                <w:b/>
                <w:sz w:val="16"/>
                <w:szCs w:val="16"/>
              </w:rPr>
            </w:pPr>
          </w:p>
        </w:tc>
        <w:tc>
          <w:tcPr>
            <w:tcW w:w="232" w:type="pct"/>
            <w:shd w:val="clear" w:color="auto" w:fill="D6EAEB"/>
            <w:vAlign w:val="center"/>
          </w:tcPr>
          <w:p w14:paraId="74EB9741" w14:textId="77777777" w:rsidR="00FE01F8" w:rsidRPr="000E2305" w:rsidRDefault="00FE01F8" w:rsidP="00FE01F8">
            <w:pPr>
              <w:keepNext/>
              <w:spacing w:before="0" w:after="0" w:line="240" w:lineRule="auto"/>
              <w:jc w:val="center"/>
              <w:rPr>
                <w:rFonts w:asciiTheme="minorHAnsi" w:hAnsiTheme="minorHAnsi" w:cstheme="minorHAnsi"/>
                <w:b/>
                <w:sz w:val="16"/>
                <w:szCs w:val="16"/>
              </w:rPr>
            </w:pPr>
          </w:p>
        </w:tc>
        <w:tc>
          <w:tcPr>
            <w:tcW w:w="232" w:type="pct"/>
            <w:shd w:val="clear" w:color="auto" w:fill="D6EAEB"/>
            <w:vAlign w:val="center"/>
          </w:tcPr>
          <w:p w14:paraId="0D168A95" w14:textId="77777777" w:rsidR="00FE01F8" w:rsidRPr="000E2305" w:rsidRDefault="00FE01F8" w:rsidP="00FE01F8">
            <w:pPr>
              <w:keepNext/>
              <w:spacing w:before="0" w:after="0" w:line="240" w:lineRule="auto"/>
              <w:jc w:val="center"/>
              <w:rPr>
                <w:rFonts w:asciiTheme="minorHAnsi" w:hAnsiTheme="minorHAnsi" w:cstheme="minorHAnsi"/>
                <w:b/>
                <w:sz w:val="16"/>
                <w:szCs w:val="16"/>
              </w:rPr>
            </w:pPr>
          </w:p>
        </w:tc>
        <w:tc>
          <w:tcPr>
            <w:tcW w:w="220" w:type="pct"/>
            <w:shd w:val="clear" w:color="auto" w:fill="D6EAEB"/>
            <w:vAlign w:val="center"/>
          </w:tcPr>
          <w:p w14:paraId="34CF343F" w14:textId="77777777" w:rsidR="00FE01F8" w:rsidRPr="000E2305" w:rsidRDefault="00FE01F8" w:rsidP="00FE01F8">
            <w:pPr>
              <w:keepNext/>
              <w:spacing w:before="0" w:after="0" w:line="240" w:lineRule="auto"/>
              <w:jc w:val="center"/>
              <w:rPr>
                <w:rFonts w:asciiTheme="minorHAnsi" w:hAnsiTheme="minorHAnsi" w:cstheme="minorHAnsi"/>
                <w:b/>
                <w:sz w:val="16"/>
                <w:szCs w:val="16"/>
              </w:rPr>
            </w:pPr>
          </w:p>
        </w:tc>
      </w:tr>
      <w:tr w:rsidR="00A422BB" w:rsidRPr="000E2305" w14:paraId="30F506BF" w14:textId="77777777" w:rsidTr="000212D1">
        <w:trPr>
          <w:cantSplit/>
        </w:trPr>
        <w:tc>
          <w:tcPr>
            <w:tcW w:w="169" w:type="pct"/>
            <w:shd w:val="clear" w:color="auto" w:fill="92D050"/>
            <w:vAlign w:val="center"/>
          </w:tcPr>
          <w:p w14:paraId="7AE7630B" w14:textId="77777777" w:rsidR="00FE01F8" w:rsidRPr="000E2305" w:rsidRDefault="00FE01F8" w:rsidP="00FE01F8">
            <w:pPr>
              <w:spacing w:before="0" w:after="0" w:line="240" w:lineRule="auto"/>
              <w:rPr>
                <w:rFonts w:asciiTheme="minorHAnsi" w:hAnsiTheme="minorHAnsi" w:cstheme="minorHAnsi"/>
                <w:b/>
                <w:noProof/>
                <w:sz w:val="16"/>
                <w:szCs w:val="16"/>
              </w:rPr>
            </w:pPr>
          </w:p>
        </w:tc>
        <w:tc>
          <w:tcPr>
            <w:tcW w:w="2291" w:type="pct"/>
          </w:tcPr>
          <w:p w14:paraId="19CFA06C" w14:textId="77777777" w:rsidR="00FE01F8" w:rsidRPr="000E2305" w:rsidRDefault="00FE01F8" w:rsidP="00FE01F8">
            <w:pPr>
              <w:spacing w:before="0" w:after="0" w:line="240" w:lineRule="auto"/>
              <w:rPr>
                <w:rFonts w:asciiTheme="minorHAnsi" w:hAnsiTheme="minorHAnsi" w:cstheme="minorHAnsi"/>
                <w:noProof/>
                <w:sz w:val="16"/>
                <w:szCs w:val="16"/>
              </w:rPr>
            </w:pPr>
            <w:r w:rsidRPr="000E2305">
              <w:rPr>
                <w:rFonts w:asciiTheme="minorHAnsi" w:hAnsiTheme="minorHAnsi" w:cstheme="minorHAnsi"/>
                <w:noProof/>
                <w:sz w:val="16"/>
                <w:szCs w:val="16"/>
              </w:rPr>
              <w:t>Are databases and other sources of evidence specified?</w:t>
            </w:r>
          </w:p>
        </w:tc>
        <w:tc>
          <w:tcPr>
            <w:tcW w:w="232" w:type="pct"/>
            <w:vAlign w:val="center"/>
          </w:tcPr>
          <w:p w14:paraId="4D4A19CA" w14:textId="77777777" w:rsidR="00FE01F8" w:rsidRPr="000E2305" w:rsidRDefault="00FE01F8" w:rsidP="00FE01F8">
            <w:pPr>
              <w:spacing w:before="0" w:after="0" w:line="240" w:lineRule="auto"/>
              <w:jc w:val="center"/>
              <w:rPr>
                <w:rFonts w:asciiTheme="minorHAnsi" w:hAnsiTheme="minorHAnsi" w:cstheme="minorHAnsi"/>
                <w:noProof/>
                <w:sz w:val="16"/>
                <w:szCs w:val="16"/>
              </w:rPr>
            </w:pPr>
            <w:r w:rsidRPr="000E2305">
              <w:rPr>
                <w:rFonts w:asciiTheme="minorHAnsi" w:hAnsiTheme="minorHAnsi" w:cstheme="minorHAnsi"/>
                <w:noProof/>
                <w:sz w:val="16"/>
                <w:szCs w:val="16"/>
              </w:rPr>
              <w:t>N</w:t>
            </w:r>
          </w:p>
        </w:tc>
        <w:tc>
          <w:tcPr>
            <w:tcW w:w="232" w:type="pct"/>
            <w:vAlign w:val="center"/>
          </w:tcPr>
          <w:p w14:paraId="2ECC29F5" w14:textId="77777777" w:rsidR="00FE01F8" w:rsidRPr="000E2305" w:rsidRDefault="00FE01F8" w:rsidP="00FE01F8">
            <w:pPr>
              <w:spacing w:before="0" w:after="0" w:line="240" w:lineRule="auto"/>
              <w:jc w:val="center"/>
              <w:rPr>
                <w:rFonts w:asciiTheme="minorHAnsi" w:hAnsiTheme="minorHAnsi" w:cstheme="minorHAnsi"/>
                <w:noProof/>
                <w:sz w:val="16"/>
                <w:szCs w:val="16"/>
              </w:rPr>
            </w:pPr>
            <w:r w:rsidRPr="000E2305">
              <w:rPr>
                <w:rFonts w:asciiTheme="minorHAnsi" w:hAnsiTheme="minorHAnsi" w:cstheme="minorHAnsi"/>
                <w:noProof/>
                <w:sz w:val="16"/>
                <w:szCs w:val="16"/>
              </w:rPr>
              <w:t>N</w:t>
            </w:r>
          </w:p>
        </w:tc>
        <w:tc>
          <w:tcPr>
            <w:tcW w:w="232" w:type="pct"/>
            <w:vAlign w:val="center"/>
          </w:tcPr>
          <w:p w14:paraId="69727218" w14:textId="77777777" w:rsidR="00FE01F8" w:rsidRPr="000E2305" w:rsidRDefault="00FE01F8" w:rsidP="00FE01F8">
            <w:pPr>
              <w:spacing w:before="0" w:after="0" w:line="240" w:lineRule="auto"/>
              <w:jc w:val="center"/>
              <w:rPr>
                <w:rFonts w:asciiTheme="minorHAnsi" w:hAnsiTheme="minorHAnsi" w:cstheme="minorHAnsi"/>
                <w:noProof/>
                <w:sz w:val="16"/>
                <w:szCs w:val="16"/>
              </w:rPr>
            </w:pPr>
            <w:r w:rsidRPr="000E2305">
              <w:rPr>
                <w:rFonts w:asciiTheme="minorHAnsi" w:hAnsiTheme="minorHAnsi" w:cstheme="minorHAnsi"/>
                <w:noProof/>
                <w:sz w:val="16"/>
                <w:szCs w:val="16"/>
              </w:rPr>
              <w:t>N</w:t>
            </w:r>
          </w:p>
        </w:tc>
        <w:tc>
          <w:tcPr>
            <w:tcW w:w="232" w:type="pct"/>
            <w:vAlign w:val="center"/>
          </w:tcPr>
          <w:p w14:paraId="668FF79B" w14:textId="56044AC6" w:rsidR="00FE01F8" w:rsidRPr="000E2305" w:rsidRDefault="006110F6" w:rsidP="00FE01F8">
            <w:pPr>
              <w:spacing w:before="0" w:after="0" w:line="240" w:lineRule="auto"/>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232" w:type="pct"/>
            <w:vAlign w:val="center"/>
          </w:tcPr>
          <w:p w14:paraId="3C1ADCEF" w14:textId="77777777" w:rsidR="00FE01F8" w:rsidRPr="000E2305" w:rsidRDefault="00FE01F8" w:rsidP="00FE01F8">
            <w:pPr>
              <w:spacing w:before="0" w:after="0" w:line="240" w:lineRule="auto"/>
              <w:jc w:val="center"/>
              <w:rPr>
                <w:rFonts w:asciiTheme="minorHAnsi" w:hAnsiTheme="minorHAnsi" w:cstheme="minorHAnsi"/>
                <w:noProof/>
                <w:sz w:val="16"/>
                <w:szCs w:val="16"/>
              </w:rPr>
            </w:pPr>
            <w:r w:rsidRPr="000E2305">
              <w:rPr>
                <w:rFonts w:asciiTheme="minorHAnsi" w:hAnsiTheme="minorHAnsi" w:cstheme="minorHAnsi"/>
                <w:noProof/>
                <w:sz w:val="16"/>
                <w:szCs w:val="16"/>
              </w:rPr>
              <w:t>N</w:t>
            </w:r>
          </w:p>
        </w:tc>
        <w:tc>
          <w:tcPr>
            <w:tcW w:w="232" w:type="pct"/>
            <w:vAlign w:val="center"/>
          </w:tcPr>
          <w:p w14:paraId="6D9A9EAE" w14:textId="4BCA4F37" w:rsidR="00FE01F8" w:rsidRPr="000E2305" w:rsidRDefault="00FE01F8" w:rsidP="00FE01F8">
            <w:pPr>
              <w:spacing w:before="0" w:after="0" w:line="240" w:lineRule="auto"/>
              <w:jc w:val="center"/>
              <w:rPr>
                <w:rFonts w:asciiTheme="minorHAnsi" w:hAnsiTheme="minorHAnsi" w:cstheme="minorHAnsi"/>
                <w:noProof/>
                <w:sz w:val="16"/>
                <w:szCs w:val="16"/>
              </w:rPr>
            </w:pPr>
            <w:r>
              <w:rPr>
                <w:rFonts w:asciiTheme="minorHAnsi" w:hAnsiTheme="minorHAnsi" w:cstheme="minorHAnsi"/>
                <w:noProof/>
                <w:sz w:val="16"/>
                <w:szCs w:val="16"/>
              </w:rPr>
              <w:t>n/a</w:t>
            </w:r>
          </w:p>
        </w:tc>
        <w:tc>
          <w:tcPr>
            <w:tcW w:w="232" w:type="pct"/>
            <w:shd w:val="clear" w:color="auto" w:fill="92D050"/>
            <w:vAlign w:val="center"/>
          </w:tcPr>
          <w:p w14:paraId="5FC65B97" w14:textId="72373BC5" w:rsidR="00FE01F8" w:rsidRPr="000E2305" w:rsidRDefault="006110F6" w:rsidP="00FE01F8">
            <w:pPr>
              <w:spacing w:before="0" w:after="0" w:line="240" w:lineRule="auto"/>
              <w:jc w:val="center"/>
              <w:rPr>
                <w:rFonts w:asciiTheme="minorHAnsi" w:hAnsiTheme="minorHAnsi" w:cstheme="minorHAnsi"/>
                <w:noProof/>
                <w:sz w:val="16"/>
                <w:szCs w:val="16"/>
              </w:rPr>
            </w:pPr>
            <w:r>
              <w:rPr>
                <w:rFonts w:asciiTheme="minorHAnsi" w:hAnsiTheme="minorHAnsi" w:cstheme="minorHAnsi"/>
                <w:noProof/>
                <w:sz w:val="16"/>
                <w:szCs w:val="16"/>
              </w:rPr>
              <w:t>Y</w:t>
            </w:r>
          </w:p>
        </w:tc>
        <w:tc>
          <w:tcPr>
            <w:tcW w:w="232" w:type="pct"/>
            <w:vAlign w:val="center"/>
          </w:tcPr>
          <w:p w14:paraId="57B49CBA" w14:textId="77777777" w:rsidR="00FE01F8" w:rsidRPr="000E2305" w:rsidRDefault="00FE01F8" w:rsidP="00FE01F8">
            <w:pPr>
              <w:spacing w:before="0" w:after="0" w:line="240" w:lineRule="auto"/>
              <w:jc w:val="center"/>
              <w:rPr>
                <w:rFonts w:asciiTheme="minorHAnsi" w:hAnsiTheme="minorHAnsi" w:cstheme="minorHAnsi"/>
                <w:noProof/>
                <w:sz w:val="16"/>
                <w:szCs w:val="16"/>
              </w:rPr>
            </w:pPr>
            <w:r w:rsidRPr="000E2305">
              <w:rPr>
                <w:rFonts w:asciiTheme="minorHAnsi" w:hAnsiTheme="minorHAnsi" w:cstheme="minorHAnsi"/>
                <w:noProof/>
                <w:sz w:val="16"/>
                <w:szCs w:val="16"/>
              </w:rPr>
              <w:t>N</w:t>
            </w:r>
          </w:p>
        </w:tc>
        <w:tc>
          <w:tcPr>
            <w:tcW w:w="232" w:type="pct"/>
            <w:vAlign w:val="center"/>
          </w:tcPr>
          <w:p w14:paraId="46ED627D" w14:textId="546236C6" w:rsidR="00FE01F8" w:rsidRPr="000E2305" w:rsidRDefault="003C7709" w:rsidP="00FE01F8">
            <w:pPr>
              <w:spacing w:before="0" w:after="0" w:line="240" w:lineRule="auto"/>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232" w:type="pct"/>
            <w:vAlign w:val="center"/>
          </w:tcPr>
          <w:p w14:paraId="1BE823DD" w14:textId="2A13B967" w:rsidR="00FE01F8" w:rsidRPr="000E2305" w:rsidRDefault="00A422BB" w:rsidP="00FE01F8">
            <w:pPr>
              <w:spacing w:before="0" w:after="0" w:line="240" w:lineRule="auto"/>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220" w:type="pct"/>
            <w:vAlign w:val="center"/>
          </w:tcPr>
          <w:p w14:paraId="33B48F95" w14:textId="5B7F0858" w:rsidR="00FE01F8" w:rsidRPr="000E2305" w:rsidRDefault="00A422BB" w:rsidP="00FE01F8">
            <w:pPr>
              <w:spacing w:before="0" w:after="0" w:line="240" w:lineRule="auto"/>
              <w:jc w:val="center"/>
              <w:rPr>
                <w:rFonts w:asciiTheme="minorHAnsi" w:hAnsiTheme="minorHAnsi" w:cstheme="minorHAnsi"/>
                <w:noProof/>
                <w:sz w:val="16"/>
                <w:szCs w:val="16"/>
              </w:rPr>
            </w:pPr>
            <w:r>
              <w:rPr>
                <w:rFonts w:asciiTheme="minorHAnsi" w:hAnsiTheme="minorHAnsi" w:cstheme="minorHAnsi"/>
                <w:noProof/>
                <w:sz w:val="16"/>
                <w:szCs w:val="16"/>
              </w:rPr>
              <w:t>n/a</w:t>
            </w:r>
          </w:p>
        </w:tc>
      </w:tr>
      <w:tr w:rsidR="006110F6" w:rsidRPr="000E2305" w14:paraId="0F5C7CEB" w14:textId="77777777" w:rsidTr="000212D1">
        <w:trPr>
          <w:cantSplit/>
        </w:trPr>
        <w:tc>
          <w:tcPr>
            <w:tcW w:w="169" w:type="pct"/>
            <w:shd w:val="clear" w:color="auto" w:fill="92D050"/>
            <w:vAlign w:val="center"/>
          </w:tcPr>
          <w:p w14:paraId="43108908" w14:textId="77777777" w:rsidR="00FE01F8" w:rsidRPr="000E2305" w:rsidRDefault="00FE01F8" w:rsidP="00FE01F8">
            <w:pPr>
              <w:spacing w:before="0" w:after="0" w:line="240" w:lineRule="auto"/>
              <w:rPr>
                <w:rFonts w:asciiTheme="minorHAnsi" w:hAnsiTheme="minorHAnsi" w:cstheme="minorHAnsi"/>
                <w:b/>
                <w:noProof/>
                <w:sz w:val="16"/>
                <w:szCs w:val="16"/>
              </w:rPr>
            </w:pPr>
          </w:p>
        </w:tc>
        <w:tc>
          <w:tcPr>
            <w:tcW w:w="2291" w:type="pct"/>
          </w:tcPr>
          <w:p w14:paraId="6C65C1DC" w14:textId="77777777" w:rsidR="00FE01F8" w:rsidRPr="000E2305" w:rsidRDefault="00FE01F8" w:rsidP="00FE01F8">
            <w:pPr>
              <w:spacing w:before="0" w:after="0" w:line="240" w:lineRule="auto"/>
              <w:rPr>
                <w:rFonts w:asciiTheme="minorHAnsi" w:hAnsiTheme="minorHAnsi" w:cstheme="minorHAnsi"/>
                <w:noProof/>
                <w:sz w:val="16"/>
                <w:szCs w:val="16"/>
              </w:rPr>
            </w:pPr>
            <w:r w:rsidRPr="000E2305">
              <w:rPr>
                <w:rFonts w:asciiTheme="minorHAnsi" w:hAnsiTheme="minorHAnsi" w:cstheme="minorHAnsi"/>
                <w:noProof/>
                <w:sz w:val="16"/>
                <w:szCs w:val="16"/>
              </w:rPr>
              <w:t xml:space="preserve">Does the literature search cover at least more than one scientific database as well as additional sources (which may include government reports and grey literature)? </w:t>
            </w:r>
          </w:p>
        </w:tc>
        <w:tc>
          <w:tcPr>
            <w:tcW w:w="232" w:type="pct"/>
            <w:vAlign w:val="center"/>
          </w:tcPr>
          <w:p w14:paraId="16CAF97A" w14:textId="77777777" w:rsidR="00FE01F8" w:rsidRPr="000E2305" w:rsidRDefault="00FE01F8" w:rsidP="00FE01F8">
            <w:pPr>
              <w:spacing w:before="0" w:after="0" w:line="240" w:lineRule="auto"/>
              <w:jc w:val="center"/>
              <w:rPr>
                <w:rFonts w:asciiTheme="minorHAnsi" w:hAnsiTheme="minorHAnsi" w:cstheme="minorHAnsi"/>
                <w:noProof/>
                <w:sz w:val="16"/>
                <w:szCs w:val="16"/>
              </w:rPr>
            </w:pPr>
            <w:r w:rsidRPr="000E2305">
              <w:rPr>
                <w:rFonts w:asciiTheme="minorHAnsi" w:hAnsiTheme="minorHAnsi" w:cstheme="minorHAnsi"/>
                <w:noProof/>
                <w:sz w:val="16"/>
                <w:szCs w:val="16"/>
              </w:rPr>
              <w:t>N</w:t>
            </w:r>
          </w:p>
        </w:tc>
        <w:tc>
          <w:tcPr>
            <w:tcW w:w="232" w:type="pct"/>
            <w:vAlign w:val="center"/>
          </w:tcPr>
          <w:p w14:paraId="03D18E2C" w14:textId="77777777" w:rsidR="00FE01F8" w:rsidRPr="000E2305" w:rsidRDefault="00FE01F8" w:rsidP="00FE01F8">
            <w:pPr>
              <w:spacing w:before="0" w:after="0" w:line="240" w:lineRule="auto"/>
              <w:jc w:val="center"/>
              <w:rPr>
                <w:rFonts w:asciiTheme="minorHAnsi" w:hAnsiTheme="minorHAnsi" w:cstheme="minorHAnsi"/>
                <w:noProof/>
                <w:sz w:val="16"/>
                <w:szCs w:val="16"/>
              </w:rPr>
            </w:pPr>
            <w:r w:rsidRPr="000E2305">
              <w:rPr>
                <w:rFonts w:asciiTheme="minorHAnsi" w:hAnsiTheme="minorHAnsi" w:cstheme="minorHAnsi"/>
                <w:noProof/>
                <w:sz w:val="16"/>
                <w:szCs w:val="16"/>
              </w:rPr>
              <w:t>N</w:t>
            </w:r>
          </w:p>
        </w:tc>
        <w:tc>
          <w:tcPr>
            <w:tcW w:w="232" w:type="pct"/>
            <w:vAlign w:val="center"/>
          </w:tcPr>
          <w:p w14:paraId="1947E117" w14:textId="77777777" w:rsidR="00FE01F8" w:rsidRPr="000E2305" w:rsidRDefault="00FE01F8" w:rsidP="00FE01F8">
            <w:pPr>
              <w:spacing w:before="0" w:after="0" w:line="240" w:lineRule="auto"/>
              <w:jc w:val="center"/>
              <w:rPr>
                <w:rFonts w:asciiTheme="minorHAnsi" w:hAnsiTheme="minorHAnsi" w:cstheme="minorHAnsi"/>
                <w:noProof/>
                <w:sz w:val="16"/>
                <w:szCs w:val="16"/>
              </w:rPr>
            </w:pPr>
            <w:r w:rsidRPr="000E2305">
              <w:rPr>
                <w:rFonts w:asciiTheme="minorHAnsi" w:hAnsiTheme="minorHAnsi" w:cstheme="minorHAnsi"/>
                <w:noProof/>
                <w:sz w:val="16"/>
                <w:szCs w:val="16"/>
              </w:rPr>
              <w:t>N</w:t>
            </w:r>
          </w:p>
        </w:tc>
        <w:tc>
          <w:tcPr>
            <w:tcW w:w="232" w:type="pct"/>
            <w:vAlign w:val="center"/>
          </w:tcPr>
          <w:p w14:paraId="7592DE2F" w14:textId="4AE17D82" w:rsidR="00FE01F8" w:rsidRPr="000E2305" w:rsidRDefault="006110F6" w:rsidP="00FE01F8">
            <w:pPr>
              <w:spacing w:before="0" w:after="0" w:line="240" w:lineRule="auto"/>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232" w:type="pct"/>
            <w:vAlign w:val="center"/>
          </w:tcPr>
          <w:p w14:paraId="1E629F12" w14:textId="77777777" w:rsidR="00FE01F8" w:rsidRPr="000E2305" w:rsidRDefault="00FE01F8" w:rsidP="00FE01F8">
            <w:pPr>
              <w:spacing w:before="0" w:after="0" w:line="240" w:lineRule="auto"/>
              <w:jc w:val="center"/>
              <w:rPr>
                <w:rFonts w:asciiTheme="minorHAnsi" w:hAnsiTheme="minorHAnsi" w:cstheme="minorHAnsi"/>
                <w:noProof/>
                <w:sz w:val="16"/>
                <w:szCs w:val="16"/>
              </w:rPr>
            </w:pPr>
            <w:r w:rsidRPr="000E2305">
              <w:rPr>
                <w:rFonts w:asciiTheme="minorHAnsi" w:hAnsiTheme="minorHAnsi" w:cstheme="minorHAnsi"/>
                <w:noProof/>
                <w:sz w:val="16"/>
                <w:szCs w:val="16"/>
              </w:rPr>
              <w:t>N</w:t>
            </w:r>
          </w:p>
        </w:tc>
        <w:tc>
          <w:tcPr>
            <w:tcW w:w="232" w:type="pct"/>
            <w:vAlign w:val="center"/>
          </w:tcPr>
          <w:p w14:paraId="487D41E4" w14:textId="57649E7F" w:rsidR="00FE01F8" w:rsidRPr="000E2305" w:rsidRDefault="00FE01F8" w:rsidP="00FE01F8">
            <w:pPr>
              <w:spacing w:before="0" w:after="0" w:line="240" w:lineRule="auto"/>
              <w:jc w:val="center"/>
              <w:rPr>
                <w:rFonts w:asciiTheme="minorHAnsi" w:hAnsiTheme="minorHAnsi" w:cstheme="minorHAnsi"/>
                <w:noProof/>
                <w:sz w:val="16"/>
                <w:szCs w:val="16"/>
              </w:rPr>
            </w:pPr>
            <w:r>
              <w:rPr>
                <w:rFonts w:asciiTheme="minorHAnsi" w:hAnsiTheme="minorHAnsi" w:cstheme="minorHAnsi"/>
                <w:noProof/>
                <w:sz w:val="16"/>
                <w:szCs w:val="16"/>
              </w:rPr>
              <w:t>n/a</w:t>
            </w:r>
          </w:p>
        </w:tc>
        <w:tc>
          <w:tcPr>
            <w:tcW w:w="232" w:type="pct"/>
            <w:shd w:val="clear" w:color="auto" w:fill="92D050"/>
            <w:vAlign w:val="center"/>
          </w:tcPr>
          <w:p w14:paraId="0855A531" w14:textId="430D5251" w:rsidR="00FE01F8" w:rsidRPr="000E2305" w:rsidRDefault="006110F6" w:rsidP="00FE01F8">
            <w:pPr>
              <w:spacing w:before="0" w:after="0" w:line="240" w:lineRule="auto"/>
              <w:jc w:val="center"/>
              <w:rPr>
                <w:rFonts w:asciiTheme="minorHAnsi" w:hAnsiTheme="minorHAnsi" w:cstheme="minorHAnsi"/>
                <w:noProof/>
                <w:sz w:val="16"/>
                <w:szCs w:val="16"/>
              </w:rPr>
            </w:pPr>
            <w:r>
              <w:rPr>
                <w:rFonts w:asciiTheme="minorHAnsi" w:hAnsiTheme="minorHAnsi" w:cstheme="minorHAnsi"/>
                <w:noProof/>
                <w:sz w:val="16"/>
                <w:szCs w:val="16"/>
              </w:rPr>
              <w:t>Y</w:t>
            </w:r>
          </w:p>
        </w:tc>
        <w:tc>
          <w:tcPr>
            <w:tcW w:w="232" w:type="pct"/>
            <w:vAlign w:val="center"/>
          </w:tcPr>
          <w:p w14:paraId="58AF08B7" w14:textId="7EF24BCA" w:rsidR="00FE01F8" w:rsidRPr="000E2305" w:rsidRDefault="000120E1" w:rsidP="00FE01F8">
            <w:pPr>
              <w:spacing w:before="0" w:after="0" w:line="240" w:lineRule="auto"/>
              <w:jc w:val="center"/>
              <w:rPr>
                <w:rFonts w:asciiTheme="minorHAnsi" w:hAnsiTheme="minorHAnsi" w:cstheme="minorHAnsi"/>
                <w:noProof/>
                <w:sz w:val="16"/>
                <w:szCs w:val="16"/>
              </w:rPr>
            </w:pPr>
            <w:r>
              <w:rPr>
                <w:rFonts w:asciiTheme="minorHAnsi" w:hAnsiTheme="minorHAnsi" w:cstheme="minorHAnsi"/>
                <w:noProof/>
                <w:sz w:val="16"/>
                <w:szCs w:val="16"/>
              </w:rPr>
              <w:t>n/a</w:t>
            </w:r>
          </w:p>
        </w:tc>
        <w:tc>
          <w:tcPr>
            <w:tcW w:w="232" w:type="pct"/>
            <w:vAlign w:val="center"/>
          </w:tcPr>
          <w:p w14:paraId="4DEE2BFF" w14:textId="2556D2D6" w:rsidR="003C7709" w:rsidRPr="000E2305" w:rsidRDefault="003C7709" w:rsidP="00CD2A88">
            <w:pPr>
              <w:spacing w:before="0" w:after="0" w:line="240" w:lineRule="auto"/>
              <w:jc w:val="center"/>
              <w:rPr>
                <w:rFonts w:asciiTheme="minorHAnsi" w:hAnsiTheme="minorHAnsi" w:cstheme="minorHAnsi"/>
                <w:noProof/>
                <w:sz w:val="16"/>
                <w:szCs w:val="16"/>
              </w:rPr>
            </w:pPr>
            <w:r>
              <w:rPr>
                <w:rFonts w:asciiTheme="minorHAnsi" w:hAnsiTheme="minorHAnsi" w:cstheme="minorHAnsi"/>
                <w:noProof/>
                <w:sz w:val="16"/>
                <w:szCs w:val="16"/>
              </w:rPr>
              <w:t>Can/t tell</w:t>
            </w:r>
          </w:p>
        </w:tc>
        <w:tc>
          <w:tcPr>
            <w:tcW w:w="232" w:type="pct"/>
            <w:vAlign w:val="center"/>
          </w:tcPr>
          <w:p w14:paraId="451AB578" w14:textId="08AA6813" w:rsidR="00FE01F8" w:rsidRPr="000E2305" w:rsidRDefault="00A422BB" w:rsidP="00FE01F8">
            <w:pPr>
              <w:spacing w:before="0" w:after="0" w:line="240" w:lineRule="auto"/>
              <w:jc w:val="center"/>
              <w:rPr>
                <w:rFonts w:asciiTheme="minorHAnsi" w:hAnsiTheme="minorHAnsi" w:cstheme="minorHAnsi"/>
                <w:noProof/>
                <w:sz w:val="16"/>
                <w:szCs w:val="16"/>
              </w:rPr>
            </w:pPr>
            <w:r>
              <w:rPr>
                <w:rFonts w:asciiTheme="minorHAnsi" w:hAnsiTheme="minorHAnsi" w:cstheme="minorHAnsi"/>
                <w:noProof/>
                <w:sz w:val="16"/>
                <w:szCs w:val="16"/>
              </w:rPr>
              <w:t>Can’t tell</w:t>
            </w:r>
          </w:p>
        </w:tc>
        <w:tc>
          <w:tcPr>
            <w:tcW w:w="220" w:type="pct"/>
            <w:vAlign w:val="center"/>
          </w:tcPr>
          <w:p w14:paraId="2CB0A2A6" w14:textId="2C4852B6" w:rsidR="00FE01F8" w:rsidRPr="000E2305" w:rsidRDefault="00A422BB" w:rsidP="00FE01F8">
            <w:pPr>
              <w:spacing w:before="0" w:after="0" w:line="240" w:lineRule="auto"/>
              <w:jc w:val="center"/>
              <w:rPr>
                <w:rFonts w:asciiTheme="minorHAnsi" w:hAnsiTheme="minorHAnsi" w:cstheme="minorHAnsi"/>
                <w:noProof/>
                <w:sz w:val="16"/>
                <w:szCs w:val="16"/>
              </w:rPr>
            </w:pPr>
            <w:r>
              <w:rPr>
                <w:rFonts w:asciiTheme="minorHAnsi" w:hAnsiTheme="minorHAnsi" w:cstheme="minorHAnsi"/>
                <w:noProof/>
                <w:sz w:val="16"/>
                <w:szCs w:val="16"/>
              </w:rPr>
              <w:t>n/a</w:t>
            </w:r>
          </w:p>
        </w:tc>
      </w:tr>
      <w:tr w:rsidR="006110F6" w:rsidRPr="000E2305" w14:paraId="18967D55" w14:textId="77777777" w:rsidTr="000212D1">
        <w:trPr>
          <w:cantSplit/>
        </w:trPr>
        <w:tc>
          <w:tcPr>
            <w:tcW w:w="169" w:type="pct"/>
            <w:shd w:val="clear" w:color="auto" w:fill="92D050"/>
            <w:vAlign w:val="center"/>
          </w:tcPr>
          <w:p w14:paraId="6A310934" w14:textId="77777777" w:rsidR="00FE01F8" w:rsidRPr="000E2305" w:rsidRDefault="00FE01F8" w:rsidP="00FE01F8">
            <w:pPr>
              <w:spacing w:before="0" w:after="0" w:line="240" w:lineRule="auto"/>
              <w:rPr>
                <w:rFonts w:asciiTheme="minorHAnsi" w:hAnsiTheme="minorHAnsi" w:cstheme="minorHAnsi"/>
                <w:b/>
                <w:noProof/>
                <w:sz w:val="16"/>
                <w:szCs w:val="16"/>
              </w:rPr>
            </w:pPr>
          </w:p>
        </w:tc>
        <w:tc>
          <w:tcPr>
            <w:tcW w:w="2291" w:type="pct"/>
          </w:tcPr>
          <w:p w14:paraId="763AF4D1" w14:textId="77777777" w:rsidR="00FE01F8" w:rsidRPr="000E2305" w:rsidRDefault="00FE01F8" w:rsidP="00FE01F8">
            <w:pPr>
              <w:spacing w:before="0" w:after="0" w:line="240" w:lineRule="auto"/>
              <w:rPr>
                <w:rFonts w:asciiTheme="minorHAnsi" w:hAnsiTheme="minorHAnsi" w:cstheme="minorHAnsi"/>
                <w:noProof/>
                <w:sz w:val="16"/>
                <w:szCs w:val="16"/>
              </w:rPr>
            </w:pPr>
            <w:r w:rsidRPr="000E2305">
              <w:rPr>
                <w:rFonts w:asciiTheme="minorHAnsi" w:hAnsiTheme="minorHAnsi" w:cstheme="minorHAnsi"/>
                <w:noProof/>
                <w:sz w:val="16"/>
                <w:szCs w:val="16"/>
              </w:rPr>
              <w:t>Is it specified what date range the literature search covers? Is there a justification?</w:t>
            </w:r>
          </w:p>
        </w:tc>
        <w:tc>
          <w:tcPr>
            <w:tcW w:w="232" w:type="pct"/>
            <w:vAlign w:val="center"/>
          </w:tcPr>
          <w:p w14:paraId="4ECEE977" w14:textId="77777777" w:rsidR="00FE01F8" w:rsidRPr="000E2305" w:rsidRDefault="00FE01F8" w:rsidP="00FE01F8">
            <w:pPr>
              <w:spacing w:before="0" w:after="0" w:line="240" w:lineRule="auto"/>
              <w:jc w:val="center"/>
              <w:rPr>
                <w:rFonts w:asciiTheme="minorHAnsi" w:hAnsiTheme="minorHAnsi" w:cstheme="minorHAnsi"/>
                <w:noProof/>
                <w:sz w:val="16"/>
                <w:szCs w:val="16"/>
              </w:rPr>
            </w:pPr>
            <w:r w:rsidRPr="000E2305">
              <w:rPr>
                <w:rFonts w:asciiTheme="minorHAnsi" w:hAnsiTheme="minorHAnsi" w:cstheme="minorHAnsi"/>
                <w:noProof/>
                <w:sz w:val="16"/>
                <w:szCs w:val="16"/>
              </w:rPr>
              <w:t>N</w:t>
            </w:r>
          </w:p>
        </w:tc>
        <w:tc>
          <w:tcPr>
            <w:tcW w:w="232" w:type="pct"/>
            <w:vAlign w:val="center"/>
          </w:tcPr>
          <w:p w14:paraId="72DF57AA" w14:textId="77777777" w:rsidR="00FE01F8" w:rsidRPr="000E2305" w:rsidRDefault="00FE01F8" w:rsidP="00FE01F8">
            <w:pPr>
              <w:spacing w:before="0" w:after="0" w:line="240" w:lineRule="auto"/>
              <w:jc w:val="center"/>
              <w:rPr>
                <w:rFonts w:asciiTheme="minorHAnsi" w:hAnsiTheme="minorHAnsi" w:cstheme="minorHAnsi"/>
                <w:noProof/>
                <w:sz w:val="16"/>
                <w:szCs w:val="16"/>
              </w:rPr>
            </w:pPr>
            <w:r w:rsidRPr="000E2305">
              <w:rPr>
                <w:rFonts w:asciiTheme="minorHAnsi" w:hAnsiTheme="minorHAnsi" w:cstheme="minorHAnsi"/>
                <w:noProof/>
                <w:sz w:val="16"/>
                <w:szCs w:val="16"/>
              </w:rPr>
              <w:t>N</w:t>
            </w:r>
          </w:p>
        </w:tc>
        <w:tc>
          <w:tcPr>
            <w:tcW w:w="232" w:type="pct"/>
            <w:vAlign w:val="center"/>
          </w:tcPr>
          <w:p w14:paraId="7D330200" w14:textId="77777777" w:rsidR="00FE01F8" w:rsidRPr="000E2305" w:rsidRDefault="00FE01F8" w:rsidP="00FE01F8">
            <w:pPr>
              <w:spacing w:before="0" w:after="0" w:line="240" w:lineRule="auto"/>
              <w:jc w:val="center"/>
              <w:rPr>
                <w:rFonts w:asciiTheme="minorHAnsi" w:hAnsiTheme="minorHAnsi" w:cstheme="minorHAnsi"/>
                <w:noProof/>
                <w:sz w:val="16"/>
                <w:szCs w:val="16"/>
              </w:rPr>
            </w:pPr>
            <w:r w:rsidRPr="000E2305">
              <w:rPr>
                <w:rFonts w:asciiTheme="minorHAnsi" w:hAnsiTheme="minorHAnsi" w:cstheme="minorHAnsi"/>
                <w:noProof/>
                <w:sz w:val="16"/>
                <w:szCs w:val="16"/>
              </w:rPr>
              <w:t>N</w:t>
            </w:r>
          </w:p>
        </w:tc>
        <w:tc>
          <w:tcPr>
            <w:tcW w:w="232" w:type="pct"/>
            <w:vAlign w:val="center"/>
          </w:tcPr>
          <w:p w14:paraId="28E0B3E9" w14:textId="4A363E8C" w:rsidR="00FE01F8" w:rsidRPr="000E2305" w:rsidRDefault="006110F6" w:rsidP="00FE01F8">
            <w:pPr>
              <w:spacing w:before="0" w:after="0" w:line="240" w:lineRule="auto"/>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232" w:type="pct"/>
            <w:vAlign w:val="center"/>
          </w:tcPr>
          <w:p w14:paraId="4F62B980" w14:textId="77777777" w:rsidR="00FE01F8" w:rsidRPr="000E2305" w:rsidRDefault="00FE01F8" w:rsidP="00FE01F8">
            <w:pPr>
              <w:spacing w:before="0" w:after="0" w:line="240" w:lineRule="auto"/>
              <w:jc w:val="center"/>
              <w:rPr>
                <w:rFonts w:asciiTheme="minorHAnsi" w:hAnsiTheme="minorHAnsi" w:cstheme="minorHAnsi"/>
                <w:noProof/>
                <w:sz w:val="16"/>
                <w:szCs w:val="16"/>
              </w:rPr>
            </w:pPr>
            <w:r w:rsidRPr="000E2305">
              <w:rPr>
                <w:rFonts w:asciiTheme="minorHAnsi" w:hAnsiTheme="minorHAnsi" w:cstheme="minorHAnsi"/>
                <w:noProof/>
                <w:sz w:val="16"/>
                <w:szCs w:val="16"/>
              </w:rPr>
              <w:t>N</w:t>
            </w:r>
          </w:p>
        </w:tc>
        <w:tc>
          <w:tcPr>
            <w:tcW w:w="232" w:type="pct"/>
            <w:vAlign w:val="center"/>
          </w:tcPr>
          <w:p w14:paraId="197344C2" w14:textId="77777777" w:rsidR="00FE01F8" w:rsidRPr="000E2305" w:rsidRDefault="00FE01F8" w:rsidP="00FE01F8">
            <w:pPr>
              <w:spacing w:before="0" w:after="0" w:line="240" w:lineRule="auto"/>
              <w:jc w:val="center"/>
              <w:rPr>
                <w:rFonts w:asciiTheme="minorHAnsi" w:hAnsiTheme="minorHAnsi" w:cstheme="minorHAnsi"/>
                <w:noProof/>
                <w:sz w:val="16"/>
                <w:szCs w:val="16"/>
              </w:rPr>
            </w:pPr>
            <w:r w:rsidRPr="000E2305">
              <w:rPr>
                <w:rFonts w:asciiTheme="minorHAnsi" w:hAnsiTheme="minorHAnsi" w:cstheme="minorHAnsi"/>
                <w:noProof/>
                <w:sz w:val="16"/>
                <w:szCs w:val="16"/>
              </w:rPr>
              <w:t>N</w:t>
            </w:r>
          </w:p>
        </w:tc>
        <w:tc>
          <w:tcPr>
            <w:tcW w:w="232" w:type="pct"/>
            <w:shd w:val="clear" w:color="auto" w:fill="92D050"/>
            <w:vAlign w:val="center"/>
          </w:tcPr>
          <w:p w14:paraId="76219779" w14:textId="4F488970" w:rsidR="00FE01F8" w:rsidRPr="000E2305" w:rsidRDefault="006110F6" w:rsidP="00FE01F8">
            <w:pPr>
              <w:spacing w:before="0" w:after="0" w:line="240" w:lineRule="auto"/>
              <w:jc w:val="center"/>
              <w:rPr>
                <w:rFonts w:asciiTheme="minorHAnsi" w:hAnsiTheme="minorHAnsi" w:cstheme="minorHAnsi"/>
                <w:noProof/>
                <w:sz w:val="16"/>
                <w:szCs w:val="16"/>
              </w:rPr>
            </w:pPr>
            <w:r>
              <w:rPr>
                <w:rFonts w:asciiTheme="minorHAnsi" w:hAnsiTheme="minorHAnsi" w:cstheme="minorHAnsi"/>
                <w:noProof/>
                <w:sz w:val="16"/>
                <w:szCs w:val="16"/>
              </w:rPr>
              <w:t>Y</w:t>
            </w:r>
          </w:p>
        </w:tc>
        <w:tc>
          <w:tcPr>
            <w:tcW w:w="232" w:type="pct"/>
            <w:vAlign w:val="center"/>
          </w:tcPr>
          <w:p w14:paraId="01BCE45D" w14:textId="77777777" w:rsidR="00FE01F8" w:rsidRPr="000E2305" w:rsidRDefault="00FE01F8" w:rsidP="00FE01F8">
            <w:pPr>
              <w:spacing w:before="0" w:after="0" w:line="240" w:lineRule="auto"/>
              <w:jc w:val="center"/>
              <w:rPr>
                <w:rFonts w:asciiTheme="minorHAnsi" w:hAnsiTheme="minorHAnsi" w:cstheme="minorHAnsi"/>
                <w:noProof/>
                <w:sz w:val="16"/>
                <w:szCs w:val="16"/>
              </w:rPr>
            </w:pPr>
            <w:r w:rsidRPr="000E2305">
              <w:rPr>
                <w:rFonts w:asciiTheme="minorHAnsi" w:hAnsiTheme="minorHAnsi" w:cstheme="minorHAnsi"/>
                <w:noProof/>
                <w:sz w:val="16"/>
                <w:szCs w:val="16"/>
              </w:rPr>
              <w:t>N</w:t>
            </w:r>
          </w:p>
        </w:tc>
        <w:tc>
          <w:tcPr>
            <w:tcW w:w="232" w:type="pct"/>
            <w:shd w:val="clear" w:color="auto" w:fill="92D050"/>
            <w:vAlign w:val="center"/>
          </w:tcPr>
          <w:p w14:paraId="46916A60" w14:textId="6631B1BB" w:rsidR="00FE01F8" w:rsidRPr="000E2305" w:rsidRDefault="003C7709" w:rsidP="00FE01F8">
            <w:pPr>
              <w:spacing w:before="0" w:after="0" w:line="240" w:lineRule="auto"/>
              <w:jc w:val="center"/>
              <w:rPr>
                <w:rFonts w:asciiTheme="minorHAnsi" w:hAnsiTheme="minorHAnsi" w:cstheme="minorHAnsi"/>
                <w:noProof/>
                <w:sz w:val="16"/>
                <w:szCs w:val="16"/>
              </w:rPr>
            </w:pPr>
            <w:r>
              <w:rPr>
                <w:rFonts w:asciiTheme="minorHAnsi" w:hAnsiTheme="minorHAnsi" w:cstheme="minorHAnsi"/>
                <w:noProof/>
                <w:sz w:val="16"/>
                <w:szCs w:val="16"/>
              </w:rPr>
              <w:t>Y</w:t>
            </w:r>
          </w:p>
        </w:tc>
        <w:tc>
          <w:tcPr>
            <w:tcW w:w="232" w:type="pct"/>
            <w:vAlign w:val="center"/>
          </w:tcPr>
          <w:p w14:paraId="53AAAD42" w14:textId="77777777" w:rsidR="00FE01F8" w:rsidRPr="000E2305" w:rsidRDefault="00FE01F8" w:rsidP="00FE01F8">
            <w:pPr>
              <w:spacing w:before="0" w:after="0" w:line="240" w:lineRule="auto"/>
              <w:jc w:val="center"/>
              <w:rPr>
                <w:rFonts w:asciiTheme="minorHAnsi" w:hAnsiTheme="minorHAnsi" w:cstheme="minorHAnsi"/>
                <w:noProof/>
                <w:sz w:val="16"/>
                <w:szCs w:val="16"/>
              </w:rPr>
            </w:pPr>
            <w:r w:rsidRPr="000E2305">
              <w:rPr>
                <w:rFonts w:asciiTheme="minorHAnsi" w:hAnsiTheme="minorHAnsi" w:cstheme="minorHAnsi"/>
                <w:noProof/>
                <w:sz w:val="16"/>
                <w:szCs w:val="16"/>
              </w:rPr>
              <w:t>N</w:t>
            </w:r>
          </w:p>
        </w:tc>
        <w:tc>
          <w:tcPr>
            <w:tcW w:w="220" w:type="pct"/>
            <w:vAlign w:val="center"/>
          </w:tcPr>
          <w:p w14:paraId="55C5994A" w14:textId="77777777" w:rsidR="00FE01F8" w:rsidRPr="000E2305" w:rsidRDefault="00FE01F8" w:rsidP="00FE01F8">
            <w:pPr>
              <w:spacing w:before="0" w:after="0" w:line="240" w:lineRule="auto"/>
              <w:jc w:val="center"/>
              <w:rPr>
                <w:rFonts w:asciiTheme="minorHAnsi" w:hAnsiTheme="minorHAnsi" w:cstheme="minorHAnsi"/>
                <w:noProof/>
                <w:sz w:val="16"/>
                <w:szCs w:val="16"/>
              </w:rPr>
            </w:pPr>
            <w:r w:rsidRPr="000E2305">
              <w:rPr>
                <w:rFonts w:asciiTheme="minorHAnsi" w:hAnsiTheme="minorHAnsi" w:cstheme="minorHAnsi"/>
                <w:noProof/>
                <w:sz w:val="16"/>
                <w:szCs w:val="16"/>
              </w:rPr>
              <w:t>N</w:t>
            </w:r>
          </w:p>
        </w:tc>
      </w:tr>
      <w:tr w:rsidR="006110F6" w:rsidRPr="000E2305" w14:paraId="08A9D24E" w14:textId="77777777" w:rsidTr="000212D1">
        <w:trPr>
          <w:cantSplit/>
        </w:trPr>
        <w:tc>
          <w:tcPr>
            <w:tcW w:w="169" w:type="pct"/>
            <w:shd w:val="clear" w:color="auto" w:fill="FFFF00"/>
            <w:vAlign w:val="center"/>
          </w:tcPr>
          <w:p w14:paraId="6052EA5D" w14:textId="77777777" w:rsidR="00FE01F8" w:rsidRPr="000E2305" w:rsidRDefault="00FE01F8" w:rsidP="00FE01F8">
            <w:pPr>
              <w:spacing w:before="0" w:after="0" w:line="240" w:lineRule="auto"/>
              <w:rPr>
                <w:rFonts w:asciiTheme="minorHAnsi" w:hAnsiTheme="minorHAnsi" w:cstheme="minorHAnsi"/>
                <w:b/>
                <w:noProof/>
                <w:sz w:val="16"/>
                <w:szCs w:val="16"/>
              </w:rPr>
            </w:pPr>
          </w:p>
        </w:tc>
        <w:tc>
          <w:tcPr>
            <w:tcW w:w="2291" w:type="pct"/>
          </w:tcPr>
          <w:p w14:paraId="67F5CC5F" w14:textId="77777777" w:rsidR="00FE01F8" w:rsidRPr="000E2305" w:rsidRDefault="00FE01F8" w:rsidP="00FE01F8">
            <w:pPr>
              <w:spacing w:before="0" w:after="0" w:line="240" w:lineRule="auto"/>
              <w:rPr>
                <w:rFonts w:asciiTheme="minorHAnsi" w:hAnsiTheme="minorHAnsi" w:cstheme="minorHAnsi"/>
                <w:noProof/>
                <w:sz w:val="16"/>
                <w:szCs w:val="16"/>
              </w:rPr>
            </w:pPr>
            <w:r w:rsidRPr="000E2305">
              <w:rPr>
                <w:rFonts w:asciiTheme="minorHAnsi" w:hAnsiTheme="minorHAnsi" w:cstheme="minorHAnsi"/>
                <w:noProof/>
                <w:sz w:val="16"/>
                <w:szCs w:val="16"/>
              </w:rPr>
              <w:t xml:space="preserve">Are search terms and/or search strings specified? </w:t>
            </w:r>
          </w:p>
        </w:tc>
        <w:tc>
          <w:tcPr>
            <w:tcW w:w="232" w:type="pct"/>
            <w:vAlign w:val="center"/>
          </w:tcPr>
          <w:p w14:paraId="5BAE4981" w14:textId="77777777" w:rsidR="00FE01F8" w:rsidRPr="000E2305" w:rsidRDefault="00FE01F8" w:rsidP="00FE01F8">
            <w:pPr>
              <w:spacing w:before="0" w:after="0" w:line="240" w:lineRule="auto"/>
              <w:jc w:val="center"/>
              <w:rPr>
                <w:rFonts w:asciiTheme="minorHAnsi" w:hAnsiTheme="minorHAnsi" w:cstheme="minorHAnsi"/>
                <w:noProof/>
                <w:sz w:val="16"/>
                <w:szCs w:val="16"/>
              </w:rPr>
            </w:pPr>
            <w:r w:rsidRPr="000E2305">
              <w:rPr>
                <w:rFonts w:asciiTheme="minorHAnsi" w:hAnsiTheme="minorHAnsi" w:cstheme="minorHAnsi"/>
                <w:noProof/>
                <w:sz w:val="16"/>
                <w:szCs w:val="16"/>
              </w:rPr>
              <w:t>N</w:t>
            </w:r>
          </w:p>
        </w:tc>
        <w:tc>
          <w:tcPr>
            <w:tcW w:w="232" w:type="pct"/>
            <w:vAlign w:val="center"/>
          </w:tcPr>
          <w:p w14:paraId="4846B068" w14:textId="77777777" w:rsidR="00FE01F8" w:rsidRPr="000E2305" w:rsidRDefault="00FE01F8" w:rsidP="00FE01F8">
            <w:pPr>
              <w:spacing w:before="0" w:after="0" w:line="240" w:lineRule="auto"/>
              <w:jc w:val="center"/>
              <w:rPr>
                <w:rFonts w:asciiTheme="minorHAnsi" w:hAnsiTheme="minorHAnsi" w:cstheme="minorHAnsi"/>
                <w:noProof/>
                <w:sz w:val="16"/>
                <w:szCs w:val="16"/>
              </w:rPr>
            </w:pPr>
            <w:r w:rsidRPr="000E2305">
              <w:rPr>
                <w:rFonts w:asciiTheme="minorHAnsi" w:hAnsiTheme="minorHAnsi" w:cstheme="minorHAnsi"/>
                <w:noProof/>
                <w:sz w:val="16"/>
                <w:szCs w:val="16"/>
              </w:rPr>
              <w:t>N</w:t>
            </w:r>
          </w:p>
        </w:tc>
        <w:tc>
          <w:tcPr>
            <w:tcW w:w="232" w:type="pct"/>
            <w:vAlign w:val="center"/>
          </w:tcPr>
          <w:p w14:paraId="5AEA57C0" w14:textId="77777777" w:rsidR="00FE01F8" w:rsidRPr="000E2305" w:rsidRDefault="00FE01F8" w:rsidP="00FE01F8">
            <w:pPr>
              <w:spacing w:before="0" w:after="0" w:line="240" w:lineRule="auto"/>
              <w:jc w:val="center"/>
              <w:rPr>
                <w:rFonts w:asciiTheme="minorHAnsi" w:hAnsiTheme="minorHAnsi" w:cstheme="minorHAnsi"/>
                <w:noProof/>
                <w:sz w:val="16"/>
                <w:szCs w:val="16"/>
              </w:rPr>
            </w:pPr>
            <w:r w:rsidRPr="000E2305">
              <w:rPr>
                <w:rFonts w:asciiTheme="minorHAnsi" w:hAnsiTheme="minorHAnsi" w:cstheme="minorHAnsi"/>
                <w:noProof/>
                <w:sz w:val="16"/>
                <w:szCs w:val="16"/>
              </w:rPr>
              <w:t>N</w:t>
            </w:r>
          </w:p>
        </w:tc>
        <w:tc>
          <w:tcPr>
            <w:tcW w:w="232" w:type="pct"/>
            <w:vAlign w:val="center"/>
          </w:tcPr>
          <w:p w14:paraId="6B355603" w14:textId="0BE21240" w:rsidR="00FE01F8" w:rsidRPr="000E2305" w:rsidRDefault="006110F6" w:rsidP="00FE01F8">
            <w:pPr>
              <w:spacing w:before="0" w:after="0" w:line="240" w:lineRule="auto"/>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232" w:type="pct"/>
            <w:vAlign w:val="center"/>
          </w:tcPr>
          <w:p w14:paraId="78319531" w14:textId="77777777" w:rsidR="00FE01F8" w:rsidRPr="000E2305" w:rsidRDefault="00FE01F8" w:rsidP="00FE01F8">
            <w:pPr>
              <w:spacing w:before="0" w:after="0" w:line="240" w:lineRule="auto"/>
              <w:jc w:val="center"/>
              <w:rPr>
                <w:rFonts w:asciiTheme="minorHAnsi" w:hAnsiTheme="minorHAnsi" w:cstheme="minorHAnsi"/>
                <w:noProof/>
                <w:sz w:val="16"/>
                <w:szCs w:val="16"/>
              </w:rPr>
            </w:pPr>
            <w:r w:rsidRPr="000E2305">
              <w:rPr>
                <w:rFonts w:asciiTheme="minorHAnsi" w:hAnsiTheme="minorHAnsi" w:cstheme="minorHAnsi"/>
                <w:noProof/>
                <w:sz w:val="16"/>
                <w:szCs w:val="16"/>
              </w:rPr>
              <w:t>N</w:t>
            </w:r>
          </w:p>
        </w:tc>
        <w:tc>
          <w:tcPr>
            <w:tcW w:w="232" w:type="pct"/>
            <w:vAlign w:val="center"/>
          </w:tcPr>
          <w:p w14:paraId="21356C6B" w14:textId="77777777" w:rsidR="00FE01F8" w:rsidRPr="000E2305" w:rsidRDefault="00FE01F8" w:rsidP="00FE01F8">
            <w:pPr>
              <w:spacing w:before="0" w:after="0" w:line="240" w:lineRule="auto"/>
              <w:jc w:val="center"/>
              <w:rPr>
                <w:rFonts w:asciiTheme="minorHAnsi" w:hAnsiTheme="minorHAnsi" w:cstheme="minorHAnsi"/>
                <w:noProof/>
                <w:sz w:val="16"/>
                <w:szCs w:val="16"/>
              </w:rPr>
            </w:pPr>
            <w:r w:rsidRPr="000E2305">
              <w:rPr>
                <w:rFonts w:asciiTheme="minorHAnsi" w:hAnsiTheme="minorHAnsi" w:cstheme="minorHAnsi"/>
                <w:noProof/>
                <w:sz w:val="16"/>
                <w:szCs w:val="16"/>
              </w:rPr>
              <w:t>N</w:t>
            </w:r>
          </w:p>
        </w:tc>
        <w:tc>
          <w:tcPr>
            <w:tcW w:w="232" w:type="pct"/>
            <w:shd w:val="clear" w:color="auto" w:fill="92D050"/>
            <w:vAlign w:val="center"/>
          </w:tcPr>
          <w:p w14:paraId="198D02D7" w14:textId="60C423CC" w:rsidR="00FE01F8" w:rsidRPr="000E2305" w:rsidRDefault="006110F6" w:rsidP="00FE01F8">
            <w:pPr>
              <w:spacing w:before="0" w:after="0" w:line="240" w:lineRule="auto"/>
              <w:jc w:val="center"/>
              <w:rPr>
                <w:rFonts w:asciiTheme="minorHAnsi" w:hAnsiTheme="minorHAnsi" w:cstheme="minorHAnsi"/>
                <w:noProof/>
                <w:sz w:val="16"/>
                <w:szCs w:val="16"/>
              </w:rPr>
            </w:pPr>
            <w:r>
              <w:rPr>
                <w:rFonts w:asciiTheme="minorHAnsi" w:hAnsiTheme="minorHAnsi" w:cstheme="minorHAnsi"/>
                <w:noProof/>
                <w:sz w:val="16"/>
                <w:szCs w:val="16"/>
              </w:rPr>
              <w:t>Y</w:t>
            </w:r>
          </w:p>
        </w:tc>
        <w:tc>
          <w:tcPr>
            <w:tcW w:w="232" w:type="pct"/>
            <w:vAlign w:val="center"/>
          </w:tcPr>
          <w:p w14:paraId="51B2ADE6" w14:textId="77777777" w:rsidR="00FE01F8" w:rsidRPr="000E2305" w:rsidRDefault="00FE01F8" w:rsidP="00FE01F8">
            <w:pPr>
              <w:spacing w:before="0" w:after="0" w:line="240" w:lineRule="auto"/>
              <w:jc w:val="center"/>
              <w:rPr>
                <w:rFonts w:asciiTheme="minorHAnsi" w:hAnsiTheme="minorHAnsi" w:cstheme="minorHAnsi"/>
                <w:noProof/>
                <w:sz w:val="16"/>
                <w:szCs w:val="16"/>
              </w:rPr>
            </w:pPr>
            <w:r w:rsidRPr="000E2305">
              <w:rPr>
                <w:rFonts w:asciiTheme="minorHAnsi" w:hAnsiTheme="minorHAnsi" w:cstheme="minorHAnsi"/>
                <w:noProof/>
                <w:sz w:val="16"/>
                <w:szCs w:val="16"/>
              </w:rPr>
              <w:t>N</w:t>
            </w:r>
          </w:p>
        </w:tc>
        <w:tc>
          <w:tcPr>
            <w:tcW w:w="232" w:type="pct"/>
            <w:shd w:val="clear" w:color="auto" w:fill="FFFF00"/>
            <w:vAlign w:val="center"/>
          </w:tcPr>
          <w:p w14:paraId="4EC62872" w14:textId="0644544E" w:rsidR="00FE01F8" w:rsidRPr="000E2305" w:rsidRDefault="003C7709" w:rsidP="00FE01F8">
            <w:pPr>
              <w:spacing w:before="0" w:after="0" w:line="240" w:lineRule="auto"/>
              <w:jc w:val="center"/>
              <w:rPr>
                <w:rFonts w:asciiTheme="minorHAnsi" w:hAnsiTheme="minorHAnsi" w:cstheme="minorHAnsi"/>
                <w:noProof/>
                <w:sz w:val="16"/>
                <w:szCs w:val="16"/>
              </w:rPr>
            </w:pPr>
            <w:r>
              <w:rPr>
                <w:rFonts w:asciiTheme="minorHAnsi" w:hAnsiTheme="minorHAnsi" w:cstheme="minorHAnsi"/>
                <w:noProof/>
                <w:sz w:val="16"/>
                <w:szCs w:val="16"/>
              </w:rPr>
              <w:t>Y</w:t>
            </w:r>
          </w:p>
        </w:tc>
        <w:tc>
          <w:tcPr>
            <w:tcW w:w="232" w:type="pct"/>
            <w:vAlign w:val="center"/>
          </w:tcPr>
          <w:p w14:paraId="230A79BA" w14:textId="77777777" w:rsidR="00FE01F8" w:rsidRPr="000E2305" w:rsidRDefault="00FE01F8" w:rsidP="00FE01F8">
            <w:pPr>
              <w:spacing w:before="0" w:after="0" w:line="240" w:lineRule="auto"/>
              <w:jc w:val="center"/>
              <w:rPr>
                <w:rFonts w:asciiTheme="minorHAnsi" w:hAnsiTheme="minorHAnsi" w:cstheme="minorHAnsi"/>
                <w:noProof/>
                <w:sz w:val="16"/>
                <w:szCs w:val="16"/>
              </w:rPr>
            </w:pPr>
            <w:r w:rsidRPr="000E2305">
              <w:rPr>
                <w:rFonts w:asciiTheme="minorHAnsi" w:hAnsiTheme="minorHAnsi" w:cstheme="minorHAnsi"/>
                <w:noProof/>
                <w:sz w:val="16"/>
                <w:szCs w:val="16"/>
              </w:rPr>
              <w:t>N</w:t>
            </w:r>
          </w:p>
        </w:tc>
        <w:tc>
          <w:tcPr>
            <w:tcW w:w="220" w:type="pct"/>
            <w:vAlign w:val="center"/>
          </w:tcPr>
          <w:p w14:paraId="63ECA604" w14:textId="77777777" w:rsidR="00FE01F8" w:rsidRPr="000E2305" w:rsidRDefault="00FE01F8" w:rsidP="00FE01F8">
            <w:pPr>
              <w:spacing w:before="0" w:after="0" w:line="240" w:lineRule="auto"/>
              <w:jc w:val="center"/>
              <w:rPr>
                <w:rFonts w:asciiTheme="minorHAnsi" w:hAnsiTheme="minorHAnsi" w:cstheme="minorHAnsi"/>
                <w:noProof/>
                <w:sz w:val="16"/>
                <w:szCs w:val="16"/>
              </w:rPr>
            </w:pPr>
            <w:r w:rsidRPr="000E2305">
              <w:rPr>
                <w:rFonts w:asciiTheme="minorHAnsi" w:hAnsiTheme="minorHAnsi" w:cstheme="minorHAnsi"/>
                <w:noProof/>
                <w:sz w:val="16"/>
                <w:szCs w:val="16"/>
              </w:rPr>
              <w:t>N</w:t>
            </w:r>
          </w:p>
        </w:tc>
      </w:tr>
      <w:tr w:rsidR="000120E1" w:rsidRPr="000E2305" w14:paraId="73DA73D9" w14:textId="77777777" w:rsidTr="000212D1">
        <w:trPr>
          <w:cantSplit/>
        </w:trPr>
        <w:tc>
          <w:tcPr>
            <w:tcW w:w="169" w:type="pct"/>
            <w:shd w:val="clear" w:color="auto" w:fill="92CDDC" w:themeFill="accent5" w:themeFillTint="99"/>
            <w:vAlign w:val="center"/>
          </w:tcPr>
          <w:p w14:paraId="75F5AE8F" w14:textId="77777777" w:rsidR="00FE01F8" w:rsidRPr="000E2305" w:rsidRDefault="00FE01F8" w:rsidP="00FE01F8">
            <w:pPr>
              <w:spacing w:before="0" w:after="0" w:line="240" w:lineRule="auto"/>
              <w:rPr>
                <w:rFonts w:asciiTheme="minorHAnsi" w:hAnsiTheme="minorHAnsi" w:cstheme="minorHAnsi"/>
                <w:b/>
                <w:noProof/>
                <w:sz w:val="16"/>
                <w:szCs w:val="16"/>
              </w:rPr>
            </w:pPr>
          </w:p>
        </w:tc>
        <w:tc>
          <w:tcPr>
            <w:tcW w:w="2291" w:type="pct"/>
          </w:tcPr>
          <w:p w14:paraId="6D3694F0" w14:textId="77777777" w:rsidR="00FE01F8" w:rsidRPr="000E2305" w:rsidRDefault="00FE01F8" w:rsidP="00FE01F8">
            <w:pPr>
              <w:spacing w:before="0" w:after="0" w:line="240" w:lineRule="auto"/>
              <w:rPr>
                <w:rFonts w:asciiTheme="minorHAnsi" w:hAnsiTheme="minorHAnsi" w:cstheme="minorHAnsi"/>
                <w:noProof/>
                <w:sz w:val="16"/>
                <w:szCs w:val="16"/>
              </w:rPr>
            </w:pPr>
            <w:r w:rsidRPr="000E2305">
              <w:rPr>
                <w:rFonts w:asciiTheme="minorHAnsi" w:hAnsiTheme="minorHAnsi" w:cstheme="minorHAnsi"/>
                <w:noProof/>
                <w:sz w:val="16"/>
                <w:szCs w:val="16"/>
              </w:rPr>
              <w:t xml:space="preserve">Are there any other exclusion criteria for literature (e.g. publication language, publication dates)? If so, what are they and are they appropriate? </w:t>
            </w:r>
          </w:p>
        </w:tc>
        <w:tc>
          <w:tcPr>
            <w:tcW w:w="232" w:type="pct"/>
            <w:vAlign w:val="center"/>
          </w:tcPr>
          <w:p w14:paraId="61FCB817" w14:textId="77777777" w:rsidR="00FE01F8" w:rsidRPr="000E2305" w:rsidRDefault="00FE01F8" w:rsidP="00FE01F8">
            <w:pPr>
              <w:spacing w:before="0" w:after="0" w:line="240" w:lineRule="auto"/>
              <w:jc w:val="center"/>
              <w:rPr>
                <w:rFonts w:asciiTheme="minorHAnsi" w:hAnsiTheme="minorHAnsi" w:cstheme="minorHAnsi"/>
                <w:noProof/>
                <w:sz w:val="16"/>
                <w:szCs w:val="16"/>
              </w:rPr>
            </w:pPr>
            <w:r w:rsidRPr="000E2305">
              <w:rPr>
                <w:rFonts w:asciiTheme="minorHAnsi" w:hAnsiTheme="minorHAnsi" w:cstheme="minorHAnsi"/>
                <w:noProof/>
                <w:sz w:val="16"/>
                <w:szCs w:val="16"/>
              </w:rPr>
              <w:t>N</w:t>
            </w:r>
          </w:p>
        </w:tc>
        <w:tc>
          <w:tcPr>
            <w:tcW w:w="232" w:type="pct"/>
            <w:vAlign w:val="center"/>
          </w:tcPr>
          <w:p w14:paraId="372F42C4" w14:textId="77777777" w:rsidR="00FE01F8" w:rsidRPr="000E2305" w:rsidRDefault="00FE01F8" w:rsidP="00FE01F8">
            <w:pPr>
              <w:spacing w:before="0" w:after="0" w:line="240" w:lineRule="auto"/>
              <w:jc w:val="center"/>
              <w:rPr>
                <w:rFonts w:asciiTheme="minorHAnsi" w:hAnsiTheme="minorHAnsi" w:cstheme="minorHAnsi"/>
                <w:noProof/>
                <w:sz w:val="16"/>
                <w:szCs w:val="16"/>
              </w:rPr>
            </w:pPr>
            <w:r w:rsidRPr="000E2305">
              <w:rPr>
                <w:rFonts w:asciiTheme="minorHAnsi" w:hAnsiTheme="minorHAnsi" w:cstheme="minorHAnsi"/>
                <w:noProof/>
                <w:sz w:val="16"/>
                <w:szCs w:val="16"/>
              </w:rPr>
              <w:t>N</w:t>
            </w:r>
          </w:p>
        </w:tc>
        <w:tc>
          <w:tcPr>
            <w:tcW w:w="232" w:type="pct"/>
            <w:vAlign w:val="center"/>
          </w:tcPr>
          <w:p w14:paraId="2B212F13" w14:textId="77777777" w:rsidR="00FE01F8" w:rsidRPr="000E2305" w:rsidRDefault="00FE01F8" w:rsidP="00FE01F8">
            <w:pPr>
              <w:spacing w:before="0" w:after="0" w:line="240" w:lineRule="auto"/>
              <w:jc w:val="center"/>
              <w:rPr>
                <w:rFonts w:asciiTheme="minorHAnsi" w:hAnsiTheme="minorHAnsi" w:cstheme="minorHAnsi"/>
                <w:noProof/>
                <w:sz w:val="16"/>
                <w:szCs w:val="16"/>
              </w:rPr>
            </w:pPr>
            <w:r w:rsidRPr="000E2305">
              <w:rPr>
                <w:rFonts w:asciiTheme="minorHAnsi" w:hAnsiTheme="minorHAnsi" w:cstheme="minorHAnsi"/>
                <w:noProof/>
                <w:sz w:val="16"/>
                <w:szCs w:val="16"/>
              </w:rPr>
              <w:t>N</w:t>
            </w:r>
          </w:p>
        </w:tc>
        <w:tc>
          <w:tcPr>
            <w:tcW w:w="232" w:type="pct"/>
            <w:vAlign w:val="center"/>
          </w:tcPr>
          <w:p w14:paraId="3317A586" w14:textId="6A471DE8" w:rsidR="00FE01F8" w:rsidRPr="000E2305" w:rsidRDefault="006110F6" w:rsidP="00FE01F8">
            <w:pPr>
              <w:spacing w:before="0" w:after="0" w:line="240" w:lineRule="auto"/>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232" w:type="pct"/>
            <w:vAlign w:val="center"/>
          </w:tcPr>
          <w:p w14:paraId="2D35D34F" w14:textId="77777777" w:rsidR="00FE01F8" w:rsidRPr="000E2305" w:rsidRDefault="00FE01F8" w:rsidP="00FE01F8">
            <w:pPr>
              <w:spacing w:before="0" w:after="0" w:line="240" w:lineRule="auto"/>
              <w:jc w:val="center"/>
              <w:rPr>
                <w:rFonts w:asciiTheme="minorHAnsi" w:hAnsiTheme="minorHAnsi" w:cstheme="minorHAnsi"/>
                <w:noProof/>
                <w:sz w:val="16"/>
                <w:szCs w:val="16"/>
              </w:rPr>
            </w:pPr>
            <w:r w:rsidRPr="000E2305">
              <w:rPr>
                <w:rFonts w:asciiTheme="minorHAnsi" w:hAnsiTheme="minorHAnsi" w:cstheme="minorHAnsi"/>
                <w:noProof/>
                <w:sz w:val="16"/>
                <w:szCs w:val="16"/>
              </w:rPr>
              <w:t>N</w:t>
            </w:r>
          </w:p>
        </w:tc>
        <w:tc>
          <w:tcPr>
            <w:tcW w:w="232" w:type="pct"/>
            <w:vAlign w:val="center"/>
          </w:tcPr>
          <w:p w14:paraId="04F83813" w14:textId="77777777" w:rsidR="00FE01F8" w:rsidRPr="000E2305" w:rsidRDefault="00FE01F8" w:rsidP="00FE01F8">
            <w:pPr>
              <w:spacing w:before="0" w:after="0" w:line="240" w:lineRule="auto"/>
              <w:jc w:val="center"/>
              <w:rPr>
                <w:rFonts w:asciiTheme="minorHAnsi" w:hAnsiTheme="minorHAnsi" w:cstheme="minorHAnsi"/>
                <w:noProof/>
                <w:sz w:val="16"/>
                <w:szCs w:val="16"/>
              </w:rPr>
            </w:pPr>
            <w:r w:rsidRPr="000E2305">
              <w:rPr>
                <w:rFonts w:asciiTheme="minorHAnsi" w:hAnsiTheme="minorHAnsi" w:cstheme="minorHAnsi"/>
                <w:noProof/>
                <w:sz w:val="16"/>
                <w:szCs w:val="16"/>
              </w:rPr>
              <w:t>N</w:t>
            </w:r>
          </w:p>
        </w:tc>
        <w:tc>
          <w:tcPr>
            <w:tcW w:w="232" w:type="pct"/>
            <w:vAlign w:val="center"/>
          </w:tcPr>
          <w:p w14:paraId="418BD11F" w14:textId="77777777" w:rsidR="00FE01F8" w:rsidRPr="000E2305" w:rsidRDefault="00FE01F8" w:rsidP="00FE01F8">
            <w:pPr>
              <w:spacing w:before="0" w:after="0" w:line="240" w:lineRule="auto"/>
              <w:jc w:val="center"/>
              <w:rPr>
                <w:rFonts w:asciiTheme="minorHAnsi" w:hAnsiTheme="minorHAnsi" w:cstheme="minorHAnsi"/>
                <w:noProof/>
                <w:sz w:val="16"/>
                <w:szCs w:val="16"/>
              </w:rPr>
            </w:pPr>
            <w:r w:rsidRPr="000E2305">
              <w:rPr>
                <w:rFonts w:asciiTheme="minorHAnsi" w:hAnsiTheme="minorHAnsi" w:cstheme="minorHAnsi"/>
                <w:noProof/>
                <w:sz w:val="16"/>
                <w:szCs w:val="16"/>
              </w:rPr>
              <w:t>N</w:t>
            </w:r>
          </w:p>
        </w:tc>
        <w:tc>
          <w:tcPr>
            <w:tcW w:w="232" w:type="pct"/>
            <w:vAlign w:val="center"/>
          </w:tcPr>
          <w:p w14:paraId="2BE27026" w14:textId="5296D18F" w:rsidR="00FE01F8" w:rsidRPr="000E2305" w:rsidRDefault="000120E1" w:rsidP="00FE01F8">
            <w:pPr>
              <w:spacing w:before="0" w:after="0" w:line="240" w:lineRule="auto"/>
              <w:jc w:val="center"/>
              <w:rPr>
                <w:rFonts w:asciiTheme="minorHAnsi" w:hAnsiTheme="minorHAnsi" w:cstheme="minorHAnsi"/>
                <w:noProof/>
                <w:sz w:val="16"/>
                <w:szCs w:val="16"/>
              </w:rPr>
            </w:pPr>
            <w:r>
              <w:rPr>
                <w:rFonts w:asciiTheme="minorHAnsi" w:hAnsiTheme="minorHAnsi" w:cstheme="minorHAnsi"/>
                <w:noProof/>
                <w:sz w:val="16"/>
                <w:szCs w:val="16"/>
              </w:rPr>
              <w:t>Can’t tell</w:t>
            </w:r>
          </w:p>
        </w:tc>
        <w:tc>
          <w:tcPr>
            <w:tcW w:w="232" w:type="pct"/>
            <w:vAlign w:val="center"/>
          </w:tcPr>
          <w:p w14:paraId="28F52C23" w14:textId="77777777" w:rsidR="00FE01F8" w:rsidRPr="000E2305" w:rsidRDefault="00FE01F8" w:rsidP="00FE01F8">
            <w:pPr>
              <w:spacing w:before="0" w:after="0" w:line="240" w:lineRule="auto"/>
              <w:jc w:val="center"/>
              <w:rPr>
                <w:rFonts w:asciiTheme="minorHAnsi" w:hAnsiTheme="minorHAnsi" w:cstheme="minorHAnsi"/>
                <w:noProof/>
                <w:sz w:val="16"/>
                <w:szCs w:val="16"/>
              </w:rPr>
            </w:pPr>
            <w:r w:rsidRPr="000E2305">
              <w:rPr>
                <w:rFonts w:asciiTheme="minorHAnsi" w:hAnsiTheme="minorHAnsi" w:cstheme="minorHAnsi"/>
                <w:noProof/>
                <w:sz w:val="16"/>
                <w:szCs w:val="16"/>
              </w:rPr>
              <w:t>N</w:t>
            </w:r>
          </w:p>
        </w:tc>
        <w:tc>
          <w:tcPr>
            <w:tcW w:w="232" w:type="pct"/>
            <w:vAlign w:val="center"/>
          </w:tcPr>
          <w:p w14:paraId="60AAF562" w14:textId="77777777" w:rsidR="00FE01F8" w:rsidRPr="000E2305" w:rsidRDefault="00FE01F8" w:rsidP="00FE01F8">
            <w:pPr>
              <w:spacing w:before="0" w:after="0" w:line="240" w:lineRule="auto"/>
              <w:jc w:val="center"/>
              <w:rPr>
                <w:rFonts w:asciiTheme="minorHAnsi" w:hAnsiTheme="minorHAnsi" w:cstheme="minorHAnsi"/>
                <w:noProof/>
                <w:sz w:val="16"/>
                <w:szCs w:val="16"/>
              </w:rPr>
            </w:pPr>
            <w:r w:rsidRPr="000E2305">
              <w:rPr>
                <w:rFonts w:asciiTheme="minorHAnsi" w:hAnsiTheme="minorHAnsi" w:cstheme="minorHAnsi"/>
                <w:noProof/>
                <w:sz w:val="16"/>
                <w:szCs w:val="16"/>
              </w:rPr>
              <w:t>N</w:t>
            </w:r>
          </w:p>
        </w:tc>
        <w:tc>
          <w:tcPr>
            <w:tcW w:w="220" w:type="pct"/>
            <w:vAlign w:val="center"/>
          </w:tcPr>
          <w:p w14:paraId="1994930F" w14:textId="77777777" w:rsidR="00FE01F8" w:rsidRPr="000E2305" w:rsidRDefault="00FE01F8" w:rsidP="00FE01F8">
            <w:pPr>
              <w:spacing w:before="0" w:after="0" w:line="240" w:lineRule="auto"/>
              <w:jc w:val="center"/>
              <w:rPr>
                <w:rFonts w:asciiTheme="minorHAnsi" w:hAnsiTheme="minorHAnsi" w:cstheme="minorHAnsi"/>
                <w:noProof/>
                <w:sz w:val="16"/>
                <w:szCs w:val="16"/>
              </w:rPr>
            </w:pPr>
            <w:r w:rsidRPr="000E2305">
              <w:rPr>
                <w:rFonts w:asciiTheme="minorHAnsi" w:hAnsiTheme="minorHAnsi" w:cstheme="minorHAnsi"/>
                <w:noProof/>
                <w:sz w:val="16"/>
                <w:szCs w:val="16"/>
              </w:rPr>
              <w:t>N</w:t>
            </w:r>
          </w:p>
        </w:tc>
      </w:tr>
      <w:tr w:rsidR="00FE01F8" w:rsidRPr="000E2305" w14:paraId="2DBACF05" w14:textId="77777777" w:rsidTr="000212D1">
        <w:trPr>
          <w:cantSplit/>
        </w:trPr>
        <w:tc>
          <w:tcPr>
            <w:tcW w:w="169" w:type="pct"/>
            <w:shd w:val="clear" w:color="auto" w:fill="D6EAEB"/>
            <w:vAlign w:val="center"/>
          </w:tcPr>
          <w:p w14:paraId="1E9B3E06" w14:textId="77777777" w:rsidR="00FE01F8" w:rsidRPr="000E2305" w:rsidRDefault="00FE01F8" w:rsidP="00FE01F8">
            <w:pPr>
              <w:keepNext/>
              <w:spacing w:before="0" w:after="0" w:line="240" w:lineRule="auto"/>
              <w:rPr>
                <w:rFonts w:asciiTheme="minorHAnsi" w:hAnsiTheme="minorHAnsi" w:cstheme="minorHAnsi"/>
                <w:b/>
                <w:noProof/>
                <w:sz w:val="16"/>
                <w:szCs w:val="16"/>
              </w:rPr>
            </w:pPr>
          </w:p>
        </w:tc>
        <w:tc>
          <w:tcPr>
            <w:tcW w:w="2291" w:type="pct"/>
            <w:shd w:val="clear" w:color="auto" w:fill="D6EAEB"/>
            <w:vAlign w:val="center"/>
          </w:tcPr>
          <w:p w14:paraId="44A73F20" w14:textId="77777777" w:rsidR="00FE01F8" w:rsidRPr="000E2305" w:rsidRDefault="00FE01F8" w:rsidP="00FE01F8">
            <w:pPr>
              <w:keepNext/>
              <w:spacing w:before="0" w:after="0" w:line="240" w:lineRule="auto"/>
              <w:rPr>
                <w:rFonts w:asciiTheme="minorHAnsi" w:hAnsiTheme="minorHAnsi" w:cstheme="minorHAnsi"/>
                <w:b/>
                <w:noProof/>
                <w:sz w:val="16"/>
                <w:szCs w:val="16"/>
              </w:rPr>
            </w:pPr>
            <w:r w:rsidRPr="000E2305">
              <w:rPr>
                <w:rFonts w:asciiTheme="minorHAnsi" w:hAnsiTheme="minorHAnsi" w:cstheme="minorHAnsi"/>
                <w:b/>
                <w:noProof/>
                <w:sz w:val="16"/>
                <w:szCs w:val="16"/>
              </w:rPr>
              <w:t>Critical appraisal methods and tools</w:t>
            </w:r>
          </w:p>
        </w:tc>
        <w:tc>
          <w:tcPr>
            <w:tcW w:w="232" w:type="pct"/>
            <w:shd w:val="clear" w:color="auto" w:fill="D6EAEB"/>
            <w:vAlign w:val="center"/>
          </w:tcPr>
          <w:p w14:paraId="5F2D8B62" w14:textId="77777777" w:rsidR="00FE01F8" w:rsidRPr="000E2305" w:rsidRDefault="00FE01F8" w:rsidP="00FE01F8">
            <w:pPr>
              <w:keepNext/>
              <w:spacing w:before="0" w:after="0" w:line="240" w:lineRule="auto"/>
              <w:jc w:val="center"/>
              <w:rPr>
                <w:rFonts w:asciiTheme="minorHAnsi" w:hAnsiTheme="minorHAnsi" w:cstheme="minorHAnsi"/>
                <w:b/>
                <w:noProof/>
                <w:sz w:val="16"/>
                <w:szCs w:val="16"/>
              </w:rPr>
            </w:pPr>
          </w:p>
        </w:tc>
        <w:tc>
          <w:tcPr>
            <w:tcW w:w="232" w:type="pct"/>
            <w:shd w:val="clear" w:color="auto" w:fill="D6EAEB"/>
            <w:vAlign w:val="center"/>
          </w:tcPr>
          <w:p w14:paraId="714929DB" w14:textId="77777777" w:rsidR="00FE01F8" w:rsidRPr="000E2305" w:rsidRDefault="00FE01F8" w:rsidP="00FE01F8">
            <w:pPr>
              <w:keepNext/>
              <w:spacing w:before="0" w:after="0" w:line="240" w:lineRule="auto"/>
              <w:jc w:val="center"/>
              <w:rPr>
                <w:rFonts w:asciiTheme="minorHAnsi" w:hAnsiTheme="minorHAnsi" w:cstheme="minorHAnsi"/>
                <w:b/>
                <w:noProof/>
                <w:sz w:val="16"/>
                <w:szCs w:val="16"/>
              </w:rPr>
            </w:pPr>
          </w:p>
        </w:tc>
        <w:tc>
          <w:tcPr>
            <w:tcW w:w="232" w:type="pct"/>
            <w:shd w:val="clear" w:color="auto" w:fill="D6EAEB"/>
            <w:vAlign w:val="center"/>
          </w:tcPr>
          <w:p w14:paraId="1ED7AF0C" w14:textId="77777777" w:rsidR="00FE01F8" w:rsidRPr="000E2305" w:rsidRDefault="00FE01F8" w:rsidP="00FE01F8">
            <w:pPr>
              <w:keepNext/>
              <w:spacing w:before="0" w:after="0" w:line="240" w:lineRule="auto"/>
              <w:jc w:val="center"/>
              <w:rPr>
                <w:rFonts w:asciiTheme="minorHAnsi" w:hAnsiTheme="minorHAnsi" w:cstheme="minorHAnsi"/>
                <w:b/>
                <w:noProof/>
                <w:sz w:val="16"/>
                <w:szCs w:val="16"/>
              </w:rPr>
            </w:pPr>
          </w:p>
        </w:tc>
        <w:tc>
          <w:tcPr>
            <w:tcW w:w="232" w:type="pct"/>
            <w:shd w:val="clear" w:color="auto" w:fill="D6EAEB"/>
            <w:vAlign w:val="center"/>
          </w:tcPr>
          <w:p w14:paraId="536315D5" w14:textId="77777777" w:rsidR="00FE01F8" w:rsidRPr="000E2305" w:rsidRDefault="00FE01F8" w:rsidP="00FE01F8">
            <w:pPr>
              <w:keepNext/>
              <w:spacing w:before="0" w:after="0" w:line="240" w:lineRule="auto"/>
              <w:jc w:val="center"/>
              <w:rPr>
                <w:rFonts w:asciiTheme="minorHAnsi" w:hAnsiTheme="minorHAnsi" w:cstheme="minorHAnsi"/>
                <w:b/>
                <w:noProof/>
                <w:sz w:val="16"/>
                <w:szCs w:val="16"/>
              </w:rPr>
            </w:pPr>
          </w:p>
        </w:tc>
        <w:tc>
          <w:tcPr>
            <w:tcW w:w="232" w:type="pct"/>
            <w:shd w:val="clear" w:color="auto" w:fill="D6EAEB"/>
            <w:vAlign w:val="center"/>
          </w:tcPr>
          <w:p w14:paraId="1B49683E" w14:textId="77777777" w:rsidR="00FE01F8" w:rsidRPr="000E2305" w:rsidRDefault="00FE01F8" w:rsidP="00FE01F8">
            <w:pPr>
              <w:keepNext/>
              <w:spacing w:before="0" w:after="0" w:line="240" w:lineRule="auto"/>
              <w:jc w:val="center"/>
              <w:rPr>
                <w:rFonts w:asciiTheme="minorHAnsi" w:hAnsiTheme="minorHAnsi" w:cstheme="minorHAnsi"/>
                <w:b/>
                <w:noProof/>
                <w:sz w:val="16"/>
                <w:szCs w:val="16"/>
              </w:rPr>
            </w:pPr>
          </w:p>
        </w:tc>
        <w:tc>
          <w:tcPr>
            <w:tcW w:w="232" w:type="pct"/>
            <w:shd w:val="clear" w:color="auto" w:fill="D6EAEB"/>
            <w:vAlign w:val="center"/>
          </w:tcPr>
          <w:p w14:paraId="6A30E086" w14:textId="77777777" w:rsidR="00FE01F8" w:rsidRPr="000E2305" w:rsidRDefault="00FE01F8" w:rsidP="00FE01F8">
            <w:pPr>
              <w:keepNext/>
              <w:spacing w:before="0" w:after="0" w:line="240" w:lineRule="auto"/>
              <w:jc w:val="center"/>
              <w:rPr>
                <w:rFonts w:asciiTheme="minorHAnsi" w:hAnsiTheme="minorHAnsi" w:cstheme="minorHAnsi"/>
                <w:b/>
                <w:noProof/>
                <w:sz w:val="16"/>
                <w:szCs w:val="16"/>
              </w:rPr>
            </w:pPr>
          </w:p>
        </w:tc>
        <w:tc>
          <w:tcPr>
            <w:tcW w:w="232" w:type="pct"/>
            <w:shd w:val="clear" w:color="auto" w:fill="D6EAEB"/>
            <w:vAlign w:val="center"/>
          </w:tcPr>
          <w:p w14:paraId="702251E3" w14:textId="77777777" w:rsidR="00FE01F8" w:rsidRPr="000E2305" w:rsidRDefault="00FE01F8" w:rsidP="00FE01F8">
            <w:pPr>
              <w:keepNext/>
              <w:spacing w:before="0" w:after="0" w:line="240" w:lineRule="auto"/>
              <w:jc w:val="center"/>
              <w:rPr>
                <w:rFonts w:asciiTheme="minorHAnsi" w:hAnsiTheme="minorHAnsi" w:cstheme="minorHAnsi"/>
                <w:b/>
                <w:noProof/>
                <w:sz w:val="16"/>
                <w:szCs w:val="16"/>
              </w:rPr>
            </w:pPr>
          </w:p>
        </w:tc>
        <w:tc>
          <w:tcPr>
            <w:tcW w:w="232" w:type="pct"/>
            <w:shd w:val="clear" w:color="auto" w:fill="D6EAEB"/>
            <w:vAlign w:val="center"/>
          </w:tcPr>
          <w:p w14:paraId="6FAC702A" w14:textId="77777777" w:rsidR="00FE01F8" w:rsidRPr="000E2305" w:rsidRDefault="00FE01F8" w:rsidP="00FE01F8">
            <w:pPr>
              <w:keepNext/>
              <w:spacing w:before="0" w:after="0" w:line="240" w:lineRule="auto"/>
              <w:jc w:val="center"/>
              <w:rPr>
                <w:rFonts w:asciiTheme="minorHAnsi" w:hAnsiTheme="minorHAnsi" w:cstheme="minorHAnsi"/>
                <w:b/>
                <w:noProof/>
                <w:sz w:val="16"/>
                <w:szCs w:val="16"/>
              </w:rPr>
            </w:pPr>
          </w:p>
        </w:tc>
        <w:tc>
          <w:tcPr>
            <w:tcW w:w="232" w:type="pct"/>
            <w:shd w:val="clear" w:color="auto" w:fill="D6EAEB"/>
            <w:vAlign w:val="center"/>
          </w:tcPr>
          <w:p w14:paraId="45580174" w14:textId="77777777" w:rsidR="00FE01F8" w:rsidRPr="000E2305" w:rsidRDefault="00FE01F8" w:rsidP="00FE01F8">
            <w:pPr>
              <w:keepNext/>
              <w:spacing w:before="0" w:after="0" w:line="240" w:lineRule="auto"/>
              <w:jc w:val="center"/>
              <w:rPr>
                <w:rFonts w:asciiTheme="minorHAnsi" w:hAnsiTheme="minorHAnsi" w:cstheme="minorHAnsi"/>
                <w:b/>
                <w:noProof/>
                <w:sz w:val="16"/>
                <w:szCs w:val="16"/>
              </w:rPr>
            </w:pPr>
          </w:p>
        </w:tc>
        <w:tc>
          <w:tcPr>
            <w:tcW w:w="232" w:type="pct"/>
            <w:shd w:val="clear" w:color="auto" w:fill="D6EAEB"/>
            <w:vAlign w:val="center"/>
          </w:tcPr>
          <w:p w14:paraId="5C3CA544" w14:textId="77777777" w:rsidR="00FE01F8" w:rsidRPr="000E2305" w:rsidRDefault="00FE01F8" w:rsidP="00FE01F8">
            <w:pPr>
              <w:keepNext/>
              <w:spacing w:before="0" w:after="0" w:line="240" w:lineRule="auto"/>
              <w:jc w:val="center"/>
              <w:rPr>
                <w:rFonts w:asciiTheme="minorHAnsi" w:hAnsiTheme="minorHAnsi" w:cstheme="minorHAnsi"/>
                <w:b/>
                <w:noProof/>
                <w:sz w:val="16"/>
                <w:szCs w:val="16"/>
              </w:rPr>
            </w:pPr>
          </w:p>
        </w:tc>
        <w:tc>
          <w:tcPr>
            <w:tcW w:w="220" w:type="pct"/>
            <w:shd w:val="clear" w:color="auto" w:fill="D6EAEB"/>
            <w:vAlign w:val="center"/>
          </w:tcPr>
          <w:p w14:paraId="1D9D11A6" w14:textId="77777777" w:rsidR="00FE01F8" w:rsidRPr="000E2305" w:rsidRDefault="00FE01F8" w:rsidP="00FE01F8">
            <w:pPr>
              <w:keepNext/>
              <w:spacing w:before="0" w:after="0" w:line="240" w:lineRule="auto"/>
              <w:jc w:val="center"/>
              <w:rPr>
                <w:rFonts w:asciiTheme="minorHAnsi" w:hAnsiTheme="minorHAnsi" w:cstheme="minorHAnsi"/>
                <w:b/>
                <w:noProof/>
                <w:sz w:val="16"/>
                <w:szCs w:val="16"/>
              </w:rPr>
            </w:pPr>
          </w:p>
        </w:tc>
      </w:tr>
      <w:tr w:rsidR="00FE01F8" w:rsidRPr="000E2305" w14:paraId="0AAE1419" w14:textId="77777777" w:rsidTr="000212D1">
        <w:trPr>
          <w:cantSplit/>
        </w:trPr>
        <w:tc>
          <w:tcPr>
            <w:tcW w:w="169" w:type="pct"/>
            <w:shd w:val="clear" w:color="auto" w:fill="92D050"/>
            <w:vAlign w:val="center"/>
          </w:tcPr>
          <w:p w14:paraId="72A4B1C1" w14:textId="77777777" w:rsidR="00FE01F8" w:rsidRPr="000E2305" w:rsidRDefault="00FE01F8" w:rsidP="00FE01F8">
            <w:pPr>
              <w:spacing w:before="0" w:after="0" w:line="240" w:lineRule="auto"/>
              <w:rPr>
                <w:rFonts w:asciiTheme="minorHAnsi" w:hAnsiTheme="minorHAnsi" w:cstheme="minorHAnsi"/>
                <w:b/>
                <w:noProof/>
                <w:sz w:val="16"/>
                <w:szCs w:val="16"/>
              </w:rPr>
            </w:pPr>
          </w:p>
        </w:tc>
        <w:tc>
          <w:tcPr>
            <w:tcW w:w="2291" w:type="pct"/>
          </w:tcPr>
          <w:p w14:paraId="33442922" w14:textId="77777777" w:rsidR="00FE01F8" w:rsidRPr="000E2305" w:rsidRDefault="00FE01F8" w:rsidP="00FE01F8">
            <w:pPr>
              <w:spacing w:before="0" w:after="0" w:line="240" w:lineRule="auto"/>
              <w:rPr>
                <w:rFonts w:asciiTheme="minorHAnsi" w:hAnsiTheme="minorHAnsi" w:cstheme="minorHAnsi"/>
                <w:noProof/>
                <w:sz w:val="16"/>
                <w:szCs w:val="16"/>
              </w:rPr>
            </w:pPr>
            <w:r w:rsidRPr="000E2305">
              <w:rPr>
                <w:rFonts w:asciiTheme="minorHAnsi" w:hAnsiTheme="minorHAnsi" w:cstheme="minorHAnsi"/>
                <w:noProof/>
                <w:sz w:val="16"/>
                <w:szCs w:val="16"/>
              </w:rPr>
              <w:t>Is risk of bias of individual studies taken into consideration to assess internal validity? If so, what tools are used? If not, was any method used to assess study quality?</w:t>
            </w:r>
          </w:p>
        </w:tc>
        <w:tc>
          <w:tcPr>
            <w:tcW w:w="232" w:type="pct"/>
            <w:vAlign w:val="center"/>
          </w:tcPr>
          <w:p w14:paraId="58EAC61B" w14:textId="77777777" w:rsidR="00FE01F8" w:rsidRPr="000E2305" w:rsidRDefault="00FE01F8" w:rsidP="00FE01F8">
            <w:pPr>
              <w:spacing w:before="0" w:after="0" w:line="240" w:lineRule="auto"/>
              <w:jc w:val="center"/>
              <w:rPr>
                <w:rFonts w:asciiTheme="minorHAnsi" w:hAnsiTheme="minorHAnsi" w:cstheme="minorHAnsi"/>
                <w:noProof/>
                <w:sz w:val="16"/>
                <w:szCs w:val="16"/>
              </w:rPr>
            </w:pPr>
            <w:r w:rsidRPr="000E2305">
              <w:rPr>
                <w:rFonts w:asciiTheme="minorHAnsi" w:hAnsiTheme="minorHAnsi" w:cstheme="minorHAnsi"/>
                <w:noProof/>
                <w:sz w:val="16"/>
                <w:szCs w:val="16"/>
              </w:rPr>
              <w:t>N</w:t>
            </w:r>
          </w:p>
        </w:tc>
        <w:tc>
          <w:tcPr>
            <w:tcW w:w="232" w:type="pct"/>
            <w:vAlign w:val="center"/>
          </w:tcPr>
          <w:p w14:paraId="41BEE1F6" w14:textId="77777777" w:rsidR="00FE01F8" w:rsidRPr="000E2305" w:rsidRDefault="00FE01F8" w:rsidP="00FE01F8">
            <w:pPr>
              <w:spacing w:before="0" w:after="0" w:line="240" w:lineRule="auto"/>
              <w:jc w:val="center"/>
              <w:rPr>
                <w:rFonts w:asciiTheme="minorHAnsi" w:hAnsiTheme="minorHAnsi" w:cstheme="minorHAnsi"/>
                <w:noProof/>
                <w:sz w:val="16"/>
                <w:szCs w:val="16"/>
              </w:rPr>
            </w:pPr>
            <w:r w:rsidRPr="000E2305">
              <w:rPr>
                <w:rFonts w:asciiTheme="minorHAnsi" w:hAnsiTheme="minorHAnsi" w:cstheme="minorHAnsi"/>
                <w:noProof/>
                <w:sz w:val="16"/>
                <w:szCs w:val="16"/>
              </w:rPr>
              <w:t>N</w:t>
            </w:r>
          </w:p>
        </w:tc>
        <w:tc>
          <w:tcPr>
            <w:tcW w:w="232" w:type="pct"/>
            <w:vAlign w:val="center"/>
          </w:tcPr>
          <w:p w14:paraId="52EF6046" w14:textId="77777777" w:rsidR="00FE01F8" w:rsidRPr="000E2305" w:rsidRDefault="00FE01F8" w:rsidP="00FE01F8">
            <w:pPr>
              <w:spacing w:before="0" w:after="0" w:line="240" w:lineRule="auto"/>
              <w:jc w:val="center"/>
              <w:rPr>
                <w:rFonts w:asciiTheme="minorHAnsi" w:hAnsiTheme="minorHAnsi" w:cstheme="minorHAnsi"/>
                <w:noProof/>
                <w:sz w:val="16"/>
                <w:szCs w:val="16"/>
              </w:rPr>
            </w:pPr>
            <w:r w:rsidRPr="000E2305">
              <w:rPr>
                <w:rFonts w:asciiTheme="minorHAnsi" w:hAnsiTheme="minorHAnsi" w:cstheme="minorHAnsi"/>
                <w:noProof/>
                <w:sz w:val="16"/>
                <w:szCs w:val="16"/>
              </w:rPr>
              <w:t>N</w:t>
            </w:r>
          </w:p>
        </w:tc>
        <w:tc>
          <w:tcPr>
            <w:tcW w:w="232" w:type="pct"/>
            <w:vAlign w:val="center"/>
          </w:tcPr>
          <w:p w14:paraId="444D4954" w14:textId="23249585" w:rsidR="00FE01F8" w:rsidRPr="000E2305" w:rsidRDefault="006110F6" w:rsidP="00FE01F8">
            <w:pPr>
              <w:spacing w:before="0" w:after="0" w:line="240" w:lineRule="auto"/>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232" w:type="pct"/>
            <w:vAlign w:val="center"/>
          </w:tcPr>
          <w:p w14:paraId="6402E492" w14:textId="77777777" w:rsidR="00FE01F8" w:rsidRPr="000E2305" w:rsidRDefault="00FE01F8" w:rsidP="00FE01F8">
            <w:pPr>
              <w:spacing w:before="0" w:after="0" w:line="240" w:lineRule="auto"/>
              <w:jc w:val="center"/>
              <w:rPr>
                <w:rFonts w:asciiTheme="minorHAnsi" w:hAnsiTheme="minorHAnsi" w:cstheme="minorHAnsi"/>
                <w:noProof/>
                <w:sz w:val="16"/>
                <w:szCs w:val="16"/>
              </w:rPr>
            </w:pPr>
            <w:r w:rsidRPr="000E2305">
              <w:rPr>
                <w:rFonts w:asciiTheme="minorHAnsi" w:hAnsiTheme="minorHAnsi" w:cstheme="minorHAnsi"/>
                <w:noProof/>
                <w:sz w:val="16"/>
                <w:szCs w:val="16"/>
              </w:rPr>
              <w:t>N</w:t>
            </w:r>
          </w:p>
        </w:tc>
        <w:tc>
          <w:tcPr>
            <w:tcW w:w="232" w:type="pct"/>
            <w:vAlign w:val="center"/>
          </w:tcPr>
          <w:p w14:paraId="5E0792B3" w14:textId="77777777" w:rsidR="00FE01F8" w:rsidRPr="000E2305" w:rsidRDefault="00FE01F8" w:rsidP="00FE01F8">
            <w:pPr>
              <w:spacing w:before="0" w:after="0" w:line="240" w:lineRule="auto"/>
              <w:jc w:val="center"/>
              <w:rPr>
                <w:rFonts w:asciiTheme="minorHAnsi" w:hAnsiTheme="minorHAnsi" w:cstheme="minorHAnsi"/>
                <w:noProof/>
                <w:sz w:val="16"/>
                <w:szCs w:val="16"/>
              </w:rPr>
            </w:pPr>
            <w:r w:rsidRPr="000E2305">
              <w:rPr>
                <w:rFonts w:asciiTheme="minorHAnsi" w:hAnsiTheme="minorHAnsi" w:cstheme="minorHAnsi"/>
                <w:noProof/>
                <w:sz w:val="16"/>
                <w:szCs w:val="16"/>
              </w:rPr>
              <w:t>N</w:t>
            </w:r>
          </w:p>
        </w:tc>
        <w:tc>
          <w:tcPr>
            <w:tcW w:w="232" w:type="pct"/>
            <w:vAlign w:val="center"/>
          </w:tcPr>
          <w:p w14:paraId="6393B8D0" w14:textId="77777777" w:rsidR="00FE01F8" w:rsidRPr="000E2305" w:rsidRDefault="00FE01F8" w:rsidP="00FE01F8">
            <w:pPr>
              <w:spacing w:before="0" w:after="0" w:line="240" w:lineRule="auto"/>
              <w:jc w:val="center"/>
              <w:rPr>
                <w:rFonts w:asciiTheme="minorHAnsi" w:hAnsiTheme="minorHAnsi" w:cstheme="minorHAnsi"/>
                <w:noProof/>
                <w:sz w:val="16"/>
                <w:szCs w:val="16"/>
              </w:rPr>
            </w:pPr>
            <w:r w:rsidRPr="000E2305">
              <w:rPr>
                <w:rFonts w:asciiTheme="minorHAnsi" w:hAnsiTheme="minorHAnsi" w:cstheme="minorHAnsi"/>
                <w:noProof/>
                <w:sz w:val="16"/>
                <w:szCs w:val="16"/>
              </w:rPr>
              <w:t>N</w:t>
            </w:r>
          </w:p>
        </w:tc>
        <w:tc>
          <w:tcPr>
            <w:tcW w:w="232" w:type="pct"/>
            <w:vAlign w:val="center"/>
          </w:tcPr>
          <w:p w14:paraId="3525F0F5" w14:textId="074AE0BA" w:rsidR="00FE01F8" w:rsidRPr="000E2305" w:rsidRDefault="000120E1" w:rsidP="00FE01F8">
            <w:pPr>
              <w:spacing w:before="0" w:after="0" w:line="240" w:lineRule="auto"/>
              <w:jc w:val="center"/>
              <w:rPr>
                <w:rFonts w:asciiTheme="minorHAnsi" w:hAnsiTheme="minorHAnsi" w:cstheme="minorHAnsi"/>
                <w:noProof/>
                <w:sz w:val="16"/>
                <w:szCs w:val="16"/>
              </w:rPr>
            </w:pPr>
            <w:r>
              <w:rPr>
                <w:rFonts w:asciiTheme="minorHAnsi" w:hAnsiTheme="minorHAnsi" w:cstheme="minorHAnsi"/>
                <w:noProof/>
                <w:sz w:val="16"/>
                <w:szCs w:val="16"/>
              </w:rPr>
              <w:t>Can’t tell</w:t>
            </w:r>
          </w:p>
        </w:tc>
        <w:tc>
          <w:tcPr>
            <w:tcW w:w="232" w:type="pct"/>
            <w:vAlign w:val="center"/>
          </w:tcPr>
          <w:p w14:paraId="0B99C857" w14:textId="77777777" w:rsidR="00FE01F8" w:rsidRPr="000E2305" w:rsidRDefault="00FE01F8" w:rsidP="00FE01F8">
            <w:pPr>
              <w:spacing w:before="0" w:after="0" w:line="240" w:lineRule="auto"/>
              <w:jc w:val="center"/>
              <w:rPr>
                <w:rFonts w:asciiTheme="minorHAnsi" w:hAnsiTheme="minorHAnsi" w:cstheme="minorHAnsi"/>
                <w:noProof/>
                <w:sz w:val="16"/>
                <w:szCs w:val="16"/>
              </w:rPr>
            </w:pPr>
            <w:r w:rsidRPr="000E2305">
              <w:rPr>
                <w:rFonts w:asciiTheme="minorHAnsi" w:hAnsiTheme="minorHAnsi" w:cstheme="minorHAnsi"/>
                <w:noProof/>
                <w:sz w:val="16"/>
                <w:szCs w:val="16"/>
              </w:rPr>
              <w:t>N</w:t>
            </w:r>
          </w:p>
        </w:tc>
        <w:tc>
          <w:tcPr>
            <w:tcW w:w="232" w:type="pct"/>
            <w:vAlign w:val="center"/>
          </w:tcPr>
          <w:p w14:paraId="25A76336" w14:textId="77777777" w:rsidR="00FE01F8" w:rsidRPr="000E2305" w:rsidRDefault="00FE01F8" w:rsidP="00FE01F8">
            <w:pPr>
              <w:spacing w:before="0" w:after="0" w:line="240" w:lineRule="auto"/>
              <w:jc w:val="center"/>
              <w:rPr>
                <w:rFonts w:asciiTheme="minorHAnsi" w:hAnsiTheme="minorHAnsi" w:cstheme="minorHAnsi"/>
                <w:noProof/>
                <w:sz w:val="16"/>
                <w:szCs w:val="16"/>
              </w:rPr>
            </w:pPr>
            <w:r w:rsidRPr="000E2305">
              <w:rPr>
                <w:rFonts w:asciiTheme="minorHAnsi" w:hAnsiTheme="minorHAnsi" w:cstheme="minorHAnsi"/>
                <w:noProof/>
                <w:sz w:val="16"/>
                <w:szCs w:val="16"/>
              </w:rPr>
              <w:t>N</w:t>
            </w:r>
          </w:p>
        </w:tc>
        <w:tc>
          <w:tcPr>
            <w:tcW w:w="220" w:type="pct"/>
            <w:vAlign w:val="center"/>
          </w:tcPr>
          <w:p w14:paraId="2195CB89" w14:textId="77777777" w:rsidR="00FE01F8" w:rsidRPr="000E2305" w:rsidRDefault="00FE01F8" w:rsidP="00FE01F8">
            <w:pPr>
              <w:spacing w:before="0" w:after="0" w:line="240" w:lineRule="auto"/>
              <w:jc w:val="center"/>
              <w:rPr>
                <w:rFonts w:asciiTheme="minorHAnsi" w:hAnsiTheme="minorHAnsi" w:cstheme="minorHAnsi"/>
                <w:noProof/>
                <w:sz w:val="16"/>
                <w:szCs w:val="16"/>
              </w:rPr>
            </w:pPr>
            <w:r w:rsidRPr="000E2305">
              <w:rPr>
                <w:rFonts w:asciiTheme="minorHAnsi" w:hAnsiTheme="minorHAnsi" w:cstheme="minorHAnsi"/>
                <w:noProof/>
                <w:sz w:val="16"/>
                <w:szCs w:val="16"/>
              </w:rPr>
              <w:t>N</w:t>
            </w:r>
          </w:p>
        </w:tc>
      </w:tr>
      <w:tr w:rsidR="000120E1" w:rsidRPr="000E2305" w14:paraId="0995D270" w14:textId="77777777" w:rsidTr="000212D1">
        <w:trPr>
          <w:cantSplit/>
        </w:trPr>
        <w:tc>
          <w:tcPr>
            <w:tcW w:w="169" w:type="pct"/>
            <w:shd w:val="clear" w:color="auto" w:fill="FFFF00"/>
            <w:vAlign w:val="center"/>
          </w:tcPr>
          <w:p w14:paraId="5345C7F1" w14:textId="77777777" w:rsidR="00FE01F8" w:rsidRPr="000E2305" w:rsidRDefault="00FE01F8" w:rsidP="00FE01F8">
            <w:pPr>
              <w:spacing w:before="0" w:after="0" w:line="240" w:lineRule="auto"/>
              <w:rPr>
                <w:rFonts w:asciiTheme="minorHAnsi" w:hAnsiTheme="minorHAnsi" w:cstheme="minorHAnsi"/>
                <w:b/>
                <w:noProof/>
                <w:sz w:val="16"/>
                <w:szCs w:val="16"/>
              </w:rPr>
            </w:pPr>
          </w:p>
        </w:tc>
        <w:tc>
          <w:tcPr>
            <w:tcW w:w="2291" w:type="pct"/>
          </w:tcPr>
          <w:p w14:paraId="37143F9E" w14:textId="77777777" w:rsidR="00FE01F8" w:rsidRPr="000E2305" w:rsidRDefault="00FE01F8" w:rsidP="00FE01F8">
            <w:pPr>
              <w:spacing w:before="0" w:after="0" w:line="240" w:lineRule="auto"/>
              <w:rPr>
                <w:rFonts w:asciiTheme="minorHAnsi" w:hAnsiTheme="minorHAnsi" w:cstheme="minorHAnsi"/>
                <w:noProof/>
                <w:sz w:val="16"/>
                <w:szCs w:val="16"/>
              </w:rPr>
            </w:pPr>
            <w:r w:rsidRPr="000E2305">
              <w:rPr>
                <w:rFonts w:asciiTheme="minorHAnsi" w:hAnsiTheme="minorHAnsi" w:cstheme="minorHAnsi"/>
                <w:noProof/>
                <w:sz w:val="16"/>
                <w:szCs w:val="16"/>
              </w:rPr>
              <w:t>Does the organisation use a systematic or some other methodological approach to synthesise the evidence (i.e. to assess and summarise the information provided in the studies)? If so, provide details.</w:t>
            </w:r>
          </w:p>
        </w:tc>
        <w:tc>
          <w:tcPr>
            <w:tcW w:w="232" w:type="pct"/>
            <w:vAlign w:val="center"/>
          </w:tcPr>
          <w:p w14:paraId="1ED96CCA" w14:textId="1952E8B5" w:rsidR="00FE01F8" w:rsidRPr="000E2305" w:rsidRDefault="00FE01F8" w:rsidP="00FE01F8">
            <w:pPr>
              <w:spacing w:before="0" w:after="0" w:line="240" w:lineRule="auto"/>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232" w:type="pct"/>
            <w:vAlign w:val="center"/>
          </w:tcPr>
          <w:p w14:paraId="162F3370" w14:textId="77777777" w:rsidR="00FE01F8" w:rsidRPr="000E2305" w:rsidRDefault="00FE01F8" w:rsidP="00FE01F8">
            <w:pPr>
              <w:spacing w:before="0" w:after="0" w:line="240" w:lineRule="auto"/>
              <w:jc w:val="center"/>
              <w:rPr>
                <w:rFonts w:asciiTheme="minorHAnsi" w:hAnsiTheme="minorHAnsi" w:cstheme="minorHAnsi"/>
                <w:noProof/>
                <w:sz w:val="16"/>
                <w:szCs w:val="16"/>
              </w:rPr>
            </w:pPr>
            <w:r w:rsidRPr="000E2305">
              <w:rPr>
                <w:rFonts w:asciiTheme="minorHAnsi" w:hAnsiTheme="minorHAnsi" w:cstheme="minorHAnsi"/>
                <w:noProof/>
                <w:sz w:val="16"/>
                <w:szCs w:val="16"/>
              </w:rPr>
              <w:t>N</w:t>
            </w:r>
          </w:p>
        </w:tc>
        <w:tc>
          <w:tcPr>
            <w:tcW w:w="232" w:type="pct"/>
            <w:vAlign w:val="center"/>
          </w:tcPr>
          <w:p w14:paraId="2BD5100D" w14:textId="77777777" w:rsidR="00FE01F8" w:rsidRPr="000E2305" w:rsidRDefault="00FE01F8" w:rsidP="00FE01F8">
            <w:pPr>
              <w:spacing w:before="0" w:after="0" w:line="240" w:lineRule="auto"/>
              <w:jc w:val="center"/>
              <w:rPr>
                <w:rFonts w:asciiTheme="minorHAnsi" w:hAnsiTheme="minorHAnsi" w:cstheme="minorHAnsi"/>
                <w:noProof/>
                <w:sz w:val="16"/>
                <w:szCs w:val="16"/>
              </w:rPr>
            </w:pPr>
            <w:r w:rsidRPr="000E2305">
              <w:rPr>
                <w:rFonts w:asciiTheme="minorHAnsi" w:hAnsiTheme="minorHAnsi" w:cstheme="minorHAnsi"/>
                <w:noProof/>
                <w:sz w:val="16"/>
                <w:szCs w:val="16"/>
              </w:rPr>
              <w:t>N</w:t>
            </w:r>
          </w:p>
        </w:tc>
        <w:tc>
          <w:tcPr>
            <w:tcW w:w="232" w:type="pct"/>
            <w:vAlign w:val="center"/>
          </w:tcPr>
          <w:p w14:paraId="27D59DB0" w14:textId="16884AAD" w:rsidR="00FE01F8" w:rsidRPr="000E2305" w:rsidRDefault="006110F6" w:rsidP="00FE01F8">
            <w:pPr>
              <w:spacing w:before="0" w:after="0" w:line="240" w:lineRule="auto"/>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232" w:type="pct"/>
            <w:vAlign w:val="center"/>
          </w:tcPr>
          <w:p w14:paraId="490F300B" w14:textId="77777777" w:rsidR="00FE01F8" w:rsidRPr="000E2305" w:rsidRDefault="00FE01F8" w:rsidP="00FE01F8">
            <w:pPr>
              <w:spacing w:before="0" w:after="0" w:line="240" w:lineRule="auto"/>
              <w:jc w:val="center"/>
              <w:rPr>
                <w:rFonts w:asciiTheme="minorHAnsi" w:hAnsiTheme="minorHAnsi" w:cstheme="minorHAnsi"/>
                <w:noProof/>
                <w:sz w:val="16"/>
                <w:szCs w:val="16"/>
              </w:rPr>
            </w:pPr>
            <w:r w:rsidRPr="000E2305">
              <w:rPr>
                <w:rFonts w:asciiTheme="minorHAnsi" w:hAnsiTheme="minorHAnsi" w:cstheme="minorHAnsi"/>
                <w:noProof/>
                <w:sz w:val="16"/>
                <w:szCs w:val="16"/>
              </w:rPr>
              <w:t>N</w:t>
            </w:r>
          </w:p>
        </w:tc>
        <w:tc>
          <w:tcPr>
            <w:tcW w:w="232" w:type="pct"/>
            <w:vAlign w:val="center"/>
          </w:tcPr>
          <w:p w14:paraId="66B2FE4B" w14:textId="77777777" w:rsidR="00FE01F8" w:rsidRPr="000E2305" w:rsidRDefault="00FE01F8" w:rsidP="00FE01F8">
            <w:pPr>
              <w:spacing w:before="0" w:after="0" w:line="240" w:lineRule="auto"/>
              <w:jc w:val="center"/>
              <w:rPr>
                <w:rFonts w:asciiTheme="minorHAnsi" w:hAnsiTheme="minorHAnsi" w:cstheme="minorHAnsi"/>
                <w:noProof/>
                <w:sz w:val="16"/>
                <w:szCs w:val="16"/>
              </w:rPr>
            </w:pPr>
            <w:r w:rsidRPr="000E2305">
              <w:rPr>
                <w:rFonts w:asciiTheme="minorHAnsi" w:hAnsiTheme="minorHAnsi" w:cstheme="minorHAnsi"/>
                <w:noProof/>
                <w:sz w:val="16"/>
                <w:szCs w:val="16"/>
              </w:rPr>
              <w:t>N</w:t>
            </w:r>
          </w:p>
        </w:tc>
        <w:tc>
          <w:tcPr>
            <w:tcW w:w="232" w:type="pct"/>
            <w:shd w:val="clear" w:color="auto" w:fill="FFFF00"/>
            <w:vAlign w:val="center"/>
          </w:tcPr>
          <w:p w14:paraId="7BD27D73" w14:textId="533EF876" w:rsidR="00FE01F8" w:rsidRPr="000E2305" w:rsidRDefault="006110F6" w:rsidP="00FE01F8">
            <w:pPr>
              <w:spacing w:before="0" w:after="0" w:line="240" w:lineRule="auto"/>
              <w:jc w:val="center"/>
              <w:rPr>
                <w:rFonts w:asciiTheme="minorHAnsi" w:hAnsiTheme="minorHAnsi" w:cstheme="minorHAnsi"/>
                <w:noProof/>
                <w:sz w:val="16"/>
                <w:szCs w:val="16"/>
              </w:rPr>
            </w:pPr>
            <w:r>
              <w:rPr>
                <w:rFonts w:asciiTheme="minorHAnsi" w:hAnsiTheme="minorHAnsi" w:cstheme="minorHAnsi"/>
                <w:noProof/>
                <w:sz w:val="16"/>
                <w:szCs w:val="16"/>
              </w:rPr>
              <w:t>Y</w:t>
            </w:r>
          </w:p>
        </w:tc>
        <w:tc>
          <w:tcPr>
            <w:tcW w:w="232" w:type="pct"/>
            <w:vAlign w:val="center"/>
          </w:tcPr>
          <w:p w14:paraId="5523AECB" w14:textId="77777777" w:rsidR="00FE01F8" w:rsidRPr="000E2305" w:rsidRDefault="00FE01F8" w:rsidP="00FE01F8">
            <w:pPr>
              <w:spacing w:before="0" w:after="0" w:line="240" w:lineRule="auto"/>
              <w:jc w:val="center"/>
              <w:rPr>
                <w:rFonts w:asciiTheme="minorHAnsi" w:hAnsiTheme="minorHAnsi" w:cstheme="minorHAnsi"/>
                <w:noProof/>
                <w:sz w:val="16"/>
                <w:szCs w:val="16"/>
              </w:rPr>
            </w:pPr>
            <w:r w:rsidRPr="000E2305">
              <w:rPr>
                <w:rFonts w:asciiTheme="minorHAnsi" w:hAnsiTheme="minorHAnsi" w:cstheme="minorHAnsi"/>
                <w:noProof/>
                <w:sz w:val="16"/>
                <w:szCs w:val="16"/>
              </w:rPr>
              <w:t>N</w:t>
            </w:r>
          </w:p>
        </w:tc>
        <w:tc>
          <w:tcPr>
            <w:tcW w:w="232" w:type="pct"/>
            <w:vAlign w:val="center"/>
          </w:tcPr>
          <w:p w14:paraId="54F59210" w14:textId="77777777" w:rsidR="00FE01F8" w:rsidRPr="000E2305" w:rsidRDefault="00FE01F8" w:rsidP="00FE01F8">
            <w:pPr>
              <w:spacing w:before="0" w:after="0" w:line="240" w:lineRule="auto"/>
              <w:jc w:val="center"/>
              <w:rPr>
                <w:rFonts w:asciiTheme="minorHAnsi" w:hAnsiTheme="minorHAnsi" w:cstheme="minorHAnsi"/>
                <w:noProof/>
                <w:sz w:val="16"/>
                <w:szCs w:val="16"/>
              </w:rPr>
            </w:pPr>
            <w:r w:rsidRPr="000E2305">
              <w:rPr>
                <w:rFonts w:asciiTheme="minorHAnsi" w:hAnsiTheme="minorHAnsi" w:cstheme="minorHAnsi"/>
                <w:noProof/>
                <w:sz w:val="16"/>
                <w:szCs w:val="16"/>
              </w:rPr>
              <w:t>N</w:t>
            </w:r>
          </w:p>
        </w:tc>
        <w:tc>
          <w:tcPr>
            <w:tcW w:w="232" w:type="pct"/>
            <w:vAlign w:val="center"/>
          </w:tcPr>
          <w:p w14:paraId="6BF1545D" w14:textId="77777777" w:rsidR="00FE01F8" w:rsidRPr="000E2305" w:rsidRDefault="00FE01F8" w:rsidP="00FE01F8">
            <w:pPr>
              <w:spacing w:before="0" w:after="0" w:line="240" w:lineRule="auto"/>
              <w:jc w:val="center"/>
              <w:rPr>
                <w:rFonts w:asciiTheme="minorHAnsi" w:hAnsiTheme="minorHAnsi" w:cstheme="minorHAnsi"/>
                <w:noProof/>
                <w:sz w:val="16"/>
                <w:szCs w:val="16"/>
              </w:rPr>
            </w:pPr>
            <w:r w:rsidRPr="000E2305">
              <w:rPr>
                <w:rFonts w:asciiTheme="minorHAnsi" w:hAnsiTheme="minorHAnsi" w:cstheme="minorHAnsi"/>
                <w:noProof/>
                <w:sz w:val="16"/>
                <w:szCs w:val="16"/>
              </w:rPr>
              <w:t>N</w:t>
            </w:r>
          </w:p>
        </w:tc>
        <w:tc>
          <w:tcPr>
            <w:tcW w:w="220" w:type="pct"/>
            <w:vAlign w:val="center"/>
          </w:tcPr>
          <w:p w14:paraId="243E6AD9" w14:textId="623997C0" w:rsidR="00FE01F8" w:rsidRPr="000E2305" w:rsidRDefault="00A422BB" w:rsidP="00FE01F8">
            <w:pPr>
              <w:spacing w:before="0" w:after="0" w:line="240" w:lineRule="auto"/>
              <w:jc w:val="center"/>
              <w:rPr>
                <w:rFonts w:asciiTheme="minorHAnsi" w:hAnsiTheme="minorHAnsi" w:cstheme="minorHAnsi"/>
                <w:noProof/>
                <w:sz w:val="16"/>
                <w:szCs w:val="16"/>
              </w:rPr>
            </w:pPr>
            <w:r>
              <w:rPr>
                <w:rFonts w:asciiTheme="minorHAnsi" w:hAnsiTheme="minorHAnsi" w:cstheme="minorHAnsi"/>
                <w:noProof/>
                <w:sz w:val="16"/>
                <w:szCs w:val="16"/>
              </w:rPr>
              <w:t>Can’t tell</w:t>
            </w:r>
          </w:p>
        </w:tc>
      </w:tr>
      <w:tr w:rsidR="006110F6" w:rsidRPr="000E2305" w14:paraId="2C9A10F6" w14:textId="77777777" w:rsidTr="000212D1">
        <w:trPr>
          <w:cantSplit/>
        </w:trPr>
        <w:tc>
          <w:tcPr>
            <w:tcW w:w="169" w:type="pct"/>
            <w:shd w:val="clear" w:color="auto" w:fill="FFFF00"/>
            <w:vAlign w:val="center"/>
          </w:tcPr>
          <w:p w14:paraId="53B6D0BA" w14:textId="77777777" w:rsidR="00FE01F8" w:rsidRPr="000E2305" w:rsidRDefault="00FE01F8" w:rsidP="00FE01F8">
            <w:pPr>
              <w:spacing w:before="0" w:after="0" w:line="240" w:lineRule="auto"/>
              <w:rPr>
                <w:rFonts w:asciiTheme="minorHAnsi" w:hAnsiTheme="minorHAnsi" w:cstheme="minorHAnsi"/>
                <w:b/>
                <w:noProof/>
                <w:sz w:val="16"/>
                <w:szCs w:val="16"/>
              </w:rPr>
            </w:pPr>
          </w:p>
        </w:tc>
        <w:tc>
          <w:tcPr>
            <w:tcW w:w="2291" w:type="pct"/>
          </w:tcPr>
          <w:p w14:paraId="277258B2" w14:textId="77777777" w:rsidR="00FE01F8" w:rsidRPr="000E2305" w:rsidRDefault="00FE01F8" w:rsidP="00FE01F8">
            <w:pPr>
              <w:spacing w:before="0" w:after="0" w:line="240" w:lineRule="auto"/>
              <w:rPr>
                <w:rFonts w:asciiTheme="minorHAnsi" w:hAnsiTheme="minorHAnsi" w:cstheme="minorHAnsi"/>
                <w:noProof/>
                <w:sz w:val="16"/>
                <w:szCs w:val="16"/>
              </w:rPr>
            </w:pPr>
            <w:r w:rsidRPr="000E2305">
              <w:rPr>
                <w:rFonts w:asciiTheme="minorHAnsi" w:hAnsiTheme="minorHAnsi" w:cstheme="minorHAnsi"/>
                <w:noProof/>
                <w:sz w:val="16"/>
                <w:szCs w:val="16"/>
              </w:rPr>
              <w:t>Does the organisation assess the overall certainty of the evidence and reach recommendations? If so, provide details.</w:t>
            </w:r>
          </w:p>
        </w:tc>
        <w:tc>
          <w:tcPr>
            <w:tcW w:w="232" w:type="pct"/>
            <w:vAlign w:val="center"/>
          </w:tcPr>
          <w:p w14:paraId="68C1786F" w14:textId="77777777" w:rsidR="00FE01F8" w:rsidRPr="000E2305" w:rsidRDefault="00FE01F8" w:rsidP="00FE01F8">
            <w:pPr>
              <w:spacing w:before="0" w:after="0" w:line="240" w:lineRule="auto"/>
              <w:jc w:val="center"/>
              <w:rPr>
                <w:rFonts w:asciiTheme="minorHAnsi" w:hAnsiTheme="minorHAnsi" w:cstheme="minorHAnsi"/>
                <w:noProof/>
                <w:sz w:val="16"/>
                <w:szCs w:val="16"/>
              </w:rPr>
            </w:pPr>
            <w:r w:rsidRPr="000E2305">
              <w:rPr>
                <w:rFonts w:asciiTheme="minorHAnsi" w:hAnsiTheme="minorHAnsi" w:cstheme="minorHAnsi"/>
                <w:noProof/>
                <w:sz w:val="16"/>
                <w:szCs w:val="16"/>
              </w:rPr>
              <w:t>N</w:t>
            </w:r>
          </w:p>
        </w:tc>
        <w:tc>
          <w:tcPr>
            <w:tcW w:w="232" w:type="pct"/>
            <w:vAlign w:val="center"/>
          </w:tcPr>
          <w:p w14:paraId="61361702" w14:textId="77777777" w:rsidR="00FE01F8" w:rsidRPr="000E2305" w:rsidRDefault="00FE01F8" w:rsidP="00FE01F8">
            <w:pPr>
              <w:spacing w:before="0" w:after="0" w:line="240" w:lineRule="auto"/>
              <w:jc w:val="center"/>
              <w:rPr>
                <w:rFonts w:asciiTheme="minorHAnsi" w:hAnsiTheme="minorHAnsi" w:cstheme="minorHAnsi"/>
                <w:noProof/>
                <w:sz w:val="16"/>
                <w:szCs w:val="16"/>
              </w:rPr>
            </w:pPr>
            <w:r w:rsidRPr="000E2305">
              <w:rPr>
                <w:rFonts w:asciiTheme="minorHAnsi" w:hAnsiTheme="minorHAnsi" w:cstheme="minorHAnsi"/>
                <w:noProof/>
                <w:sz w:val="16"/>
                <w:szCs w:val="16"/>
              </w:rPr>
              <w:t>N</w:t>
            </w:r>
          </w:p>
        </w:tc>
        <w:tc>
          <w:tcPr>
            <w:tcW w:w="232" w:type="pct"/>
            <w:vAlign w:val="center"/>
          </w:tcPr>
          <w:p w14:paraId="731D9C03" w14:textId="77777777" w:rsidR="00FE01F8" w:rsidRPr="000E2305" w:rsidRDefault="00FE01F8" w:rsidP="00FE01F8">
            <w:pPr>
              <w:spacing w:before="0" w:after="0" w:line="240" w:lineRule="auto"/>
              <w:jc w:val="center"/>
              <w:rPr>
                <w:rFonts w:asciiTheme="minorHAnsi" w:hAnsiTheme="minorHAnsi" w:cstheme="minorHAnsi"/>
                <w:noProof/>
                <w:sz w:val="16"/>
                <w:szCs w:val="16"/>
              </w:rPr>
            </w:pPr>
            <w:r w:rsidRPr="000E2305">
              <w:rPr>
                <w:rFonts w:asciiTheme="minorHAnsi" w:hAnsiTheme="minorHAnsi" w:cstheme="minorHAnsi"/>
                <w:noProof/>
                <w:sz w:val="16"/>
                <w:szCs w:val="16"/>
              </w:rPr>
              <w:t>N</w:t>
            </w:r>
          </w:p>
        </w:tc>
        <w:tc>
          <w:tcPr>
            <w:tcW w:w="232" w:type="pct"/>
            <w:vAlign w:val="center"/>
          </w:tcPr>
          <w:p w14:paraId="51F71BB2" w14:textId="387D07B9" w:rsidR="00FE01F8" w:rsidRPr="000E2305" w:rsidRDefault="006110F6" w:rsidP="00FE01F8">
            <w:pPr>
              <w:spacing w:before="0" w:after="0" w:line="240" w:lineRule="auto"/>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232" w:type="pct"/>
            <w:vAlign w:val="center"/>
          </w:tcPr>
          <w:p w14:paraId="0FEE5834" w14:textId="77777777" w:rsidR="00FE01F8" w:rsidRPr="000E2305" w:rsidRDefault="00FE01F8" w:rsidP="00FE01F8">
            <w:pPr>
              <w:spacing w:before="0" w:after="0" w:line="240" w:lineRule="auto"/>
              <w:jc w:val="center"/>
              <w:rPr>
                <w:rFonts w:asciiTheme="minorHAnsi" w:hAnsiTheme="minorHAnsi" w:cstheme="minorHAnsi"/>
                <w:noProof/>
                <w:sz w:val="16"/>
                <w:szCs w:val="16"/>
              </w:rPr>
            </w:pPr>
            <w:r w:rsidRPr="000E2305">
              <w:rPr>
                <w:rFonts w:asciiTheme="minorHAnsi" w:hAnsiTheme="minorHAnsi" w:cstheme="minorHAnsi"/>
                <w:noProof/>
                <w:sz w:val="16"/>
                <w:szCs w:val="16"/>
              </w:rPr>
              <w:t>N</w:t>
            </w:r>
          </w:p>
        </w:tc>
        <w:tc>
          <w:tcPr>
            <w:tcW w:w="232" w:type="pct"/>
            <w:vAlign w:val="center"/>
          </w:tcPr>
          <w:p w14:paraId="45BA82E1" w14:textId="77777777" w:rsidR="00FE01F8" w:rsidRPr="000E2305" w:rsidRDefault="00FE01F8" w:rsidP="00FE01F8">
            <w:pPr>
              <w:spacing w:before="0" w:after="0" w:line="240" w:lineRule="auto"/>
              <w:jc w:val="center"/>
              <w:rPr>
                <w:rFonts w:asciiTheme="minorHAnsi" w:hAnsiTheme="minorHAnsi" w:cstheme="minorHAnsi"/>
                <w:noProof/>
                <w:sz w:val="16"/>
                <w:szCs w:val="16"/>
              </w:rPr>
            </w:pPr>
            <w:r w:rsidRPr="000E2305">
              <w:rPr>
                <w:rFonts w:asciiTheme="minorHAnsi" w:hAnsiTheme="minorHAnsi" w:cstheme="minorHAnsi"/>
                <w:noProof/>
                <w:sz w:val="16"/>
                <w:szCs w:val="16"/>
              </w:rPr>
              <w:t>N</w:t>
            </w:r>
          </w:p>
        </w:tc>
        <w:tc>
          <w:tcPr>
            <w:tcW w:w="232" w:type="pct"/>
            <w:shd w:val="clear" w:color="auto" w:fill="FFFF00"/>
            <w:vAlign w:val="center"/>
          </w:tcPr>
          <w:p w14:paraId="1F3BD03A" w14:textId="61D23093" w:rsidR="00FE01F8" w:rsidRPr="000E2305" w:rsidRDefault="006110F6" w:rsidP="00FE01F8">
            <w:pPr>
              <w:spacing w:before="0" w:after="0" w:line="240" w:lineRule="auto"/>
              <w:jc w:val="center"/>
              <w:rPr>
                <w:rFonts w:asciiTheme="minorHAnsi" w:hAnsiTheme="minorHAnsi" w:cstheme="minorHAnsi"/>
                <w:noProof/>
                <w:sz w:val="16"/>
                <w:szCs w:val="16"/>
              </w:rPr>
            </w:pPr>
            <w:r>
              <w:rPr>
                <w:rFonts w:asciiTheme="minorHAnsi" w:hAnsiTheme="minorHAnsi" w:cstheme="minorHAnsi"/>
                <w:noProof/>
                <w:sz w:val="16"/>
                <w:szCs w:val="16"/>
              </w:rPr>
              <w:t>Y</w:t>
            </w:r>
          </w:p>
        </w:tc>
        <w:tc>
          <w:tcPr>
            <w:tcW w:w="232" w:type="pct"/>
            <w:vAlign w:val="center"/>
          </w:tcPr>
          <w:p w14:paraId="54AFF66B" w14:textId="465B42A8" w:rsidR="000120E1" w:rsidRPr="000E2305" w:rsidRDefault="000120E1" w:rsidP="00CD2A88">
            <w:pPr>
              <w:spacing w:before="0" w:after="0" w:line="240" w:lineRule="auto"/>
              <w:jc w:val="center"/>
              <w:rPr>
                <w:rFonts w:asciiTheme="minorHAnsi" w:hAnsiTheme="minorHAnsi" w:cstheme="minorHAnsi"/>
                <w:noProof/>
                <w:sz w:val="16"/>
                <w:szCs w:val="16"/>
              </w:rPr>
            </w:pPr>
            <w:r>
              <w:rPr>
                <w:rFonts w:asciiTheme="minorHAnsi" w:hAnsiTheme="minorHAnsi" w:cstheme="minorHAnsi"/>
                <w:noProof/>
                <w:sz w:val="16"/>
                <w:szCs w:val="16"/>
              </w:rPr>
              <w:t>Can’t tell</w:t>
            </w:r>
          </w:p>
        </w:tc>
        <w:tc>
          <w:tcPr>
            <w:tcW w:w="232" w:type="pct"/>
            <w:shd w:val="clear" w:color="auto" w:fill="FFFF00"/>
            <w:vAlign w:val="center"/>
          </w:tcPr>
          <w:p w14:paraId="7D8D4D4B" w14:textId="17831721" w:rsidR="00FE01F8" w:rsidRPr="000E2305" w:rsidRDefault="003C7709" w:rsidP="00FE01F8">
            <w:pPr>
              <w:spacing w:before="0" w:after="0" w:line="240" w:lineRule="auto"/>
              <w:jc w:val="center"/>
              <w:rPr>
                <w:rFonts w:asciiTheme="minorHAnsi" w:hAnsiTheme="minorHAnsi" w:cstheme="minorHAnsi"/>
                <w:noProof/>
                <w:sz w:val="16"/>
                <w:szCs w:val="16"/>
              </w:rPr>
            </w:pPr>
            <w:r>
              <w:rPr>
                <w:rFonts w:asciiTheme="minorHAnsi" w:hAnsiTheme="minorHAnsi" w:cstheme="minorHAnsi"/>
                <w:noProof/>
                <w:sz w:val="16"/>
                <w:szCs w:val="16"/>
              </w:rPr>
              <w:t>Y</w:t>
            </w:r>
          </w:p>
        </w:tc>
        <w:tc>
          <w:tcPr>
            <w:tcW w:w="232" w:type="pct"/>
            <w:vAlign w:val="center"/>
          </w:tcPr>
          <w:p w14:paraId="30DB4210" w14:textId="77777777" w:rsidR="00FE01F8" w:rsidRPr="000E2305" w:rsidRDefault="00FE01F8" w:rsidP="00FE01F8">
            <w:pPr>
              <w:spacing w:before="0" w:after="0" w:line="240" w:lineRule="auto"/>
              <w:jc w:val="center"/>
              <w:rPr>
                <w:rFonts w:asciiTheme="minorHAnsi" w:hAnsiTheme="minorHAnsi" w:cstheme="minorHAnsi"/>
                <w:noProof/>
                <w:sz w:val="16"/>
                <w:szCs w:val="16"/>
              </w:rPr>
            </w:pPr>
            <w:r w:rsidRPr="000E2305">
              <w:rPr>
                <w:rFonts w:asciiTheme="minorHAnsi" w:hAnsiTheme="minorHAnsi" w:cstheme="minorHAnsi"/>
                <w:noProof/>
                <w:sz w:val="16"/>
                <w:szCs w:val="16"/>
              </w:rPr>
              <w:t>N</w:t>
            </w:r>
          </w:p>
        </w:tc>
        <w:tc>
          <w:tcPr>
            <w:tcW w:w="220" w:type="pct"/>
            <w:vAlign w:val="center"/>
          </w:tcPr>
          <w:p w14:paraId="6682378D" w14:textId="1A9AA168" w:rsidR="00FE01F8" w:rsidRPr="000E2305" w:rsidRDefault="00A422BB" w:rsidP="00FE01F8">
            <w:pPr>
              <w:spacing w:before="0" w:after="0" w:line="240" w:lineRule="auto"/>
              <w:jc w:val="center"/>
              <w:rPr>
                <w:rFonts w:asciiTheme="minorHAnsi" w:hAnsiTheme="minorHAnsi" w:cstheme="minorHAnsi"/>
                <w:noProof/>
                <w:sz w:val="16"/>
                <w:szCs w:val="16"/>
              </w:rPr>
            </w:pPr>
            <w:r>
              <w:rPr>
                <w:rFonts w:asciiTheme="minorHAnsi" w:hAnsiTheme="minorHAnsi" w:cstheme="minorHAnsi"/>
                <w:noProof/>
                <w:sz w:val="16"/>
                <w:szCs w:val="16"/>
              </w:rPr>
              <w:t>Can’t tell</w:t>
            </w:r>
          </w:p>
        </w:tc>
      </w:tr>
      <w:tr w:rsidR="00FE01F8" w:rsidRPr="000E2305" w14:paraId="3F479DE9" w14:textId="77777777" w:rsidTr="000212D1">
        <w:trPr>
          <w:cantSplit/>
        </w:trPr>
        <w:tc>
          <w:tcPr>
            <w:tcW w:w="169" w:type="pct"/>
            <w:shd w:val="clear" w:color="auto" w:fill="D6EAEB"/>
            <w:vAlign w:val="center"/>
          </w:tcPr>
          <w:p w14:paraId="2D89870F" w14:textId="77777777" w:rsidR="00FE01F8" w:rsidRPr="000E2305" w:rsidRDefault="00FE01F8" w:rsidP="00FE01F8">
            <w:pPr>
              <w:keepNext/>
              <w:spacing w:before="0" w:after="0" w:line="240" w:lineRule="auto"/>
              <w:rPr>
                <w:rFonts w:asciiTheme="minorHAnsi" w:hAnsiTheme="minorHAnsi" w:cstheme="minorHAnsi"/>
                <w:b/>
                <w:noProof/>
                <w:sz w:val="16"/>
                <w:szCs w:val="16"/>
              </w:rPr>
            </w:pPr>
          </w:p>
        </w:tc>
        <w:tc>
          <w:tcPr>
            <w:tcW w:w="2291" w:type="pct"/>
            <w:shd w:val="clear" w:color="auto" w:fill="D6EAEB"/>
            <w:vAlign w:val="center"/>
          </w:tcPr>
          <w:p w14:paraId="100F0E30" w14:textId="77777777" w:rsidR="00FE01F8" w:rsidRPr="000E2305" w:rsidRDefault="00FE01F8" w:rsidP="00FE01F8">
            <w:pPr>
              <w:keepNext/>
              <w:spacing w:before="0" w:after="0" w:line="240" w:lineRule="auto"/>
              <w:rPr>
                <w:rFonts w:asciiTheme="minorHAnsi" w:hAnsiTheme="minorHAnsi" w:cstheme="minorHAnsi"/>
                <w:b/>
                <w:noProof/>
                <w:sz w:val="16"/>
                <w:szCs w:val="16"/>
              </w:rPr>
            </w:pPr>
            <w:r w:rsidRPr="000E2305">
              <w:rPr>
                <w:rFonts w:asciiTheme="minorHAnsi" w:hAnsiTheme="minorHAnsi" w:cstheme="minorHAnsi"/>
                <w:b/>
                <w:noProof/>
                <w:sz w:val="16"/>
                <w:szCs w:val="16"/>
              </w:rPr>
              <w:t>Derivation of health-based guideline values*</w:t>
            </w:r>
          </w:p>
        </w:tc>
        <w:tc>
          <w:tcPr>
            <w:tcW w:w="232" w:type="pct"/>
            <w:shd w:val="clear" w:color="auto" w:fill="D6EAEB"/>
            <w:vAlign w:val="center"/>
          </w:tcPr>
          <w:p w14:paraId="2CA002B5" w14:textId="77777777" w:rsidR="00FE01F8" w:rsidRPr="000E2305" w:rsidRDefault="00FE01F8" w:rsidP="00FE01F8">
            <w:pPr>
              <w:keepNext/>
              <w:spacing w:before="0" w:after="0" w:line="240" w:lineRule="auto"/>
              <w:jc w:val="center"/>
              <w:rPr>
                <w:rFonts w:asciiTheme="minorHAnsi" w:hAnsiTheme="minorHAnsi" w:cstheme="minorHAnsi"/>
                <w:b/>
                <w:noProof/>
                <w:sz w:val="16"/>
                <w:szCs w:val="16"/>
              </w:rPr>
            </w:pPr>
          </w:p>
        </w:tc>
        <w:tc>
          <w:tcPr>
            <w:tcW w:w="232" w:type="pct"/>
            <w:shd w:val="clear" w:color="auto" w:fill="D6EAEB"/>
            <w:vAlign w:val="center"/>
          </w:tcPr>
          <w:p w14:paraId="1194A73C" w14:textId="77777777" w:rsidR="00FE01F8" w:rsidRPr="000E2305" w:rsidRDefault="00FE01F8" w:rsidP="00FE01F8">
            <w:pPr>
              <w:keepNext/>
              <w:spacing w:before="0" w:after="0" w:line="240" w:lineRule="auto"/>
              <w:jc w:val="center"/>
              <w:rPr>
                <w:rFonts w:asciiTheme="minorHAnsi" w:hAnsiTheme="minorHAnsi" w:cstheme="minorHAnsi"/>
                <w:b/>
                <w:noProof/>
                <w:sz w:val="16"/>
                <w:szCs w:val="16"/>
              </w:rPr>
            </w:pPr>
          </w:p>
        </w:tc>
        <w:tc>
          <w:tcPr>
            <w:tcW w:w="232" w:type="pct"/>
            <w:shd w:val="clear" w:color="auto" w:fill="D6EAEB"/>
            <w:vAlign w:val="center"/>
          </w:tcPr>
          <w:p w14:paraId="0EE0553C" w14:textId="77777777" w:rsidR="00FE01F8" w:rsidRPr="000E2305" w:rsidRDefault="00FE01F8" w:rsidP="00FE01F8">
            <w:pPr>
              <w:keepNext/>
              <w:spacing w:before="0" w:after="0" w:line="240" w:lineRule="auto"/>
              <w:jc w:val="center"/>
              <w:rPr>
                <w:rFonts w:asciiTheme="minorHAnsi" w:hAnsiTheme="minorHAnsi" w:cstheme="minorHAnsi"/>
                <w:b/>
                <w:noProof/>
                <w:sz w:val="16"/>
                <w:szCs w:val="16"/>
              </w:rPr>
            </w:pPr>
          </w:p>
        </w:tc>
        <w:tc>
          <w:tcPr>
            <w:tcW w:w="232" w:type="pct"/>
            <w:shd w:val="clear" w:color="auto" w:fill="D6EAEB"/>
            <w:vAlign w:val="center"/>
          </w:tcPr>
          <w:p w14:paraId="4F328742" w14:textId="77777777" w:rsidR="00FE01F8" w:rsidRPr="000E2305" w:rsidRDefault="00FE01F8" w:rsidP="00FE01F8">
            <w:pPr>
              <w:keepNext/>
              <w:spacing w:before="0" w:after="0" w:line="240" w:lineRule="auto"/>
              <w:jc w:val="center"/>
              <w:rPr>
                <w:rFonts w:asciiTheme="minorHAnsi" w:hAnsiTheme="minorHAnsi" w:cstheme="minorHAnsi"/>
                <w:b/>
                <w:noProof/>
                <w:sz w:val="16"/>
                <w:szCs w:val="16"/>
              </w:rPr>
            </w:pPr>
          </w:p>
        </w:tc>
        <w:tc>
          <w:tcPr>
            <w:tcW w:w="232" w:type="pct"/>
            <w:shd w:val="clear" w:color="auto" w:fill="D6EAEB"/>
            <w:vAlign w:val="center"/>
          </w:tcPr>
          <w:p w14:paraId="607BCC1C" w14:textId="77777777" w:rsidR="00FE01F8" w:rsidRPr="000E2305" w:rsidRDefault="00FE01F8" w:rsidP="00FE01F8">
            <w:pPr>
              <w:keepNext/>
              <w:spacing w:before="0" w:after="0" w:line="240" w:lineRule="auto"/>
              <w:jc w:val="center"/>
              <w:rPr>
                <w:rFonts w:asciiTheme="minorHAnsi" w:hAnsiTheme="minorHAnsi" w:cstheme="minorHAnsi"/>
                <w:b/>
                <w:noProof/>
                <w:sz w:val="16"/>
                <w:szCs w:val="16"/>
              </w:rPr>
            </w:pPr>
          </w:p>
        </w:tc>
        <w:tc>
          <w:tcPr>
            <w:tcW w:w="232" w:type="pct"/>
            <w:shd w:val="clear" w:color="auto" w:fill="D6EAEB"/>
            <w:vAlign w:val="center"/>
          </w:tcPr>
          <w:p w14:paraId="085245E9" w14:textId="77777777" w:rsidR="00FE01F8" w:rsidRPr="000E2305" w:rsidRDefault="00FE01F8" w:rsidP="00FE01F8">
            <w:pPr>
              <w:keepNext/>
              <w:spacing w:before="0" w:after="0" w:line="240" w:lineRule="auto"/>
              <w:jc w:val="center"/>
              <w:rPr>
                <w:rFonts w:asciiTheme="minorHAnsi" w:hAnsiTheme="minorHAnsi" w:cstheme="minorHAnsi"/>
                <w:b/>
                <w:noProof/>
                <w:sz w:val="16"/>
                <w:szCs w:val="16"/>
              </w:rPr>
            </w:pPr>
          </w:p>
        </w:tc>
        <w:tc>
          <w:tcPr>
            <w:tcW w:w="232" w:type="pct"/>
            <w:shd w:val="clear" w:color="auto" w:fill="D6EAEB"/>
            <w:vAlign w:val="center"/>
          </w:tcPr>
          <w:p w14:paraId="5750B929" w14:textId="77777777" w:rsidR="00FE01F8" w:rsidRPr="000E2305" w:rsidRDefault="00FE01F8" w:rsidP="00FE01F8">
            <w:pPr>
              <w:keepNext/>
              <w:spacing w:before="0" w:after="0" w:line="240" w:lineRule="auto"/>
              <w:jc w:val="center"/>
              <w:rPr>
                <w:rFonts w:asciiTheme="minorHAnsi" w:hAnsiTheme="minorHAnsi" w:cstheme="minorHAnsi"/>
                <w:b/>
                <w:noProof/>
                <w:sz w:val="16"/>
                <w:szCs w:val="16"/>
              </w:rPr>
            </w:pPr>
          </w:p>
        </w:tc>
        <w:tc>
          <w:tcPr>
            <w:tcW w:w="232" w:type="pct"/>
            <w:shd w:val="clear" w:color="auto" w:fill="D6EAEB"/>
            <w:vAlign w:val="center"/>
          </w:tcPr>
          <w:p w14:paraId="4EDC389A" w14:textId="77777777" w:rsidR="00FE01F8" w:rsidRPr="000E2305" w:rsidRDefault="00FE01F8" w:rsidP="00FE01F8">
            <w:pPr>
              <w:keepNext/>
              <w:spacing w:before="0" w:after="0" w:line="240" w:lineRule="auto"/>
              <w:jc w:val="center"/>
              <w:rPr>
                <w:rFonts w:asciiTheme="minorHAnsi" w:hAnsiTheme="minorHAnsi" w:cstheme="minorHAnsi"/>
                <w:b/>
                <w:noProof/>
                <w:sz w:val="16"/>
                <w:szCs w:val="16"/>
              </w:rPr>
            </w:pPr>
          </w:p>
        </w:tc>
        <w:tc>
          <w:tcPr>
            <w:tcW w:w="232" w:type="pct"/>
            <w:shd w:val="clear" w:color="auto" w:fill="D6EAEB"/>
            <w:vAlign w:val="center"/>
          </w:tcPr>
          <w:p w14:paraId="71745C8F" w14:textId="77777777" w:rsidR="00FE01F8" w:rsidRPr="000E2305" w:rsidRDefault="00FE01F8" w:rsidP="00FE01F8">
            <w:pPr>
              <w:keepNext/>
              <w:spacing w:before="0" w:after="0" w:line="240" w:lineRule="auto"/>
              <w:jc w:val="center"/>
              <w:rPr>
                <w:rFonts w:asciiTheme="minorHAnsi" w:hAnsiTheme="minorHAnsi" w:cstheme="minorHAnsi"/>
                <w:b/>
                <w:noProof/>
                <w:sz w:val="16"/>
                <w:szCs w:val="16"/>
              </w:rPr>
            </w:pPr>
          </w:p>
        </w:tc>
        <w:tc>
          <w:tcPr>
            <w:tcW w:w="232" w:type="pct"/>
            <w:shd w:val="clear" w:color="auto" w:fill="D6EAEB"/>
            <w:vAlign w:val="center"/>
          </w:tcPr>
          <w:p w14:paraId="180FDA61" w14:textId="77777777" w:rsidR="00FE01F8" w:rsidRPr="000E2305" w:rsidRDefault="00FE01F8" w:rsidP="00FE01F8">
            <w:pPr>
              <w:keepNext/>
              <w:spacing w:before="0" w:after="0" w:line="240" w:lineRule="auto"/>
              <w:jc w:val="center"/>
              <w:rPr>
                <w:rFonts w:asciiTheme="minorHAnsi" w:hAnsiTheme="minorHAnsi" w:cstheme="minorHAnsi"/>
                <w:b/>
                <w:noProof/>
                <w:sz w:val="16"/>
                <w:szCs w:val="16"/>
              </w:rPr>
            </w:pPr>
          </w:p>
        </w:tc>
        <w:tc>
          <w:tcPr>
            <w:tcW w:w="220" w:type="pct"/>
            <w:shd w:val="clear" w:color="auto" w:fill="D6EAEB"/>
            <w:vAlign w:val="center"/>
          </w:tcPr>
          <w:p w14:paraId="33397B9A" w14:textId="77777777" w:rsidR="00FE01F8" w:rsidRPr="000E2305" w:rsidRDefault="00FE01F8" w:rsidP="00FE01F8">
            <w:pPr>
              <w:keepNext/>
              <w:spacing w:before="0" w:after="0" w:line="240" w:lineRule="auto"/>
              <w:jc w:val="center"/>
              <w:rPr>
                <w:rFonts w:asciiTheme="minorHAnsi" w:hAnsiTheme="minorHAnsi" w:cstheme="minorHAnsi"/>
                <w:b/>
                <w:noProof/>
                <w:sz w:val="16"/>
                <w:szCs w:val="16"/>
              </w:rPr>
            </w:pPr>
          </w:p>
        </w:tc>
      </w:tr>
      <w:tr w:rsidR="000120E1" w:rsidRPr="000E2305" w14:paraId="0CA9C227" w14:textId="77777777" w:rsidTr="000212D1">
        <w:trPr>
          <w:cantSplit/>
        </w:trPr>
        <w:tc>
          <w:tcPr>
            <w:tcW w:w="169" w:type="pct"/>
            <w:shd w:val="clear" w:color="auto" w:fill="92D050"/>
            <w:vAlign w:val="center"/>
          </w:tcPr>
          <w:p w14:paraId="3981BAC1" w14:textId="77777777" w:rsidR="000120E1" w:rsidRPr="000E2305" w:rsidRDefault="000120E1" w:rsidP="000120E1">
            <w:pPr>
              <w:spacing w:before="0" w:after="0" w:line="240" w:lineRule="auto"/>
              <w:rPr>
                <w:rFonts w:asciiTheme="minorHAnsi" w:hAnsiTheme="minorHAnsi" w:cstheme="minorHAnsi"/>
                <w:b/>
                <w:noProof/>
                <w:sz w:val="16"/>
                <w:szCs w:val="16"/>
              </w:rPr>
            </w:pPr>
          </w:p>
        </w:tc>
        <w:tc>
          <w:tcPr>
            <w:tcW w:w="2291" w:type="pct"/>
          </w:tcPr>
          <w:p w14:paraId="40E6400D" w14:textId="77777777" w:rsidR="000120E1" w:rsidRPr="000E2305" w:rsidRDefault="000120E1" w:rsidP="000120E1">
            <w:pPr>
              <w:spacing w:before="0" w:after="0" w:line="240" w:lineRule="auto"/>
              <w:rPr>
                <w:rFonts w:asciiTheme="minorHAnsi" w:hAnsiTheme="minorHAnsi" w:cstheme="minorHAnsi"/>
                <w:noProof/>
                <w:sz w:val="16"/>
                <w:szCs w:val="16"/>
              </w:rPr>
            </w:pPr>
            <w:r w:rsidRPr="000E2305">
              <w:rPr>
                <w:rFonts w:asciiTheme="minorHAnsi" w:hAnsiTheme="minorHAnsi" w:cstheme="minorHAnsi"/>
                <w:noProof/>
                <w:sz w:val="16"/>
                <w:szCs w:val="16"/>
              </w:rPr>
              <w:t xml:space="preserve">Is there justification for the choice of uncertainty and safety factors? </w:t>
            </w:r>
          </w:p>
        </w:tc>
        <w:tc>
          <w:tcPr>
            <w:tcW w:w="232" w:type="pct"/>
            <w:vAlign w:val="center"/>
          </w:tcPr>
          <w:p w14:paraId="5C340691" w14:textId="42C10490" w:rsidR="000120E1" w:rsidRPr="000E2305" w:rsidRDefault="000120E1" w:rsidP="000120E1">
            <w:pPr>
              <w:spacing w:before="0" w:after="0" w:line="240" w:lineRule="auto"/>
              <w:jc w:val="center"/>
              <w:rPr>
                <w:rFonts w:asciiTheme="minorHAnsi" w:hAnsiTheme="minorHAnsi" w:cstheme="minorHAnsi"/>
                <w:noProof/>
                <w:sz w:val="16"/>
                <w:szCs w:val="16"/>
              </w:rPr>
            </w:pPr>
            <w:r>
              <w:rPr>
                <w:rFonts w:asciiTheme="minorHAnsi" w:hAnsiTheme="minorHAnsi" w:cstheme="minorHAnsi"/>
                <w:noProof/>
                <w:sz w:val="16"/>
                <w:szCs w:val="16"/>
              </w:rPr>
              <w:t>n/a</w:t>
            </w:r>
          </w:p>
        </w:tc>
        <w:tc>
          <w:tcPr>
            <w:tcW w:w="232" w:type="pct"/>
            <w:vAlign w:val="center"/>
          </w:tcPr>
          <w:p w14:paraId="52ECCC54" w14:textId="7491F26F" w:rsidR="000120E1" w:rsidRPr="000E2305" w:rsidRDefault="000120E1" w:rsidP="000120E1">
            <w:pPr>
              <w:spacing w:before="0" w:after="0" w:line="240" w:lineRule="auto"/>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232" w:type="pct"/>
            <w:vAlign w:val="center"/>
          </w:tcPr>
          <w:p w14:paraId="6167A2AE" w14:textId="5BFE692F" w:rsidR="000120E1" w:rsidRPr="000E2305" w:rsidRDefault="000120E1" w:rsidP="000120E1">
            <w:pPr>
              <w:spacing w:before="0" w:after="0" w:line="240" w:lineRule="auto"/>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232" w:type="pct"/>
            <w:vAlign w:val="center"/>
          </w:tcPr>
          <w:p w14:paraId="5FD8EA31" w14:textId="3DDFFA47" w:rsidR="000120E1" w:rsidRPr="000E2305" w:rsidRDefault="000120E1" w:rsidP="000120E1">
            <w:pPr>
              <w:spacing w:before="0" w:after="0" w:line="240" w:lineRule="auto"/>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232" w:type="pct"/>
            <w:vAlign w:val="center"/>
          </w:tcPr>
          <w:p w14:paraId="1F9D32BE" w14:textId="3B9361B8" w:rsidR="000120E1" w:rsidRPr="000E2305" w:rsidRDefault="000120E1" w:rsidP="000120E1">
            <w:pPr>
              <w:spacing w:before="0" w:after="0" w:line="240" w:lineRule="auto"/>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232" w:type="pct"/>
            <w:shd w:val="clear" w:color="auto" w:fill="92D050"/>
            <w:vAlign w:val="center"/>
          </w:tcPr>
          <w:p w14:paraId="6CB06DCD" w14:textId="0BC4F0F9" w:rsidR="000120E1" w:rsidRPr="000E2305" w:rsidRDefault="000120E1" w:rsidP="000120E1">
            <w:pPr>
              <w:spacing w:before="0" w:after="0" w:line="240" w:lineRule="auto"/>
              <w:jc w:val="center"/>
              <w:rPr>
                <w:rFonts w:asciiTheme="minorHAnsi" w:hAnsiTheme="minorHAnsi" w:cstheme="minorHAnsi"/>
                <w:noProof/>
                <w:sz w:val="16"/>
                <w:szCs w:val="16"/>
              </w:rPr>
            </w:pPr>
            <w:r w:rsidRPr="000E2305">
              <w:rPr>
                <w:rFonts w:asciiTheme="minorHAnsi" w:hAnsiTheme="minorHAnsi" w:cstheme="minorHAnsi"/>
                <w:noProof/>
                <w:sz w:val="16"/>
                <w:szCs w:val="16"/>
              </w:rPr>
              <w:t>Y</w:t>
            </w:r>
          </w:p>
        </w:tc>
        <w:tc>
          <w:tcPr>
            <w:tcW w:w="232" w:type="pct"/>
            <w:vAlign w:val="center"/>
          </w:tcPr>
          <w:p w14:paraId="477135F4" w14:textId="77777777" w:rsidR="000120E1" w:rsidRPr="000E2305" w:rsidRDefault="000120E1" w:rsidP="000120E1">
            <w:pPr>
              <w:spacing w:before="0" w:after="0" w:line="240" w:lineRule="auto"/>
              <w:jc w:val="center"/>
              <w:rPr>
                <w:rFonts w:asciiTheme="minorHAnsi" w:hAnsiTheme="minorHAnsi" w:cstheme="minorHAnsi"/>
                <w:noProof/>
                <w:sz w:val="16"/>
                <w:szCs w:val="16"/>
              </w:rPr>
            </w:pPr>
            <w:r w:rsidRPr="000E2305">
              <w:rPr>
                <w:rFonts w:asciiTheme="minorHAnsi" w:hAnsiTheme="minorHAnsi" w:cstheme="minorHAnsi"/>
                <w:noProof/>
                <w:sz w:val="16"/>
                <w:szCs w:val="16"/>
              </w:rPr>
              <w:t>n/a</w:t>
            </w:r>
          </w:p>
        </w:tc>
        <w:tc>
          <w:tcPr>
            <w:tcW w:w="232" w:type="pct"/>
            <w:vAlign w:val="center"/>
          </w:tcPr>
          <w:p w14:paraId="5D2F9B72" w14:textId="6CFC2555" w:rsidR="000120E1" w:rsidRPr="000E2305" w:rsidRDefault="000120E1" w:rsidP="000120E1">
            <w:pPr>
              <w:spacing w:before="0" w:after="0" w:line="240" w:lineRule="auto"/>
              <w:jc w:val="center"/>
              <w:rPr>
                <w:rFonts w:asciiTheme="minorHAnsi" w:hAnsiTheme="minorHAnsi" w:cstheme="minorHAnsi"/>
                <w:noProof/>
                <w:sz w:val="16"/>
                <w:szCs w:val="16"/>
              </w:rPr>
            </w:pPr>
            <w:r w:rsidRPr="000E2305">
              <w:rPr>
                <w:rFonts w:asciiTheme="minorHAnsi" w:hAnsiTheme="minorHAnsi" w:cstheme="minorHAnsi"/>
                <w:noProof/>
                <w:sz w:val="16"/>
                <w:szCs w:val="16"/>
              </w:rPr>
              <w:t>n/a</w:t>
            </w:r>
          </w:p>
        </w:tc>
        <w:tc>
          <w:tcPr>
            <w:tcW w:w="232" w:type="pct"/>
            <w:vAlign w:val="center"/>
          </w:tcPr>
          <w:p w14:paraId="066B3B09" w14:textId="77777777" w:rsidR="000120E1" w:rsidRPr="000E2305" w:rsidRDefault="000120E1" w:rsidP="000120E1">
            <w:pPr>
              <w:spacing w:before="0" w:after="0" w:line="240" w:lineRule="auto"/>
              <w:jc w:val="center"/>
              <w:rPr>
                <w:rFonts w:asciiTheme="minorHAnsi" w:hAnsiTheme="minorHAnsi" w:cstheme="minorHAnsi"/>
                <w:noProof/>
                <w:sz w:val="16"/>
                <w:szCs w:val="16"/>
              </w:rPr>
            </w:pPr>
            <w:r w:rsidRPr="000E2305">
              <w:rPr>
                <w:rFonts w:asciiTheme="minorHAnsi" w:hAnsiTheme="minorHAnsi" w:cstheme="minorHAnsi"/>
                <w:noProof/>
                <w:sz w:val="16"/>
                <w:szCs w:val="16"/>
              </w:rPr>
              <w:t>N</w:t>
            </w:r>
          </w:p>
        </w:tc>
        <w:tc>
          <w:tcPr>
            <w:tcW w:w="232" w:type="pct"/>
            <w:vAlign w:val="center"/>
          </w:tcPr>
          <w:p w14:paraId="5AC47AD8" w14:textId="54509136" w:rsidR="000120E1" w:rsidRPr="000E2305" w:rsidRDefault="000120E1" w:rsidP="000120E1">
            <w:pPr>
              <w:spacing w:before="0" w:after="0" w:line="240" w:lineRule="auto"/>
              <w:jc w:val="center"/>
              <w:rPr>
                <w:rFonts w:asciiTheme="minorHAnsi" w:hAnsiTheme="minorHAnsi" w:cstheme="minorHAnsi"/>
                <w:noProof/>
                <w:sz w:val="16"/>
                <w:szCs w:val="16"/>
              </w:rPr>
            </w:pPr>
            <w:r w:rsidRPr="000E2305">
              <w:rPr>
                <w:rFonts w:asciiTheme="minorHAnsi" w:hAnsiTheme="minorHAnsi" w:cstheme="minorHAnsi"/>
                <w:noProof/>
                <w:sz w:val="16"/>
                <w:szCs w:val="16"/>
              </w:rPr>
              <w:t>n/a</w:t>
            </w:r>
          </w:p>
        </w:tc>
        <w:tc>
          <w:tcPr>
            <w:tcW w:w="220" w:type="pct"/>
            <w:vAlign w:val="center"/>
          </w:tcPr>
          <w:p w14:paraId="3EA9A19C" w14:textId="70C3C199" w:rsidR="000120E1" w:rsidRPr="000E2305" w:rsidRDefault="000120E1" w:rsidP="000120E1">
            <w:pPr>
              <w:spacing w:before="0" w:after="0" w:line="240" w:lineRule="auto"/>
              <w:jc w:val="center"/>
              <w:rPr>
                <w:rFonts w:asciiTheme="minorHAnsi" w:hAnsiTheme="minorHAnsi" w:cstheme="minorHAnsi"/>
                <w:noProof/>
                <w:sz w:val="16"/>
                <w:szCs w:val="16"/>
              </w:rPr>
            </w:pPr>
            <w:r>
              <w:rPr>
                <w:rFonts w:asciiTheme="minorHAnsi" w:hAnsiTheme="minorHAnsi" w:cstheme="minorHAnsi"/>
                <w:noProof/>
                <w:sz w:val="16"/>
                <w:szCs w:val="16"/>
              </w:rPr>
              <w:t>N</w:t>
            </w:r>
          </w:p>
        </w:tc>
      </w:tr>
      <w:tr w:rsidR="000120E1" w:rsidRPr="000E2305" w14:paraId="035E2E36" w14:textId="77777777" w:rsidTr="000212D1">
        <w:trPr>
          <w:cantSplit/>
        </w:trPr>
        <w:tc>
          <w:tcPr>
            <w:tcW w:w="169" w:type="pct"/>
            <w:shd w:val="clear" w:color="auto" w:fill="92D050"/>
            <w:vAlign w:val="center"/>
          </w:tcPr>
          <w:p w14:paraId="678A1BE5" w14:textId="77777777" w:rsidR="000120E1" w:rsidRPr="000E2305" w:rsidRDefault="000120E1" w:rsidP="000120E1">
            <w:pPr>
              <w:spacing w:before="0" w:after="0" w:line="240" w:lineRule="auto"/>
              <w:rPr>
                <w:rFonts w:asciiTheme="minorHAnsi" w:hAnsiTheme="minorHAnsi" w:cstheme="minorHAnsi"/>
                <w:b/>
                <w:noProof/>
                <w:sz w:val="16"/>
                <w:szCs w:val="16"/>
              </w:rPr>
            </w:pPr>
          </w:p>
        </w:tc>
        <w:tc>
          <w:tcPr>
            <w:tcW w:w="2291" w:type="pct"/>
          </w:tcPr>
          <w:p w14:paraId="385D1634" w14:textId="77777777" w:rsidR="000120E1" w:rsidRPr="000E2305" w:rsidRDefault="000120E1" w:rsidP="000120E1">
            <w:pPr>
              <w:spacing w:before="0" w:after="0" w:line="240" w:lineRule="auto"/>
              <w:rPr>
                <w:rFonts w:asciiTheme="minorHAnsi" w:hAnsiTheme="minorHAnsi" w:cstheme="minorHAnsi"/>
                <w:noProof/>
                <w:sz w:val="16"/>
                <w:szCs w:val="16"/>
              </w:rPr>
            </w:pPr>
            <w:r w:rsidRPr="000E2305">
              <w:rPr>
                <w:rFonts w:asciiTheme="minorHAnsi" w:hAnsiTheme="minorHAnsi" w:cstheme="minorHAnsi"/>
                <w:noProof/>
                <w:sz w:val="16"/>
                <w:szCs w:val="16"/>
              </w:rPr>
              <w:t xml:space="preserve">Are the parameter value assumptions documented and explained?  </w:t>
            </w:r>
          </w:p>
        </w:tc>
        <w:tc>
          <w:tcPr>
            <w:tcW w:w="232" w:type="pct"/>
            <w:vAlign w:val="center"/>
          </w:tcPr>
          <w:p w14:paraId="6629A5F3" w14:textId="523649C1" w:rsidR="000120E1" w:rsidRPr="000E2305" w:rsidRDefault="000120E1" w:rsidP="000120E1">
            <w:pPr>
              <w:spacing w:before="0" w:after="0" w:line="240" w:lineRule="auto"/>
              <w:jc w:val="center"/>
              <w:rPr>
                <w:rFonts w:asciiTheme="minorHAnsi" w:hAnsiTheme="minorHAnsi" w:cstheme="minorHAnsi"/>
                <w:noProof/>
                <w:sz w:val="16"/>
                <w:szCs w:val="16"/>
              </w:rPr>
            </w:pPr>
            <w:r>
              <w:rPr>
                <w:rFonts w:asciiTheme="minorHAnsi" w:hAnsiTheme="minorHAnsi" w:cstheme="minorHAnsi"/>
                <w:noProof/>
                <w:sz w:val="16"/>
                <w:szCs w:val="16"/>
              </w:rPr>
              <w:t>n/a</w:t>
            </w:r>
          </w:p>
        </w:tc>
        <w:tc>
          <w:tcPr>
            <w:tcW w:w="232" w:type="pct"/>
            <w:vAlign w:val="center"/>
          </w:tcPr>
          <w:p w14:paraId="66D04C0B" w14:textId="2F996423" w:rsidR="000120E1" w:rsidRPr="000E2305" w:rsidRDefault="000120E1" w:rsidP="000120E1">
            <w:pPr>
              <w:spacing w:before="0" w:after="0" w:line="240" w:lineRule="auto"/>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232" w:type="pct"/>
            <w:vAlign w:val="center"/>
          </w:tcPr>
          <w:p w14:paraId="600229FF" w14:textId="4AA9A621" w:rsidR="000120E1" w:rsidRPr="000E2305" w:rsidRDefault="000120E1" w:rsidP="000120E1">
            <w:pPr>
              <w:spacing w:before="0" w:after="0" w:line="240" w:lineRule="auto"/>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232" w:type="pct"/>
            <w:vAlign w:val="center"/>
          </w:tcPr>
          <w:p w14:paraId="4E11F9F9" w14:textId="64B196A5" w:rsidR="000120E1" w:rsidRPr="000E2305" w:rsidRDefault="000120E1" w:rsidP="000120E1">
            <w:pPr>
              <w:spacing w:before="0" w:after="0" w:line="240" w:lineRule="auto"/>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232" w:type="pct"/>
            <w:vAlign w:val="center"/>
          </w:tcPr>
          <w:p w14:paraId="22AF933C" w14:textId="6C803843" w:rsidR="000120E1" w:rsidRPr="000E2305" w:rsidRDefault="000120E1" w:rsidP="000120E1">
            <w:pPr>
              <w:spacing w:before="0" w:after="0" w:line="240" w:lineRule="auto"/>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232" w:type="pct"/>
            <w:shd w:val="clear" w:color="auto" w:fill="92D050"/>
            <w:vAlign w:val="center"/>
          </w:tcPr>
          <w:p w14:paraId="44B02D1A" w14:textId="1DF9CE57" w:rsidR="000120E1" w:rsidRPr="000E2305" w:rsidRDefault="000120E1" w:rsidP="000120E1">
            <w:pPr>
              <w:spacing w:before="0" w:after="0" w:line="240" w:lineRule="auto"/>
              <w:jc w:val="center"/>
              <w:rPr>
                <w:rFonts w:asciiTheme="minorHAnsi" w:hAnsiTheme="minorHAnsi" w:cstheme="minorHAnsi"/>
                <w:noProof/>
                <w:sz w:val="16"/>
                <w:szCs w:val="16"/>
              </w:rPr>
            </w:pPr>
            <w:r w:rsidRPr="000E2305">
              <w:rPr>
                <w:rFonts w:asciiTheme="minorHAnsi" w:hAnsiTheme="minorHAnsi" w:cstheme="minorHAnsi"/>
                <w:noProof/>
                <w:sz w:val="16"/>
                <w:szCs w:val="16"/>
              </w:rPr>
              <w:t>Y</w:t>
            </w:r>
          </w:p>
        </w:tc>
        <w:tc>
          <w:tcPr>
            <w:tcW w:w="232" w:type="pct"/>
            <w:vAlign w:val="center"/>
          </w:tcPr>
          <w:p w14:paraId="35BF2326" w14:textId="77777777" w:rsidR="000120E1" w:rsidRPr="000E2305" w:rsidRDefault="000120E1" w:rsidP="000120E1">
            <w:pPr>
              <w:spacing w:before="0" w:after="0" w:line="240" w:lineRule="auto"/>
              <w:jc w:val="center"/>
              <w:rPr>
                <w:rFonts w:asciiTheme="minorHAnsi" w:hAnsiTheme="minorHAnsi" w:cstheme="minorHAnsi"/>
                <w:noProof/>
                <w:sz w:val="16"/>
                <w:szCs w:val="16"/>
              </w:rPr>
            </w:pPr>
            <w:r w:rsidRPr="000E2305">
              <w:rPr>
                <w:rFonts w:asciiTheme="minorHAnsi" w:hAnsiTheme="minorHAnsi" w:cstheme="minorHAnsi"/>
                <w:noProof/>
                <w:sz w:val="16"/>
                <w:szCs w:val="16"/>
              </w:rPr>
              <w:t>n/a</w:t>
            </w:r>
          </w:p>
        </w:tc>
        <w:tc>
          <w:tcPr>
            <w:tcW w:w="232" w:type="pct"/>
            <w:vAlign w:val="center"/>
          </w:tcPr>
          <w:p w14:paraId="00B44771" w14:textId="18321F48" w:rsidR="000120E1" w:rsidRPr="000E2305" w:rsidRDefault="000120E1" w:rsidP="000120E1">
            <w:pPr>
              <w:spacing w:before="0" w:after="0" w:line="240" w:lineRule="auto"/>
              <w:jc w:val="center"/>
              <w:rPr>
                <w:rFonts w:asciiTheme="minorHAnsi" w:hAnsiTheme="minorHAnsi" w:cstheme="minorHAnsi"/>
                <w:noProof/>
                <w:sz w:val="16"/>
                <w:szCs w:val="16"/>
              </w:rPr>
            </w:pPr>
            <w:r w:rsidRPr="000E2305">
              <w:rPr>
                <w:rFonts w:asciiTheme="minorHAnsi" w:hAnsiTheme="minorHAnsi" w:cstheme="minorHAnsi"/>
                <w:noProof/>
                <w:sz w:val="16"/>
                <w:szCs w:val="16"/>
              </w:rPr>
              <w:t>n/a</w:t>
            </w:r>
          </w:p>
        </w:tc>
        <w:tc>
          <w:tcPr>
            <w:tcW w:w="232" w:type="pct"/>
            <w:shd w:val="clear" w:color="auto" w:fill="92D050"/>
            <w:vAlign w:val="center"/>
          </w:tcPr>
          <w:p w14:paraId="1F257D57" w14:textId="752FEF6F" w:rsidR="000120E1" w:rsidRPr="000E2305" w:rsidRDefault="000120E1" w:rsidP="000120E1">
            <w:pPr>
              <w:spacing w:before="0" w:after="0" w:line="240" w:lineRule="auto"/>
              <w:jc w:val="center"/>
              <w:rPr>
                <w:rFonts w:asciiTheme="minorHAnsi" w:hAnsiTheme="minorHAnsi" w:cstheme="minorHAnsi"/>
                <w:noProof/>
                <w:sz w:val="16"/>
                <w:szCs w:val="16"/>
              </w:rPr>
            </w:pPr>
            <w:r>
              <w:rPr>
                <w:rFonts w:asciiTheme="minorHAnsi" w:hAnsiTheme="minorHAnsi" w:cstheme="minorHAnsi"/>
                <w:noProof/>
                <w:sz w:val="16"/>
                <w:szCs w:val="16"/>
              </w:rPr>
              <w:t>Y</w:t>
            </w:r>
          </w:p>
        </w:tc>
        <w:tc>
          <w:tcPr>
            <w:tcW w:w="232" w:type="pct"/>
            <w:vAlign w:val="center"/>
          </w:tcPr>
          <w:p w14:paraId="7C462A6D" w14:textId="6BE2B3C2" w:rsidR="000120E1" w:rsidRPr="000E2305" w:rsidRDefault="000120E1" w:rsidP="000120E1">
            <w:pPr>
              <w:spacing w:before="0" w:after="0" w:line="240" w:lineRule="auto"/>
              <w:jc w:val="center"/>
              <w:rPr>
                <w:rFonts w:asciiTheme="minorHAnsi" w:hAnsiTheme="minorHAnsi" w:cstheme="minorHAnsi"/>
                <w:noProof/>
                <w:sz w:val="16"/>
                <w:szCs w:val="16"/>
              </w:rPr>
            </w:pPr>
            <w:r w:rsidRPr="000E2305">
              <w:rPr>
                <w:rFonts w:asciiTheme="minorHAnsi" w:hAnsiTheme="minorHAnsi" w:cstheme="minorHAnsi"/>
                <w:noProof/>
                <w:sz w:val="16"/>
                <w:szCs w:val="16"/>
              </w:rPr>
              <w:t>n/a</w:t>
            </w:r>
          </w:p>
        </w:tc>
        <w:tc>
          <w:tcPr>
            <w:tcW w:w="220" w:type="pct"/>
            <w:vAlign w:val="center"/>
          </w:tcPr>
          <w:p w14:paraId="2AD6894E" w14:textId="7216E018" w:rsidR="000120E1" w:rsidRPr="000E2305" w:rsidRDefault="000120E1" w:rsidP="000120E1">
            <w:pPr>
              <w:spacing w:before="0" w:after="0" w:line="240" w:lineRule="auto"/>
              <w:jc w:val="center"/>
              <w:rPr>
                <w:rFonts w:asciiTheme="minorHAnsi" w:hAnsiTheme="minorHAnsi" w:cstheme="minorHAnsi"/>
                <w:noProof/>
                <w:sz w:val="16"/>
                <w:szCs w:val="16"/>
              </w:rPr>
            </w:pPr>
            <w:r>
              <w:rPr>
                <w:rFonts w:asciiTheme="minorHAnsi" w:hAnsiTheme="minorHAnsi" w:cstheme="minorHAnsi"/>
                <w:noProof/>
                <w:sz w:val="16"/>
                <w:szCs w:val="16"/>
              </w:rPr>
              <w:t>N</w:t>
            </w:r>
          </w:p>
        </w:tc>
      </w:tr>
      <w:tr w:rsidR="000120E1" w:rsidRPr="000E2305" w14:paraId="7E8935FA" w14:textId="77777777" w:rsidTr="000212D1">
        <w:trPr>
          <w:cantSplit/>
        </w:trPr>
        <w:tc>
          <w:tcPr>
            <w:tcW w:w="169" w:type="pct"/>
            <w:shd w:val="clear" w:color="auto" w:fill="92D050"/>
            <w:vAlign w:val="center"/>
          </w:tcPr>
          <w:p w14:paraId="4F1F7BEC" w14:textId="77777777" w:rsidR="000120E1" w:rsidRPr="000E2305" w:rsidRDefault="000120E1" w:rsidP="000120E1">
            <w:pPr>
              <w:spacing w:before="0" w:after="0" w:line="240" w:lineRule="auto"/>
              <w:rPr>
                <w:rFonts w:asciiTheme="minorHAnsi" w:hAnsiTheme="minorHAnsi" w:cstheme="minorHAnsi"/>
                <w:b/>
                <w:noProof/>
                <w:sz w:val="16"/>
                <w:szCs w:val="16"/>
              </w:rPr>
            </w:pPr>
          </w:p>
        </w:tc>
        <w:tc>
          <w:tcPr>
            <w:tcW w:w="2291" w:type="pct"/>
          </w:tcPr>
          <w:p w14:paraId="05E1F051" w14:textId="77777777" w:rsidR="000120E1" w:rsidRPr="000E2305" w:rsidRDefault="000120E1" w:rsidP="000120E1">
            <w:pPr>
              <w:spacing w:before="0" w:after="0" w:line="240" w:lineRule="auto"/>
              <w:rPr>
                <w:rFonts w:asciiTheme="minorHAnsi" w:hAnsiTheme="minorHAnsi" w:cstheme="minorHAnsi"/>
                <w:noProof/>
                <w:sz w:val="16"/>
                <w:szCs w:val="16"/>
              </w:rPr>
            </w:pPr>
            <w:r w:rsidRPr="000E2305">
              <w:rPr>
                <w:rFonts w:asciiTheme="minorHAnsi" w:hAnsiTheme="minorHAnsi" w:cstheme="minorHAnsi"/>
                <w:noProof/>
                <w:sz w:val="16"/>
                <w:szCs w:val="16"/>
              </w:rPr>
              <w:t>Are the mathematical workings/algorithms clearly documented and explained?</w:t>
            </w:r>
          </w:p>
        </w:tc>
        <w:tc>
          <w:tcPr>
            <w:tcW w:w="232" w:type="pct"/>
            <w:shd w:val="clear" w:color="auto" w:fill="92D050"/>
            <w:vAlign w:val="center"/>
          </w:tcPr>
          <w:p w14:paraId="47CD1643" w14:textId="46E6445E" w:rsidR="000120E1" w:rsidRPr="000E2305" w:rsidRDefault="000120E1" w:rsidP="000120E1">
            <w:pPr>
              <w:spacing w:before="0" w:after="0" w:line="240" w:lineRule="auto"/>
              <w:jc w:val="center"/>
              <w:rPr>
                <w:rFonts w:asciiTheme="minorHAnsi" w:hAnsiTheme="minorHAnsi" w:cstheme="minorHAnsi"/>
                <w:noProof/>
                <w:sz w:val="16"/>
                <w:szCs w:val="16"/>
              </w:rPr>
            </w:pPr>
            <w:r>
              <w:rPr>
                <w:rFonts w:asciiTheme="minorHAnsi" w:hAnsiTheme="minorHAnsi" w:cstheme="minorHAnsi"/>
                <w:noProof/>
                <w:sz w:val="16"/>
                <w:szCs w:val="16"/>
              </w:rPr>
              <w:t>Y</w:t>
            </w:r>
          </w:p>
        </w:tc>
        <w:tc>
          <w:tcPr>
            <w:tcW w:w="232" w:type="pct"/>
            <w:vAlign w:val="center"/>
          </w:tcPr>
          <w:p w14:paraId="21DBE315" w14:textId="5686236D" w:rsidR="000120E1" w:rsidRPr="000E2305" w:rsidRDefault="000120E1" w:rsidP="000120E1">
            <w:pPr>
              <w:spacing w:before="0" w:after="0" w:line="240" w:lineRule="auto"/>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232" w:type="pct"/>
            <w:vAlign w:val="center"/>
          </w:tcPr>
          <w:p w14:paraId="0BA34ED6" w14:textId="4BCBFF9A" w:rsidR="000120E1" w:rsidRPr="000E2305" w:rsidRDefault="000120E1" w:rsidP="000120E1">
            <w:pPr>
              <w:spacing w:before="0" w:after="0" w:line="240" w:lineRule="auto"/>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232" w:type="pct"/>
            <w:vAlign w:val="center"/>
          </w:tcPr>
          <w:p w14:paraId="13140FAF" w14:textId="221D6854" w:rsidR="000120E1" w:rsidRPr="000E2305" w:rsidRDefault="000120E1" w:rsidP="000120E1">
            <w:pPr>
              <w:spacing w:before="0" w:after="0" w:line="240" w:lineRule="auto"/>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232" w:type="pct"/>
            <w:vAlign w:val="center"/>
          </w:tcPr>
          <w:p w14:paraId="03AA58F0" w14:textId="7DFAD785" w:rsidR="000120E1" w:rsidRPr="000E2305" w:rsidRDefault="000120E1" w:rsidP="000120E1">
            <w:pPr>
              <w:spacing w:before="0" w:after="0" w:line="240" w:lineRule="auto"/>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232" w:type="pct"/>
            <w:shd w:val="clear" w:color="auto" w:fill="92D050"/>
            <w:vAlign w:val="center"/>
          </w:tcPr>
          <w:p w14:paraId="392290AE" w14:textId="7028C1D9" w:rsidR="000120E1" w:rsidRPr="000E2305" w:rsidRDefault="000120E1" w:rsidP="000120E1">
            <w:pPr>
              <w:spacing w:before="0" w:after="0" w:line="240" w:lineRule="auto"/>
              <w:jc w:val="center"/>
              <w:rPr>
                <w:rFonts w:asciiTheme="minorHAnsi" w:hAnsiTheme="minorHAnsi" w:cstheme="minorHAnsi"/>
                <w:noProof/>
                <w:sz w:val="16"/>
                <w:szCs w:val="16"/>
              </w:rPr>
            </w:pPr>
            <w:r w:rsidRPr="000E2305">
              <w:rPr>
                <w:rFonts w:asciiTheme="minorHAnsi" w:hAnsiTheme="minorHAnsi" w:cstheme="minorHAnsi"/>
                <w:noProof/>
                <w:sz w:val="16"/>
                <w:szCs w:val="16"/>
              </w:rPr>
              <w:t>Y</w:t>
            </w:r>
          </w:p>
        </w:tc>
        <w:tc>
          <w:tcPr>
            <w:tcW w:w="232" w:type="pct"/>
            <w:vAlign w:val="center"/>
          </w:tcPr>
          <w:p w14:paraId="7E154477" w14:textId="77777777" w:rsidR="000120E1" w:rsidRPr="000E2305" w:rsidRDefault="000120E1" w:rsidP="000120E1">
            <w:pPr>
              <w:spacing w:before="0" w:after="0" w:line="240" w:lineRule="auto"/>
              <w:jc w:val="center"/>
              <w:rPr>
                <w:rFonts w:asciiTheme="minorHAnsi" w:hAnsiTheme="minorHAnsi" w:cstheme="minorHAnsi"/>
                <w:noProof/>
                <w:sz w:val="16"/>
                <w:szCs w:val="16"/>
              </w:rPr>
            </w:pPr>
            <w:r w:rsidRPr="000E2305">
              <w:rPr>
                <w:rFonts w:asciiTheme="minorHAnsi" w:hAnsiTheme="minorHAnsi" w:cstheme="minorHAnsi"/>
                <w:noProof/>
                <w:sz w:val="16"/>
                <w:szCs w:val="16"/>
              </w:rPr>
              <w:t>n/a</w:t>
            </w:r>
          </w:p>
        </w:tc>
        <w:tc>
          <w:tcPr>
            <w:tcW w:w="232" w:type="pct"/>
            <w:vAlign w:val="center"/>
          </w:tcPr>
          <w:p w14:paraId="10F08098" w14:textId="1002FDD4" w:rsidR="000120E1" w:rsidRPr="000E2305" w:rsidRDefault="000120E1" w:rsidP="000120E1">
            <w:pPr>
              <w:spacing w:before="0" w:after="0" w:line="240" w:lineRule="auto"/>
              <w:jc w:val="center"/>
              <w:rPr>
                <w:rFonts w:asciiTheme="minorHAnsi" w:hAnsiTheme="minorHAnsi" w:cstheme="minorHAnsi"/>
                <w:noProof/>
                <w:sz w:val="16"/>
                <w:szCs w:val="16"/>
              </w:rPr>
            </w:pPr>
            <w:r w:rsidRPr="000E2305">
              <w:rPr>
                <w:rFonts w:asciiTheme="minorHAnsi" w:hAnsiTheme="minorHAnsi" w:cstheme="minorHAnsi"/>
                <w:noProof/>
                <w:sz w:val="16"/>
                <w:szCs w:val="16"/>
              </w:rPr>
              <w:t>n/a</w:t>
            </w:r>
          </w:p>
        </w:tc>
        <w:tc>
          <w:tcPr>
            <w:tcW w:w="232" w:type="pct"/>
            <w:shd w:val="clear" w:color="auto" w:fill="92D050"/>
            <w:vAlign w:val="center"/>
          </w:tcPr>
          <w:p w14:paraId="75820854" w14:textId="1279889F" w:rsidR="000120E1" w:rsidRPr="000E2305" w:rsidRDefault="000120E1" w:rsidP="000120E1">
            <w:pPr>
              <w:spacing w:before="0" w:after="0" w:line="240" w:lineRule="auto"/>
              <w:jc w:val="center"/>
              <w:rPr>
                <w:rFonts w:asciiTheme="minorHAnsi" w:hAnsiTheme="minorHAnsi" w:cstheme="minorHAnsi"/>
                <w:noProof/>
                <w:sz w:val="16"/>
                <w:szCs w:val="16"/>
              </w:rPr>
            </w:pPr>
            <w:r>
              <w:rPr>
                <w:rFonts w:asciiTheme="minorHAnsi" w:hAnsiTheme="minorHAnsi" w:cstheme="minorHAnsi"/>
                <w:noProof/>
                <w:sz w:val="16"/>
                <w:szCs w:val="16"/>
              </w:rPr>
              <w:t>Y</w:t>
            </w:r>
          </w:p>
        </w:tc>
        <w:tc>
          <w:tcPr>
            <w:tcW w:w="232" w:type="pct"/>
            <w:vAlign w:val="center"/>
          </w:tcPr>
          <w:p w14:paraId="188678CD" w14:textId="5663CF6D" w:rsidR="000120E1" w:rsidRPr="000E2305" w:rsidRDefault="000120E1" w:rsidP="000120E1">
            <w:pPr>
              <w:spacing w:before="0" w:after="0" w:line="240" w:lineRule="auto"/>
              <w:jc w:val="center"/>
              <w:rPr>
                <w:rFonts w:asciiTheme="minorHAnsi" w:hAnsiTheme="minorHAnsi" w:cstheme="minorHAnsi"/>
                <w:noProof/>
                <w:sz w:val="16"/>
                <w:szCs w:val="16"/>
              </w:rPr>
            </w:pPr>
            <w:r w:rsidRPr="000E2305">
              <w:rPr>
                <w:rFonts w:asciiTheme="minorHAnsi" w:hAnsiTheme="minorHAnsi" w:cstheme="minorHAnsi"/>
                <w:noProof/>
                <w:sz w:val="16"/>
                <w:szCs w:val="16"/>
              </w:rPr>
              <w:t>n/a</w:t>
            </w:r>
          </w:p>
        </w:tc>
        <w:tc>
          <w:tcPr>
            <w:tcW w:w="220" w:type="pct"/>
            <w:shd w:val="clear" w:color="auto" w:fill="92D050"/>
            <w:vAlign w:val="center"/>
          </w:tcPr>
          <w:p w14:paraId="79D514BB" w14:textId="117B7487" w:rsidR="000120E1" w:rsidRPr="000E2305" w:rsidRDefault="000120E1" w:rsidP="000120E1">
            <w:pPr>
              <w:spacing w:before="0" w:after="0" w:line="240" w:lineRule="auto"/>
              <w:jc w:val="center"/>
              <w:rPr>
                <w:rFonts w:asciiTheme="minorHAnsi" w:hAnsiTheme="minorHAnsi" w:cstheme="minorHAnsi"/>
                <w:noProof/>
                <w:sz w:val="16"/>
                <w:szCs w:val="16"/>
              </w:rPr>
            </w:pPr>
            <w:r>
              <w:rPr>
                <w:rFonts w:asciiTheme="minorHAnsi" w:hAnsiTheme="minorHAnsi" w:cstheme="minorHAnsi"/>
                <w:noProof/>
                <w:sz w:val="16"/>
                <w:szCs w:val="16"/>
              </w:rPr>
              <w:t>Y</w:t>
            </w:r>
          </w:p>
        </w:tc>
      </w:tr>
      <w:tr w:rsidR="000120E1" w:rsidRPr="000E2305" w14:paraId="767B8E89" w14:textId="77777777" w:rsidTr="000212D1">
        <w:trPr>
          <w:cantSplit/>
        </w:trPr>
        <w:tc>
          <w:tcPr>
            <w:tcW w:w="169" w:type="pct"/>
            <w:shd w:val="clear" w:color="auto" w:fill="92D050"/>
            <w:vAlign w:val="center"/>
          </w:tcPr>
          <w:p w14:paraId="70E8B553" w14:textId="77777777" w:rsidR="000120E1" w:rsidRPr="000E2305" w:rsidRDefault="000120E1" w:rsidP="000120E1">
            <w:pPr>
              <w:spacing w:before="0" w:after="0" w:line="240" w:lineRule="auto"/>
              <w:rPr>
                <w:rFonts w:asciiTheme="minorHAnsi" w:hAnsiTheme="minorHAnsi" w:cstheme="minorHAnsi"/>
                <w:b/>
                <w:noProof/>
                <w:sz w:val="16"/>
                <w:szCs w:val="16"/>
              </w:rPr>
            </w:pPr>
          </w:p>
        </w:tc>
        <w:tc>
          <w:tcPr>
            <w:tcW w:w="2291" w:type="pct"/>
          </w:tcPr>
          <w:p w14:paraId="2A811495" w14:textId="77777777" w:rsidR="000120E1" w:rsidRPr="000E2305" w:rsidRDefault="000120E1" w:rsidP="000120E1">
            <w:pPr>
              <w:spacing w:before="0" w:after="0" w:line="240" w:lineRule="auto"/>
              <w:rPr>
                <w:rFonts w:asciiTheme="minorHAnsi" w:hAnsiTheme="minorHAnsi" w:cstheme="minorHAnsi"/>
                <w:noProof/>
                <w:sz w:val="16"/>
                <w:szCs w:val="16"/>
              </w:rPr>
            </w:pPr>
            <w:r w:rsidRPr="000E2305">
              <w:rPr>
                <w:rFonts w:asciiTheme="minorHAnsi" w:hAnsiTheme="minorHAnsi" w:cstheme="minorHAnsi"/>
                <w:noProof/>
                <w:sz w:val="16"/>
                <w:szCs w:val="16"/>
              </w:rPr>
              <w:t>Does the organisation take into consideration non-health related matters to account for feasibility of implementing the guideline values (e.g. measurement attainability)?</w:t>
            </w:r>
          </w:p>
        </w:tc>
        <w:tc>
          <w:tcPr>
            <w:tcW w:w="232" w:type="pct"/>
            <w:vAlign w:val="center"/>
          </w:tcPr>
          <w:p w14:paraId="34FF7378" w14:textId="79EA107D" w:rsidR="000120E1" w:rsidRPr="000E2305" w:rsidRDefault="000120E1" w:rsidP="000120E1">
            <w:pPr>
              <w:spacing w:before="0" w:after="0" w:line="240" w:lineRule="auto"/>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232" w:type="pct"/>
            <w:vAlign w:val="center"/>
          </w:tcPr>
          <w:p w14:paraId="46FD862E" w14:textId="5FCB71FC" w:rsidR="000120E1" w:rsidRPr="000E2305" w:rsidRDefault="000120E1" w:rsidP="000120E1">
            <w:pPr>
              <w:spacing w:before="0" w:after="0" w:line="240" w:lineRule="auto"/>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232" w:type="pct"/>
            <w:vAlign w:val="center"/>
          </w:tcPr>
          <w:p w14:paraId="07116669" w14:textId="2EE21D84" w:rsidR="000120E1" w:rsidRPr="000E2305" w:rsidRDefault="000120E1" w:rsidP="000120E1">
            <w:pPr>
              <w:spacing w:before="0" w:after="0" w:line="240" w:lineRule="auto"/>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232" w:type="pct"/>
            <w:vAlign w:val="center"/>
          </w:tcPr>
          <w:p w14:paraId="41927980" w14:textId="4E1F2C07" w:rsidR="000120E1" w:rsidRPr="000E2305" w:rsidRDefault="000120E1" w:rsidP="000120E1">
            <w:pPr>
              <w:spacing w:before="0" w:after="0" w:line="240" w:lineRule="auto"/>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232" w:type="pct"/>
            <w:vAlign w:val="center"/>
          </w:tcPr>
          <w:p w14:paraId="2B4BF58C" w14:textId="5A41C5DB" w:rsidR="000120E1" w:rsidRPr="000E2305" w:rsidRDefault="000120E1" w:rsidP="000120E1">
            <w:pPr>
              <w:spacing w:before="0" w:after="0" w:line="240" w:lineRule="auto"/>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232" w:type="pct"/>
            <w:vAlign w:val="center"/>
          </w:tcPr>
          <w:p w14:paraId="1C17D1BB" w14:textId="5E1D6FB1" w:rsidR="000120E1" w:rsidRPr="000E2305" w:rsidRDefault="000120E1" w:rsidP="000120E1">
            <w:pPr>
              <w:spacing w:before="0" w:after="0" w:line="240" w:lineRule="auto"/>
              <w:jc w:val="center"/>
              <w:rPr>
                <w:rFonts w:asciiTheme="minorHAnsi" w:hAnsiTheme="minorHAnsi" w:cstheme="minorHAnsi"/>
                <w:noProof/>
                <w:sz w:val="16"/>
                <w:szCs w:val="16"/>
              </w:rPr>
            </w:pPr>
            <w:r w:rsidRPr="000E2305">
              <w:rPr>
                <w:rFonts w:asciiTheme="minorHAnsi" w:hAnsiTheme="minorHAnsi" w:cstheme="minorHAnsi"/>
                <w:noProof/>
                <w:sz w:val="16"/>
                <w:szCs w:val="16"/>
              </w:rPr>
              <w:t>N</w:t>
            </w:r>
          </w:p>
        </w:tc>
        <w:tc>
          <w:tcPr>
            <w:tcW w:w="232" w:type="pct"/>
            <w:vAlign w:val="center"/>
          </w:tcPr>
          <w:p w14:paraId="58D5AC8D" w14:textId="77777777" w:rsidR="000120E1" w:rsidRPr="000E2305" w:rsidRDefault="000120E1" w:rsidP="000120E1">
            <w:pPr>
              <w:spacing w:before="0" w:after="0" w:line="240" w:lineRule="auto"/>
              <w:jc w:val="center"/>
              <w:rPr>
                <w:rFonts w:asciiTheme="minorHAnsi" w:hAnsiTheme="minorHAnsi" w:cstheme="minorHAnsi"/>
                <w:noProof/>
                <w:sz w:val="16"/>
                <w:szCs w:val="16"/>
              </w:rPr>
            </w:pPr>
            <w:r w:rsidRPr="000E2305">
              <w:rPr>
                <w:rFonts w:asciiTheme="minorHAnsi" w:hAnsiTheme="minorHAnsi" w:cstheme="minorHAnsi"/>
                <w:noProof/>
                <w:sz w:val="16"/>
                <w:szCs w:val="16"/>
              </w:rPr>
              <w:t>n/a</w:t>
            </w:r>
          </w:p>
        </w:tc>
        <w:tc>
          <w:tcPr>
            <w:tcW w:w="232" w:type="pct"/>
            <w:vAlign w:val="center"/>
          </w:tcPr>
          <w:p w14:paraId="18499137" w14:textId="207AB674" w:rsidR="000120E1" w:rsidRPr="000E2305" w:rsidRDefault="000120E1" w:rsidP="000120E1">
            <w:pPr>
              <w:spacing w:before="0" w:after="0" w:line="240" w:lineRule="auto"/>
              <w:jc w:val="center"/>
              <w:rPr>
                <w:rFonts w:asciiTheme="minorHAnsi" w:hAnsiTheme="minorHAnsi" w:cstheme="minorHAnsi"/>
                <w:noProof/>
                <w:sz w:val="16"/>
                <w:szCs w:val="16"/>
              </w:rPr>
            </w:pPr>
            <w:r w:rsidRPr="000E2305">
              <w:rPr>
                <w:rFonts w:asciiTheme="minorHAnsi" w:hAnsiTheme="minorHAnsi" w:cstheme="minorHAnsi"/>
                <w:noProof/>
                <w:sz w:val="16"/>
                <w:szCs w:val="16"/>
              </w:rPr>
              <w:t>n/a</w:t>
            </w:r>
          </w:p>
        </w:tc>
        <w:tc>
          <w:tcPr>
            <w:tcW w:w="232" w:type="pct"/>
            <w:vAlign w:val="center"/>
          </w:tcPr>
          <w:p w14:paraId="5954A559" w14:textId="77777777" w:rsidR="000120E1" w:rsidRPr="000E2305" w:rsidRDefault="000120E1" w:rsidP="000120E1">
            <w:pPr>
              <w:spacing w:before="0" w:after="0" w:line="240" w:lineRule="auto"/>
              <w:jc w:val="center"/>
              <w:rPr>
                <w:rFonts w:asciiTheme="minorHAnsi" w:hAnsiTheme="minorHAnsi" w:cstheme="minorHAnsi"/>
                <w:noProof/>
                <w:sz w:val="16"/>
                <w:szCs w:val="16"/>
              </w:rPr>
            </w:pPr>
            <w:r w:rsidRPr="000E2305">
              <w:rPr>
                <w:rFonts w:asciiTheme="minorHAnsi" w:hAnsiTheme="minorHAnsi" w:cstheme="minorHAnsi"/>
                <w:noProof/>
                <w:sz w:val="16"/>
                <w:szCs w:val="16"/>
              </w:rPr>
              <w:t>N</w:t>
            </w:r>
          </w:p>
        </w:tc>
        <w:tc>
          <w:tcPr>
            <w:tcW w:w="232" w:type="pct"/>
            <w:vAlign w:val="center"/>
          </w:tcPr>
          <w:p w14:paraId="1F583448" w14:textId="3EE7F41A" w:rsidR="000120E1" w:rsidRPr="000E2305" w:rsidRDefault="000120E1" w:rsidP="000120E1">
            <w:pPr>
              <w:spacing w:before="0" w:after="0" w:line="240" w:lineRule="auto"/>
              <w:jc w:val="center"/>
              <w:rPr>
                <w:rFonts w:asciiTheme="minorHAnsi" w:hAnsiTheme="minorHAnsi" w:cstheme="minorHAnsi"/>
                <w:noProof/>
                <w:sz w:val="16"/>
                <w:szCs w:val="16"/>
              </w:rPr>
            </w:pPr>
            <w:r w:rsidRPr="000E2305">
              <w:rPr>
                <w:rFonts w:asciiTheme="minorHAnsi" w:hAnsiTheme="minorHAnsi" w:cstheme="minorHAnsi"/>
                <w:noProof/>
                <w:sz w:val="16"/>
                <w:szCs w:val="16"/>
              </w:rPr>
              <w:t>n/a</w:t>
            </w:r>
          </w:p>
        </w:tc>
        <w:tc>
          <w:tcPr>
            <w:tcW w:w="220" w:type="pct"/>
            <w:vAlign w:val="center"/>
          </w:tcPr>
          <w:p w14:paraId="15DA65AE" w14:textId="54C57B43" w:rsidR="000120E1" w:rsidRPr="000E2305" w:rsidRDefault="000120E1" w:rsidP="000120E1">
            <w:pPr>
              <w:spacing w:before="0" w:after="0" w:line="240" w:lineRule="auto"/>
              <w:jc w:val="center"/>
              <w:rPr>
                <w:rFonts w:asciiTheme="minorHAnsi" w:hAnsiTheme="minorHAnsi" w:cstheme="minorHAnsi"/>
                <w:noProof/>
                <w:sz w:val="16"/>
                <w:szCs w:val="16"/>
              </w:rPr>
            </w:pPr>
            <w:r>
              <w:rPr>
                <w:rFonts w:asciiTheme="minorHAnsi" w:hAnsiTheme="minorHAnsi" w:cstheme="minorHAnsi"/>
                <w:noProof/>
                <w:sz w:val="16"/>
                <w:szCs w:val="16"/>
              </w:rPr>
              <w:t>N</w:t>
            </w:r>
          </w:p>
        </w:tc>
      </w:tr>
      <w:tr w:rsidR="000120E1" w:rsidRPr="000E2305" w14:paraId="0D73D38C" w14:textId="77777777" w:rsidTr="000212D1">
        <w:trPr>
          <w:cantSplit/>
        </w:trPr>
        <w:tc>
          <w:tcPr>
            <w:tcW w:w="169" w:type="pct"/>
            <w:shd w:val="clear" w:color="auto" w:fill="FFFF00"/>
            <w:vAlign w:val="center"/>
          </w:tcPr>
          <w:p w14:paraId="7D182529" w14:textId="77777777" w:rsidR="000120E1" w:rsidRPr="000E2305" w:rsidRDefault="000120E1" w:rsidP="000120E1">
            <w:pPr>
              <w:spacing w:before="0" w:after="0" w:line="240" w:lineRule="auto"/>
              <w:rPr>
                <w:rFonts w:asciiTheme="minorHAnsi" w:hAnsiTheme="minorHAnsi" w:cstheme="minorHAnsi"/>
                <w:b/>
                <w:noProof/>
                <w:sz w:val="16"/>
                <w:szCs w:val="16"/>
              </w:rPr>
            </w:pPr>
          </w:p>
        </w:tc>
        <w:tc>
          <w:tcPr>
            <w:tcW w:w="2291" w:type="pct"/>
          </w:tcPr>
          <w:p w14:paraId="22569ECA" w14:textId="77777777" w:rsidR="000120E1" w:rsidRPr="000E2305" w:rsidRDefault="000120E1" w:rsidP="000120E1">
            <w:pPr>
              <w:spacing w:before="0" w:after="0" w:line="240" w:lineRule="auto"/>
              <w:rPr>
                <w:rFonts w:asciiTheme="minorHAnsi" w:hAnsiTheme="minorHAnsi" w:cstheme="minorHAnsi"/>
                <w:noProof/>
                <w:sz w:val="16"/>
                <w:szCs w:val="16"/>
              </w:rPr>
            </w:pPr>
            <w:r w:rsidRPr="000E2305">
              <w:rPr>
                <w:rFonts w:asciiTheme="minorHAnsi" w:hAnsiTheme="minorHAnsi" w:cstheme="minorHAnsi"/>
                <w:noProof/>
                <w:sz w:val="16"/>
                <w:szCs w:val="16"/>
              </w:rPr>
              <w:t xml:space="preserve">Is there documentation directing use of mechanistic, mode of action, or key events in adverse outcome pathways in deriving health-based guideline values? </w:t>
            </w:r>
          </w:p>
        </w:tc>
        <w:tc>
          <w:tcPr>
            <w:tcW w:w="232" w:type="pct"/>
            <w:shd w:val="clear" w:color="auto" w:fill="FFFF00"/>
            <w:vAlign w:val="center"/>
          </w:tcPr>
          <w:p w14:paraId="70167FD3" w14:textId="7B299762" w:rsidR="000120E1" w:rsidRPr="000E2305" w:rsidRDefault="000120E1" w:rsidP="000120E1">
            <w:pPr>
              <w:spacing w:before="0" w:after="0" w:line="240" w:lineRule="auto"/>
              <w:jc w:val="center"/>
              <w:rPr>
                <w:rFonts w:asciiTheme="minorHAnsi" w:hAnsiTheme="minorHAnsi" w:cstheme="minorHAnsi"/>
                <w:noProof/>
                <w:sz w:val="16"/>
                <w:szCs w:val="16"/>
              </w:rPr>
            </w:pPr>
            <w:r>
              <w:rPr>
                <w:rFonts w:asciiTheme="minorHAnsi" w:hAnsiTheme="minorHAnsi" w:cstheme="minorHAnsi"/>
                <w:noProof/>
                <w:sz w:val="16"/>
                <w:szCs w:val="16"/>
              </w:rPr>
              <w:t>Y</w:t>
            </w:r>
          </w:p>
        </w:tc>
        <w:tc>
          <w:tcPr>
            <w:tcW w:w="232" w:type="pct"/>
            <w:vAlign w:val="center"/>
          </w:tcPr>
          <w:p w14:paraId="2A32B6B1" w14:textId="3A4B4EBD" w:rsidR="000120E1" w:rsidRPr="000E2305" w:rsidRDefault="000120E1" w:rsidP="000120E1">
            <w:pPr>
              <w:spacing w:before="0" w:after="0" w:line="240" w:lineRule="auto"/>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232" w:type="pct"/>
            <w:vAlign w:val="center"/>
          </w:tcPr>
          <w:p w14:paraId="769773A6" w14:textId="2E900E6C" w:rsidR="000120E1" w:rsidRPr="000E2305" w:rsidRDefault="000120E1" w:rsidP="000120E1">
            <w:pPr>
              <w:spacing w:before="0" w:after="0" w:line="240" w:lineRule="auto"/>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232" w:type="pct"/>
            <w:vAlign w:val="center"/>
          </w:tcPr>
          <w:p w14:paraId="2B3C8EDB" w14:textId="2D2A9C4F" w:rsidR="000120E1" w:rsidRPr="000E2305" w:rsidRDefault="000120E1" w:rsidP="000120E1">
            <w:pPr>
              <w:spacing w:before="0" w:after="0" w:line="240" w:lineRule="auto"/>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232" w:type="pct"/>
            <w:vAlign w:val="center"/>
          </w:tcPr>
          <w:p w14:paraId="4D414299" w14:textId="2C34E3AE" w:rsidR="000120E1" w:rsidRPr="000E2305" w:rsidRDefault="000120E1" w:rsidP="000120E1">
            <w:pPr>
              <w:spacing w:before="0" w:after="0" w:line="240" w:lineRule="auto"/>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232" w:type="pct"/>
            <w:vAlign w:val="center"/>
          </w:tcPr>
          <w:p w14:paraId="5BA4B5A8" w14:textId="453E74C1" w:rsidR="000120E1" w:rsidRPr="000E2305" w:rsidRDefault="000120E1" w:rsidP="000120E1">
            <w:pPr>
              <w:spacing w:before="0" w:after="0" w:line="240" w:lineRule="auto"/>
              <w:jc w:val="center"/>
              <w:rPr>
                <w:rFonts w:asciiTheme="minorHAnsi" w:hAnsiTheme="minorHAnsi" w:cstheme="minorHAnsi"/>
                <w:noProof/>
                <w:sz w:val="16"/>
                <w:szCs w:val="16"/>
              </w:rPr>
            </w:pPr>
            <w:r w:rsidRPr="000E2305">
              <w:rPr>
                <w:rFonts w:asciiTheme="minorHAnsi" w:hAnsiTheme="minorHAnsi" w:cstheme="minorHAnsi"/>
                <w:noProof/>
                <w:sz w:val="16"/>
                <w:szCs w:val="16"/>
              </w:rPr>
              <w:t>N</w:t>
            </w:r>
          </w:p>
        </w:tc>
        <w:tc>
          <w:tcPr>
            <w:tcW w:w="232" w:type="pct"/>
            <w:vAlign w:val="center"/>
          </w:tcPr>
          <w:p w14:paraId="58D9D236" w14:textId="32DD2980" w:rsidR="000120E1" w:rsidRPr="000E2305" w:rsidRDefault="000120E1" w:rsidP="000120E1">
            <w:pPr>
              <w:spacing w:before="0" w:after="0" w:line="240" w:lineRule="auto"/>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232" w:type="pct"/>
            <w:vAlign w:val="center"/>
          </w:tcPr>
          <w:p w14:paraId="376235D6" w14:textId="512E8BD1" w:rsidR="000120E1" w:rsidRPr="000E2305" w:rsidRDefault="000120E1" w:rsidP="000120E1">
            <w:pPr>
              <w:spacing w:before="0" w:after="0" w:line="240" w:lineRule="auto"/>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232" w:type="pct"/>
            <w:vAlign w:val="center"/>
          </w:tcPr>
          <w:p w14:paraId="4DB832E0" w14:textId="004D40A0" w:rsidR="000120E1" w:rsidRPr="000E2305" w:rsidRDefault="000120E1" w:rsidP="000120E1">
            <w:pPr>
              <w:spacing w:before="0" w:after="0" w:line="240" w:lineRule="auto"/>
              <w:jc w:val="center"/>
              <w:rPr>
                <w:rFonts w:asciiTheme="minorHAnsi" w:hAnsiTheme="minorHAnsi" w:cstheme="minorHAnsi"/>
                <w:noProof/>
                <w:sz w:val="16"/>
                <w:szCs w:val="16"/>
              </w:rPr>
            </w:pPr>
            <w:r>
              <w:rPr>
                <w:rFonts w:asciiTheme="minorHAnsi" w:hAnsiTheme="minorHAnsi" w:cstheme="minorHAnsi"/>
                <w:noProof/>
                <w:sz w:val="16"/>
                <w:szCs w:val="16"/>
              </w:rPr>
              <w:t>Can’t tell</w:t>
            </w:r>
          </w:p>
        </w:tc>
        <w:tc>
          <w:tcPr>
            <w:tcW w:w="232" w:type="pct"/>
            <w:vAlign w:val="center"/>
          </w:tcPr>
          <w:p w14:paraId="2E8496F0" w14:textId="1A7C4832" w:rsidR="000120E1" w:rsidRPr="000E2305" w:rsidRDefault="000120E1" w:rsidP="000120E1">
            <w:pPr>
              <w:spacing w:before="0" w:after="0" w:line="240" w:lineRule="auto"/>
              <w:jc w:val="center"/>
              <w:rPr>
                <w:rFonts w:asciiTheme="minorHAnsi" w:hAnsiTheme="minorHAnsi" w:cstheme="minorHAnsi"/>
                <w:noProof/>
                <w:sz w:val="16"/>
                <w:szCs w:val="16"/>
              </w:rPr>
            </w:pPr>
            <w:r w:rsidRPr="000E2305">
              <w:rPr>
                <w:rFonts w:asciiTheme="minorHAnsi" w:hAnsiTheme="minorHAnsi" w:cstheme="minorHAnsi"/>
                <w:noProof/>
                <w:sz w:val="16"/>
                <w:szCs w:val="16"/>
              </w:rPr>
              <w:t>n/a</w:t>
            </w:r>
          </w:p>
        </w:tc>
        <w:tc>
          <w:tcPr>
            <w:tcW w:w="220" w:type="pct"/>
            <w:vAlign w:val="center"/>
          </w:tcPr>
          <w:p w14:paraId="2F9F4DAE" w14:textId="45611AFB" w:rsidR="000120E1" w:rsidRPr="000E2305" w:rsidRDefault="000120E1" w:rsidP="000120E1">
            <w:pPr>
              <w:spacing w:before="0" w:after="0" w:line="240" w:lineRule="auto"/>
              <w:jc w:val="center"/>
              <w:rPr>
                <w:rFonts w:asciiTheme="minorHAnsi" w:hAnsiTheme="minorHAnsi" w:cstheme="minorHAnsi"/>
                <w:noProof/>
                <w:sz w:val="16"/>
                <w:szCs w:val="16"/>
              </w:rPr>
            </w:pPr>
            <w:r>
              <w:rPr>
                <w:rFonts w:asciiTheme="minorHAnsi" w:hAnsiTheme="minorHAnsi" w:cstheme="minorHAnsi"/>
                <w:noProof/>
                <w:sz w:val="16"/>
                <w:szCs w:val="16"/>
              </w:rPr>
              <w:t>N</w:t>
            </w:r>
          </w:p>
        </w:tc>
      </w:tr>
      <w:tr w:rsidR="000120E1" w:rsidRPr="000E2305" w14:paraId="03811B44" w14:textId="77777777" w:rsidTr="000212D1">
        <w:trPr>
          <w:cantSplit/>
        </w:trPr>
        <w:tc>
          <w:tcPr>
            <w:tcW w:w="169" w:type="pct"/>
            <w:shd w:val="clear" w:color="auto" w:fill="FFFF00"/>
            <w:vAlign w:val="center"/>
          </w:tcPr>
          <w:p w14:paraId="2F875257" w14:textId="77777777" w:rsidR="000120E1" w:rsidRPr="000E2305" w:rsidRDefault="000120E1" w:rsidP="000120E1">
            <w:pPr>
              <w:spacing w:before="0" w:after="0" w:line="240" w:lineRule="auto"/>
              <w:rPr>
                <w:rFonts w:asciiTheme="minorHAnsi" w:hAnsiTheme="minorHAnsi" w:cstheme="minorHAnsi"/>
                <w:b/>
                <w:noProof/>
                <w:sz w:val="16"/>
                <w:szCs w:val="16"/>
              </w:rPr>
            </w:pPr>
          </w:p>
        </w:tc>
        <w:tc>
          <w:tcPr>
            <w:tcW w:w="2291" w:type="pct"/>
          </w:tcPr>
          <w:p w14:paraId="756E9B16" w14:textId="77777777" w:rsidR="000120E1" w:rsidRPr="000E2305" w:rsidRDefault="000120E1" w:rsidP="000120E1">
            <w:pPr>
              <w:spacing w:before="0" w:after="0" w:line="240" w:lineRule="auto"/>
              <w:rPr>
                <w:rFonts w:asciiTheme="minorHAnsi" w:hAnsiTheme="minorHAnsi" w:cstheme="minorHAnsi"/>
                <w:noProof/>
                <w:sz w:val="16"/>
                <w:szCs w:val="16"/>
              </w:rPr>
            </w:pPr>
            <w:r w:rsidRPr="000E2305">
              <w:rPr>
                <w:rFonts w:asciiTheme="minorHAnsi" w:hAnsiTheme="minorHAnsi" w:cstheme="minorHAnsi"/>
                <w:noProof/>
                <w:sz w:val="16"/>
                <w:szCs w:val="16"/>
              </w:rPr>
              <w:t>If expert judgement is required, is the process documented and published?</w:t>
            </w:r>
          </w:p>
        </w:tc>
        <w:tc>
          <w:tcPr>
            <w:tcW w:w="232" w:type="pct"/>
            <w:shd w:val="clear" w:color="auto" w:fill="FFFF00"/>
            <w:vAlign w:val="center"/>
          </w:tcPr>
          <w:p w14:paraId="2F407FC6" w14:textId="1E0F7859" w:rsidR="000120E1" w:rsidRPr="000E2305" w:rsidRDefault="000120E1" w:rsidP="000120E1">
            <w:pPr>
              <w:spacing w:before="0" w:after="0" w:line="240" w:lineRule="auto"/>
              <w:jc w:val="center"/>
              <w:rPr>
                <w:rFonts w:asciiTheme="minorHAnsi" w:hAnsiTheme="minorHAnsi" w:cstheme="minorHAnsi"/>
                <w:noProof/>
                <w:sz w:val="16"/>
                <w:szCs w:val="16"/>
              </w:rPr>
            </w:pPr>
            <w:r>
              <w:rPr>
                <w:rFonts w:asciiTheme="minorHAnsi" w:hAnsiTheme="minorHAnsi" w:cstheme="minorHAnsi"/>
                <w:noProof/>
                <w:sz w:val="16"/>
                <w:szCs w:val="16"/>
              </w:rPr>
              <w:t>Y</w:t>
            </w:r>
          </w:p>
        </w:tc>
        <w:tc>
          <w:tcPr>
            <w:tcW w:w="232" w:type="pct"/>
            <w:vAlign w:val="center"/>
          </w:tcPr>
          <w:p w14:paraId="58728E3E" w14:textId="234811B6" w:rsidR="000120E1" w:rsidRPr="000E2305" w:rsidRDefault="000120E1" w:rsidP="000120E1">
            <w:pPr>
              <w:spacing w:before="0" w:after="0" w:line="240" w:lineRule="auto"/>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232" w:type="pct"/>
            <w:vAlign w:val="center"/>
          </w:tcPr>
          <w:p w14:paraId="3DC7CD05" w14:textId="1C38520C" w:rsidR="000120E1" w:rsidRPr="000E2305" w:rsidRDefault="000120E1" w:rsidP="000120E1">
            <w:pPr>
              <w:spacing w:before="0" w:after="0" w:line="240" w:lineRule="auto"/>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232" w:type="pct"/>
            <w:vAlign w:val="center"/>
          </w:tcPr>
          <w:p w14:paraId="35111341" w14:textId="6BF9B5E4" w:rsidR="000120E1" w:rsidRPr="000E2305" w:rsidRDefault="000120E1" w:rsidP="000120E1">
            <w:pPr>
              <w:spacing w:before="0" w:after="0" w:line="240" w:lineRule="auto"/>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232" w:type="pct"/>
            <w:vAlign w:val="center"/>
          </w:tcPr>
          <w:p w14:paraId="6B1C87AB" w14:textId="5CC9008A" w:rsidR="000120E1" w:rsidRPr="000E2305" w:rsidRDefault="000120E1" w:rsidP="000120E1">
            <w:pPr>
              <w:spacing w:before="0" w:after="0" w:line="240" w:lineRule="auto"/>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232" w:type="pct"/>
            <w:vAlign w:val="center"/>
          </w:tcPr>
          <w:p w14:paraId="408D89E8" w14:textId="31EA2B95" w:rsidR="000120E1" w:rsidRPr="000E2305" w:rsidRDefault="000120E1" w:rsidP="000120E1">
            <w:pPr>
              <w:spacing w:before="0" w:after="0" w:line="240" w:lineRule="auto"/>
              <w:jc w:val="center"/>
              <w:rPr>
                <w:rFonts w:asciiTheme="minorHAnsi" w:hAnsiTheme="minorHAnsi" w:cstheme="minorHAnsi"/>
                <w:noProof/>
                <w:sz w:val="16"/>
                <w:szCs w:val="16"/>
              </w:rPr>
            </w:pPr>
            <w:r w:rsidRPr="000E2305">
              <w:rPr>
                <w:rFonts w:asciiTheme="minorHAnsi" w:hAnsiTheme="minorHAnsi" w:cstheme="minorHAnsi"/>
                <w:noProof/>
                <w:sz w:val="16"/>
                <w:szCs w:val="16"/>
              </w:rPr>
              <w:t>N</w:t>
            </w:r>
          </w:p>
        </w:tc>
        <w:tc>
          <w:tcPr>
            <w:tcW w:w="232" w:type="pct"/>
            <w:vAlign w:val="center"/>
          </w:tcPr>
          <w:p w14:paraId="10F05A95" w14:textId="77777777" w:rsidR="000120E1" w:rsidRPr="000E2305" w:rsidRDefault="000120E1" w:rsidP="000120E1">
            <w:pPr>
              <w:spacing w:before="0" w:after="0" w:line="240" w:lineRule="auto"/>
              <w:jc w:val="center"/>
              <w:rPr>
                <w:rFonts w:asciiTheme="minorHAnsi" w:hAnsiTheme="minorHAnsi" w:cstheme="minorHAnsi"/>
                <w:noProof/>
                <w:sz w:val="16"/>
                <w:szCs w:val="16"/>
              </w:rPr>
            </w:pPr>
            <w:r w:rsidRPr="000E2305">
              <w:rPr>
                <w:rFonts w:asciiTheme="minorHAnsi" w:hAnsiTheme="minorHAnsi" w:cstheme="minorHAnsi"/>
                <w:noProof/>
                <w:sz w:val="16"/>
                <w:szCs w:val="16"/>
              </w:rPr>
              <w:t>n/a</w:t>
            </w:r>
          </w:p>
        </w:tc>
        <w:tc>
          <w:tcPr>
            <w:tcW w:w="232" w:type="pct"/>
            <w:vAlign w:val="center"/>
          </w:tcPr>
          <w:p w14:paraId="6FCFBCAD" w14:textId="58CD46D9" w:rsidR="000120E1" w:rsidRPr="000E2305" w:rsidRDefault="000120E1" w:rsidP="000120E1">
            <w:pPr>
              <w:spacing w:before="0" w:after="0" w:line="240" w:lineRule="auto"/>
              <w:jc w:val="center"/>
              <w:rPr>
                <w:rFonts w:asciiTheme="minorHAnsi" w:hAnsiTheme="minorHAnsi" w:cstheme="minorHAnsi"/>
                <w:noProof/>
                <w:sz w:val="16"/>
                <w:szCs w:val="16"/>
              </w:rPr>
            </w:pPr>
            <w:r w:rsidRPr="000E2305">
              <w:rPr>
                <w:rFonts w:asciiTheme="minorHAnsi" w:hAnsiTheme="minorHAnsi" w:cstheme="minorHAnsi"/>
                <w:noProof/>
                <w:sz w:val="16"/>
                <w:szCs w:val="16"/>
              </w:rPr>
              <w:t>n/a</w:t>
            </w:r>
          </w:p>
        </w:tc>
        <w:tc>
          <w:tcPr>
            <w:tcW w:w="232" w:type="pct"/>
            <w:vAlign w:val="center"/>
          </w:tcPr>
          <w:p w14:paraId="0F861BAE" w14:textId="77777777" w:rsidR="000120E1" w:rsidRPr="000E2305" w:rsidRDefault="000120E1" w:rsidP="000120E1">
            <w:pPr>
              <w:spacing w:before="0" w:after="0" w:line="240" w:lineRule="auto"/>
              <w:jc w:val="center"/>
              <w:rPr>
                <w:rFonts w:asciiTheme="minorHAnsi" w:hAnsiTheme="minorHAnsi" w:cstheme="minorHAnsi"/>
                <w:noProof/>
                <w:sz w:val="16"/>
                <w:szCs w:val="16"/>
              </w:rPr>
            </w:pPr>
            <w:r w:rsidRPr="000E2305">
              <w:rPr>
                <w:rFonts w:asciiTheme="minorHAnsi" w:hAnsiTheme="minorHAnsi" w:cstheme="minorHAnsi"/>
                <w:noProof/>
                <w:sz w:val="16"/>
                <w:szCs w:val="16"/>
              </w:rPr>
              <w:t>N</w:t>
            </w:r>
          </w:p>
        </w:tc>
        <w:tc>
          <w:tcPr>
            <w:tcW w:w="232" w:type="pct"/>
            <w:vAlign w:val="center"/>
          </w:tcPr>
          <w:p w14:paraId="26E0AC2B" w14:textId="3812DC81" w:rsidR="000120E1" w:rsidRPr="000E2305" w:rsidRDefault="000120E1" w:rsidP="000120E1">
            <w:pPr>
              <w:spacing w:before="0" w:after="0" w:line="240" w:lineRule="auto"/>
              <w:jc w:val="center"/>
              <w:rPr>
                <w:rFonts w:asciiTheme="minorHAnsi" w:hAnsiTheme="minorHAnsi" w:cstheme="minorHAnsi"/>
                <w:noProof/>
                <w:sz w:val="16"/>
                <w:szCs w:val="16"/>
              </w:rPr>
            </w:pPr>
            <w:r w:rsidRPr="000E2305">
              <w:rPr>
                <w:rFonts w:asciiTheme="minorHAnsi" w:hAnsiTheme="minorHAnsi" w:cstheme="minorHAnsi"/>
                <w:noProof/>
                <w:sz w:val="16"/>
                <w:szCs w:val="16"/>
              </w:rPr>
              <w:t>n/a</w:t>
            </w:r>
          </w:p>
        </w:tc>
        <w:tc>
          <w:tcPr>
            <w:tcW w:w="220" w:type="pct"/>
            <w:vAlign w:val="center"/>
          </w:tcPr>
          <w:p w14:paraId="1439ABD1" w14:textId="2620C8EC" w:rsidR="000120E1" w:rsidRPr="000E2305" w:rsidRDefault="000120E1" w:rsidP="000120E1">
            <w:pPr>
              <w:spacing w:before="0" w:after="0" w:line="240" w:lineRule="auto"/>
              <w:jc w:val="center"/>
              <w:rPr>
                <w:rFonts w:asciiTheme="minorHAnsi" w:hAnsiTheme="minorHAnsi" w:cstheme="minorHAnsi"/>
                <w:noProof/>
                <w:sz w:val="16"/>
                <w:szCs w:val="16"/>
              </w:rPr>
            </w:pPr>
            <w:r>
              <w:rPr>
                <w:rFonts w:asciiTheme="minorHAnsi" w:hAnsiTheme="minorHAnsi" w:cstheme="minorHAnsi"/>
                <w:noProof/>
                <w:sz w:val="16"/>
                <w:szCs w:val="16"/>
              </w:rPr>
              <w:t>N</w:t>
            </w:r>
          </w:p>
        </w:tc>
      </w:tr>
      <w:tr w:rsidR="000120E1" w:rsidRPr="000E2305" w14:paraId="14B02FAB" w14:textId="77777777" w:rsidTr="000212D1">
        <w:trPr>
          <w:cantSplit/>
        </w:trPr>
        <w:tc>
          <w:tcPr>
            <w:tcW w:w="169" w:type="pct"/>
            <w:shd w:val="clear" w:color="auto" w:fill="92CDDC"/>
            <w:vAlign w:val="center"/>
          </w:tcPr>
          <w:p w14:paraId="0AFFA4DF" w14:textId="77777777" w:rsidR="000120E1" w:rsidRPr="000E2305" w:rsidRDefault="000120E1" w:rsidP="000120E1">
            <w:pPr>
              <w:spacing w:before="0" w:after="0" w:line="240" w:lineRule="auto"/>
              <w:rPr>
                <w:rFonts w:asciiTheme="minorHAnsi" w:hAnsiTheme="minorHAnsi" w:cstheme="minorHAnsi"/>
                <w:b/>
                <w:noProof/>
                <w:sz w:val="16"/>
                <w:szCs w:val="16"/>
              </w:rPr>
            </w:pPr>
          </w:p>
        </w:tc>
        <w:tc>
          <w:tcPr>
            <w:tcW w:w="2291" w:type="pct"/>
          </w:tcPr>
          <w:p w14:paraId="0C64B616" w14:textId="77777777" w:rsidR="000120E1" w:rsidRPr="000E2305" w:rsidRDefault="000120E1" w:rsidP="000120E1">
            <w:pPr>
              <w:spacing w:before="0" w:after="0" w:line="240" w:lineRule="auto"/>
              <w:rPr>
                <w:rFonts w:asciiTheme="minorHAnsi" w:hAnsiTheme="minorHAnsi" w:cstheme="minorHAnsi"/>
                <w:noProof/>
                <w:sz w:val="16"/>
                <w:szCs w:val="16"/>
              </w:rPr>
            </w:pPr>
            <w:r w:rsidRPr="000E2305">
              <w:rPr>
                <w:rFonts w:asciiTheme="minorHAnsi" w:hAnsiTheme="minorHAnsi" w:cstheme="minorHAnsi"/>
                <w:noProof/>
                <w:sz w:val="16"/>
                <w:szCs w:val="16"/>
              </w:rPr>
              <w:t>Is dose response modelling (e.g. BMDL) routinely used?</w:t>
            </w:r>
          </w:p>
        </w:tc>
        <w:tc>
          <w:tcPr>
            <w:tcW w:w="232" w:type="pct"/>
            <w:shd w:val="clear" w:color="auto" w:fill="92CDDC"/>
            <w:vAlign w:val="center"/>
          </w:tcPr>
          <w:p w14:paraId="0EAA30E1" w14:textId="61CAD04E" w:rsidR="000120E1" w:rsidRPr="000E2305" w:rsidRDefault="000120E1" w:rsidP="000120E1">
            <w:pPr>
              <w:spacing w:before="0" w:after="0" w:line="240" w:lineRule="auto"/>
              <w:jc w:val="center"/>
              <w:rPr>
                <w:rFonts w:asciiTheme="minorHAnsi" w:hAnsiTheme="minorHAnsi" w:cstheme="minorHAnsi"/>
                <w:noProof/>
                <w:sz w:val="16"/>
                <w:szCs w:val="16"/>
              </w:rPr>
            </w:pPr>
            <w:r>
              <w:rPr>
                <w:rFonts w:asciiTheme="minorHAnsi" w:hAnsiTheme="minorHAnsi" w:cstheme="minorHAnsi"/>
                <w:noProof/>
                <w:sz w:val="16"/>
                <w:szCs w:val="16"/>
              </w:rPr>
              <w:t>Y</w:t>
            </w:r>
          </w:p>
        </w:tc>
        <w:tc>
          <w:tcPr>
            <w:tcW w:w="232" w:type="pct"/>
            <w:vAlign w:val="center"/>
          </w:tcPr>
          <w:p w14:paraId="3221D4C5" w14:textId="01DAC333" w:rsidR="000120E1" w:rsidRPr="000E2305" w:rsidRDefault="000120E1" w:rsidP="000120E1">
            <w:pPr>
              <w:spacing w:before="0" w:after="0" w:line="240" w:lineRule="auto"/>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232" w:type="pct"/>
            <w:vAlign w:val="center"/>
          </w:tcPr>
          <w:p w14:paraId="56EC69C6" w14:textId="02AB55CC" w:rsidR="000120E1" w:rsidRPr="000E2305" w:rsidRDefault="000120E1" w:rsidP="000120E1">
            <w:pPr>
              <w:spacing w:before="0" w:after="0" w:line="240" w:lineRule="auto"/>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232" w:type="pct"/>
            <w:vAlign w:val="center"/>
          </w:tcPr>
          <w:p w14:paraId="46A2B376" w14:textId="249F6A8E" w:rsidR="000120E1" w:rsidRPr="000E2305" w:rsidRDefault="000120E1" w:rsidP="000120E1">
            <w:pPr>
              <w:spacing w:before="0" w:after="0" w:line="240" w:lineRule="auto"/>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232" w:type="pct"/>
            <w:vAlign w:val="center"/>
          </w:tcPr>
          <w:p w14:paraId="6ACB8A3C" w14:textId="33939B15" w:rsidR="000120E1" w:rsidRPr="000E2305" w:rsidRDefault="000120E1" w:rsidP="000120E1">
            <w:pPr>
              <w:spacing w:before="0" w:after="0" w:line="240" w:lineRule="auto"/>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232" w:type="pct"/>
            <w:vAlign w:val="center"/>
          </w:tcPr>
          <w:p w14:paraId="1D830DDE" w14:textId="549316AC" w:rsidR="000120E1" w:rsidRPr="000E2305" w:rsidRDefault="000120E1" w:rsidP="000120E1">
            <w:pPr>
              <w:spacing w:before="0" w:after="0" w:line="240" w:lineRule="auto"/>
              <w:jc w:val="center"/>
              <w:rPr>
                <w:rFonts w:asciiTheme="minorHAnsi" w:hAnsiTheme="minorHAnsi" w:cstheme="minorHAnsi"/>
                <w:noProof/>
                <w:sz w:val="16"/>
                <w:szCs w:val="16"/>
              </w:rPr>
            </w:pPr>
            <w:r w:rsidRPr="000E2305">
              <w:rPr>
                <w:rFonts w:asciiTheme="minorHAnsi" w:hAnsiTheme="minorHAnsi" w:cstheme="minorHAnsi"/>
                <w:noProof/>
                <w:sz w:val="16"/>
                <w:szCs w:val="16"/>
              </w:rPr>
              <w:t>N</w:t>
            </w:r>
          </w:p>
        </w:tc>
        <w:tc>
          <w:tcPr>
            <w:tcW w:w="232" w:type="pct"/>
            <w:vAlign w:val="center"/>
          </w:tcPr>
          <w:p w14:paraId="47B7D10B" w14:textId="77777777" w:rsidR="000120E1" w:rsidRPr="000E2305" w:rsidRDefault="000120E1" w:rsidP="000120E1">
            <w:pPr>
              <w:spacing w:before="0" w:after="0" w:line="240" w:lineRule="auto"/>
              <w:jc w:val="center"/>
              <w:rPr>
                <w:rFonts w:asciiTheme="minorHAnsi" w:hAnsiTheme="minorHAnsi" w:cstheme="minorHAnsi"/>
                <w:noProof/>
                <w:sz w:val="16"/>
                <w:szCs w:val="16"/>
              </w:rPr>
            </w:pPr>
            <w:r w:rsidRPr="000E2305">
              <w:rPr>
                <w:rFonts w:asciiTheme="minorHAnsi" w:hAnsiTheme="minorHAnsi" w:cstheme="minorHAnsi"/>
                <w:noProof/>
                <w:sz w:val="16"/>
                <w:szCs w:val="16"/>
              </w:rPr>
              <w:t>n/a</w:t>
            </w:r>
          </w:p>
        </w:tc>
        <w:tc>
          <w:tcPr>
            <w:tcW w:w="232" w:type="pct"/>
            <w:vAlign w:val="center"/>
          </w:tcPr>
          <w:p w14:paraId="71DB7334" w14:textId="366CEB4A" w:rsidR="000120E1" w:rsidRPr="000E2305" w:rsidRDefault="000120E1" w:rsidP="000120E1">
            <w:pPr>
              <w:spacing w:before="0" w:after="0" w:line="240" w:lineRule="auto"/>
              <w:jc w:val="center"/>
              <w:rPr>
                <w:rFonts w:asciiTheme="minorHAnsi" w:hAnsiTheme="minorHAnsi" w:cstheme="minorHAnsi"/>
                <w:noProof/>
                <w:sz w:val="16"/>
                <w:szCs w:val="16"/>
              </w:rPr>
            </w:pPr>
            <w:r w:rsidRPr="000E2305">
              <w:rPr>
                <w:rFonts w:asciiTheme="minorHAnsi" w:hAnsiTheme="minorHAnsi" w:cstheme="minorHAnsi"/>
                <w:noProof/>
                <w:sz w:val="16"/>
                <w:szCs w:val="16"/>
              </w:rPr>
              <w:t>n/a</w:t>
            </w:r>
          </w:p>
        </w:tc>
        <w:tc>
          <w:tcPr>
            <w:tcW w:w="232" w:type="pct"/>
            <w:vAlign w:val="center"/>
          </w:tcPr>
          <w:p w14:paraId="0ADF746D" w14:textId="7537987F" w:rsidR="000120E1" w:rsidRPr="000E2305" w:rsidRDefault="000120E1" w:rsidP="000120E1">
            <w:pPr>
              <w:spacing w:before="0" w:after="0" w:line="240" w:lineRule="auto"/>
              <w:jc w:val="center"/>
              <w:rPr>
                <w:rFonts w:asciiTheme="minorHAnsi" w:hAnsiTheme="minorHAnsi" w:cstheme="minorHAnsi"/>
                <w:noProof/>
                <w:sz w:val="16"/>
                <w:szCs w:val="16"/>
              </w:rPr>
            </w:pPr>
            <w:r>
              <w:rPr>
                <w:rFonts w:asciiTheme="minorHAnsi" w:hAnsiTheme="minorHAnsi" w:cstheme="minorHAnsi"/>
                <w:noProof/>
                <w:sz w:val="16"/>
                <w:szCs w:val="16"/>
              </w:rPr>
              <w:t>Can’t tell</w:t>
            </w:r>
          </w:p>
        </w:tc>
        <w:tc>
          <w:tcPr>
            <w:tcW w:w="232" w:type="pct"/>
            <w:vAlign w:val="center"/>
          </w:tcPr>
          <w:p w14:paraId="398227AE" w14:textId="55852A70" w:rsidR="000120E1" w:rsidRPr="000E2305" w:rsidRDefault="000120E1" w:rsidP="000120E1">
            <w:pPr>
              <w:spacing w:before="0" w:after="0" w:line="240" w:lineRule="auto"/>
              <w:jc w:val="center"/>
              <w:rPr>
                <w:rFonts w:asciiTheme="minorHAnsi" w:hAnsiTheme="minorHAnsi" w:cstheme="minorHAnsi"/>
                <w:noProof/>
                <w:sz w:val="16"/>
                <w:szCs w:val="16"/>
              </w:rPr>
            </w:pPr>
            <w:r w:rsidRPr="000E2305">
              <w:rPr>
                <w:rFonts w:asciiTheme="minorHAnsi" w:hAnsiTheme="minorHAnsi" w:cstheme="minorHAnsi"/>
                <w:noProof/>
                <w:sz w:val="16"/>
                <w:szCs w:val="16"/>
              </w:rPr>
              <w:t>n/a</w:t>
            </w:r>
          </w:p>
        </w:tc>
        <w:tc>
          <w:tcPr>
            <w:tcW w:w="220" w:type="pct"/>
            <w:vAlign w:val="center"/>
          </w:tcPr>
          <w:p w14:paraId="51390CE3" w14:textId="092C221A" w:rsidR="000120E1" w:rsidRPr="000E2305" w:rsidRDefault="000120E1" w:rsidP="000120E1">
            <w:pPr>
              <w:spacing w:before="0" w:after="0" w:line="240" w:lineRule="auto"/>
              <w:jc w:val="center"/>
              <w:rPr>
                <w:rFonts w:asciiTheme="minorHAnsi" w:hAnsiTheme="minorHAnsi" w:cstheme="minorHAnsi"/>
                <w:noProof/>
                <w:sz w:val="16"/>
                <w:szCs w:val="16"/>
              </w:rPr>
            </w:pPr>
            <w:r>
              <w:rPr>
                <w:rFonts w:asciiTheme="minorHAnsi" w:hAnsiTheme="minorHAnsi" w:cstheme="minorHAnsi"/>
                <w:noProof/>
                <w:sz w:val="16"/>
                <w:szCs w:val="16"/>
              </w:rPr>
              <w:t>N</w:t>
            </w:r>
          </w:p>
        </w:tc>
      </w:tr>
      <w:tr w:rsidR="000120E1" w:rsidRPr="000E2305" w14:paraId="15F4462C" w14:textId="77777777" w:rsidTr="000212D1">
        <w:trPr>
          <w:cantSplit/>
        </w:trPr>
        <w:tc>
          <w:tcPr>
            <w:tcW w:w="169" w:type="pct"/>
            <w:shd w:val="clear" w:color="auto" w:fill="92D050"/>
            <w:vAlign w:val="center"/>
          </w:tcPr>
          <w:p w14:paraId="4621665F" w14:textId="77777777" w:rsidR="000120E1" w:rsidRPr="000E2305" w:rsidRDefault="000120E1" w:rsidP="000120E1">
            <w:pPr>
              <w:spacing w:before="0" w:after="0" w:line="240" w:lineRule="auto"/>
              <w:rPr>
                <w:rFonts w:asciiTheme="minorHAnsi" w:hAnsiTheme="minorHAnsi" w:cstheme="minorHAnsi"/>
                <w:b/>
                <w:noProof/>
                <w:sz w:val="16"/>
                <w:szCs w:val="16"/>
              </w:rPr>
            </w:pPr>
          </w:p>
        </w:tc>
        <w:tc>
          <w:tcPr>
            <w:tcW w:w="2291" w:type="pct"/>
          </w:tcPr>
          <w:p w14:paraId="0A612DA5" w14:textId="77777777" w:rsidR="000120E1" w:rsidRPr="000E2305" w:rsidRDefault="000120E1" w:rsidP="000120E1">
            <w:pPr>
              <w:spacing w:before="0" w:after="0" w:line="240" w:lineRule="auto"/>
              <w:rPr>
                <w:rFonts w:asciiTheme="minorHAnsi" w:hAnsiTheme="minorHAnsi" w:cstheme="minorHAnsi"/>
                <w:noProof/>
                <w:sz w:val="16"/>
                <w:szCs w:val="16"/>
              </w:rPr>
            </w:pPr>
            <w:r w:rsidRPr="000E2305">
              <w:rPr>
                <w:rFonts w:asciiTheme="minorHAnsi" w:hAnsiTheme="minorHAnsi" w:cstheme="minorHAnsi"/>
                <w:noProof/>
                <w:sz w:val="16"/>
                <w:szCs w:val="16"/>
              </w:rPr>
              <w:t>Has the organisation’s policy for dealing with substances for which a non-threshold mode of action may be applicable in humans been articulated and recorded?</w:t>
            </w:r>
          </w:p>
        </w:tc>
        <w:tc>
          <w:tcPr>
            <w:tcW w:w="232" w:type="pct"/>
            <w:shd w:val="clear" w:color="auto" w:fill="92D050"/>
            <w:vAlign w:val="center"/>
          </w:tcPr>
          <w:p w14:paraId="4D20D255" w14:textId="4DD94467" w:rsidR="000120E1" w:rsidRPr="000E2305" w:rsidRDefault="000120E1" w:rsidP="000120E1">
            <w:pPr>
              <w:spacing w:before="0" w:after="0" w:line="240" w:lineRule="auto"/>
              <w:jc w:val="center"/>
              <w:rPr>
                <w:rFonts w:asciiTheme="minorHAnsi" w:hAnsiTheme="minorHAnsi" w:cstheme="minorHAnsi"/>
                <w:noProof/>
                <w:sz w:val="16"/>
                <w:szCs w:val="16"/>
              </w:rPr>
            </w:pPr>
            <w:r>
              <w:rPr>
                <w:rFonts w:asciiTheme="minorHAnsi" w:hAnsiTheme="minorHAnsi" w:cstheme="minorHAnsi"/>
                <w:noProof/>
                <w:sz w:val="16"/>
                <w:szCs w:val="16"/>
              </w:rPr>
              <w:t>Y</w:t>
            </w:r>
          </w:p>
        </w:tc>
        <w:tc>
          <w:tcPr>
            <w:tcW w:w="232" w:type="pct"/>
            <w:vAlign w:val="center"/>
          </w:tcPr>
          <w:p w14:paraId="7F31D3FA" w14:textId="6C2F3488" w:rsidR="000120E1" w:rsidRPr="000E2305" w:rsidRDefault="000120E1" w:rsidP="000120E1">
            <w:pPr>
              <w:spacing w:before="0" w:after="0" w:line="240" w:lineRule="auto"/>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232" w:type="pct"/>
            <w:vAlign w:val="center"/>
          </w:tcPr>
          <w:p w14:paraId="359E1A80" w14:textId="649CF9FB" w:rsidR="000120E1" w:rsidRPr="000E2305" w:rsidRDefault="000120E1" w:rsidP="000120E1">
            <w:pPr>
              <w:spacing w:before="0" w:after="0" w:line="240" w:lineRule="auto"/>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232" w:type="pct"/>
            <w:vAlign w:val="center"/>
          </w:tcPr>
          <w:p w14:paraId="0D6B83EF" w14:textId="0FAFFFF4" w:rsidR="000120E1" w:rsidRPr="000E2305" w:rsidRDefault="000120E1" w:rsidP="000120E1">
            <w:pPr>
              <w:spacing w:before="0" w:after="0" w:line="240" w:lineRule="auto"/>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232" w:type="pct"/>
            <w:vAlign w:val="center"/>
          </w:tcPr>
          <w:p w14:paraId="70B11CB9" w14:textId="69C0A9EF" w:rsidR="000120E1" w:rsidRPr="000E2305" w:rsidRDefault="000120E1" w:rsidP="000120E1">
            <w:pPr>
              <w:spacing w:before="0" w:after="0" w:line="240" w:lineRule="auto"/>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232" w:type="pct"/>
            <w:shd w:val="clear" w:color="auto" w:fill="92D050"/>
            <w:vAlign w:val="center"/>
          </w:tcPr>
          <w:p w14:paraId="55A7C830" w14:textId="206CFBDB" w:rsidR="000120E1" w:rsidRPr="000E2305" w:rsidRDefault="000120E1" w:rsidP="000120E1">
            <w:pPr>
              <w:spacing w:before="0" w:after="0" w:line="240" w:lineRule="auto"/>
              <w:jc w:val="center"/>
              <w:rPr>
                <w:rFonts w:asciiTheme="minorHAnsi" w:hAnsiTheme="minorHAnsi" w:cstheme="minorHAnsi"/>
                <w:noProof/>
                <w:sz w:val="16"/>
                <w:szCs w:val="16"/>
              </w:rPr>
            </w:pPr>
            <w:r w:rsidRPr="000E2305">
              <w:rPr>
                <w:rFonts w:asciiTheme="minorHAnsi" w:hAnsiTheme="minorHAnsi" w:cstheme="minorHAnsi"/>
                <w:noProof/>
                <w:sz w:val="16"/>
                <w:szCs w:val="16"/>
              </w:rPr>
              <w:t>Y</w:t>
            </w:r>
          </w:p>
        </w:tc>
        <w:tc>
          <w:tcPr>
            <w:tcW w:w="232" w:type="pct"/>
            <w:vAlign w:val="center"/>
          </w:tcPr>
          <w:p w14:paraId="20B7B155" w14:textId="77777777" w:rsidR="000120E1" w:rsidRPr="000E2305" w:rsidRDefault="000120E1" w:rsidP="000120E1">
            <w:pPr>
              <w:spacing w:before="0" w:after="0" w:line="240" w:lineRule="auto"/>
              <w:jc w:val="center"/>
              <w:rPr>
                <w:rFonts w:asciiTheme="minorHAnsi" w:hAnsiTheme="minorHAnsi" w:cstheme="minorHAnsi"/>
                <w:noProof/>
                <w:sz w:val="16"/>
                <w:szCs w:val="16"/>
              </w:rPr>
            </w:pPr>
            <w:r w:rsidRPr="000E2305">
              <w:rPr>
                <w:rFonts w:asciiTheme="minorHAnsi" w:hAnsiTheme="minorHAnsi" w:cstheme="minorHAnsi"/>
                <w:noProof/>
                <w:sz w:val="16"/>
                <w:szCs w:val="16"/>
              </w:rPr>
              <w:t>n/a</w:t>
            </w:r>
          </w:p>
        </w:tc>
        <w:tc>
          <w:tcPr>
            <w:tcW w:w="232" w:type="pct"/>
            <w:vAlign w:val="center"/>
          </w:tcPr>
          <w:p w14:paraId="421ABFD4" w14:textId="79AF4730" w:rsidR="000120E1" w:rsidRPr="000E2305" w:rsidRDefault="000120E1" w:rsidP="000120E1">
            <w:pPr>
              <w:spacing w:before="0" w:after="0" w:line="240" w:lineRule="auto"/>
              <w:jc w:val="center"/>
              <w:rPr>
                <w:rFonts w:asciiTheme="minorHAnsi" w:hAnsiTheme="minorHAnsi" w:cstheme="minorHAnsi"/>
                <w:noProof/>
                <w:sz w:val="16"/>
                <w:szCs w:val="16"/>
              </w:rPr>
            </w:pPr>
            <w:r w:rsidRPr="000E2305">
              <w:rPr>
                <w:rFonts w:asciiTheme="minorHAnsi" w:hAnsiTheme="minorHAnsi" w:cstheme="minorHAnsi"/>
                <w:noProof/>
                <w:sz w:val="16"/>
                <w:szCs w:val="16"/>
              </w:rPr>
              <w:t>n/a</w:t>
            </w:r>
          </w:p>
        </w:tc>
        <w:tc>
          <w:tcPr>
            <w:tcW w:w="232" w:type="pct"/>
            <w:vAlign w:val="center"/>
          </w:tcPr>
          <w:p w14:paraId="173DF977" w14:textId="632C0E1A" w:rsidR="000120E1" w:rsidRPr="000E2305" w:rsidRDefault="000120E1" w:rsidP="000120E1">
            <w:pPr>
              <w:spacing w:before="0" w:after="0" w:line="240" w:lineRule="auto"/>
              <w:jc w:val="center"/>
              <w:rPr>
                <w:rFonts w:asciiTheme="minorHAnsi" w:hAnsiTheme="minorHAnsi" w:cstheme="minorHAnsi"/>
                <w:noProof/>
                <w:sz w:val="16"/>
                <w:szCs w:val="16"/>
              </w:rPr>
            </w:pPr>
            <w:r>
              <w:rPr>
                <w:rFonts w:asciiTheme="minorHAnsi" w:hAnsiTheme="minorHAnsi" w:cstheme="minorHAnsi"/>
                <w:noProof/>
                <w:sz w:val="16"/>
                <w:szCs w:val="16"/>
              </w:rPr>
              <w:t>Can’t tell</w:t>
            </w:r>
          </w:p>
        </w:tc>
        <w:tc>
          <w:tcPr>
            <w:tcW w:w="232" w:type="pct"/>
            <w:vAlign w:val="center"/>
          </w:tcPr>
          <w:p w14:paraId="3F980EB7" w14:textId="297D7E51" w:rsidR="000120E1" w:rsidRPr="000E2305" w:rsidRDefault="000120E1" w:rsidP="000120E1">
            <w:pPr>
              <w:spacing w:before="0" w:after="0" w:line="240" w:lineRule="auto"/>
              <w:jc w:val="center"/>
              <w:rPr>
                <w:rFonts w:asciiTheme="minorHAnsi" w:hAnsiTheme="minorHAnsi" w:cstheme="minorHAnsi"/>
                <w:noProof/>
                <w:sz w:val="16"/>
                <w:szCs w:val="16"/>
              </w:rPr>
            </w:pPr>
            <w:r w:rsidRPr="000E2305">
              <w:rPr>
                <w:rFonts w:asciiTheme="minorHAnsi" w:hAnsiTheme="minorHAnsi" w:cstheme="minorHAnsi"/>
                <w:noProof/>
                <w:sz w:val="16"/>
                <w:szCs w:val="16"/>
              </w:rPr>
              <w:t>n/a</w:t>
            </w:r>
          </w:p>
        </w:tc>
        <w:tc>
          <w:tcPr>
            <w:tcW w:w="220" w:type="pct"/>
            <w:vAlign w:val="center"/>
          </w:tcPr>
          <w:p w14:paraId="47795D12" w14:textId="603888B2" w:rsidR="000120E1" w:rsidRPr="000E2305" w:rsidRDefault="000120E1" w:rsidP="000120E1">
            <w:pPr>
              <w:spacing w:before="0" w:after="0" w:line="240" w:lineRule="auto"/>
              <w:jc w:val="center"/>
              <w:rPr>
                <w:rFonts w:asciiTheme="minorHAnsi" w:hAnsiTheme="minorHAnsi" w:cstheme="minorHAnsi"/>
                <w:noProof/>
                <w:sz w:val="16"/>
                <w:szCs w:val="16"/>
              </w:rPr>
            </w:pPr>
            <w:r>
              <w:rPr>
                <w:rFonts w:asciiTheme="minorHAnsi" w:hAnsiTheme="minorHAnsi" w:cstheme="minorHAnsi"/>
                <w:noProof/>
                <w:sz w:val="16"/>
                <w:szCs w:val="16"/>
              </w:rPr>
              <w:t>N</w:t>
            </w:r>
          </w:p>
        </w:tc>
      </w:tr>
      <w:tr w:rsidR="000120E1" w:rsidRPr="000E2305" w14:paraId="5FF95E2B" w14:textId="77777777" w:rsidTr="000212D1">
        <w:trPr>
          <w:cantSplit/>
        </w:trPr>
        <w:tc>
          <w:tcPr>
            <w:tcW w:w="169" w:type="pct"/>
            <w:shd w:val="clear" w:color="auto" w:fill="92D050"/>
            <w:vAlign w:val="center"/>
          </w:tcPr>
          <w:p w14:paraId="5734B62A" w14:textId="77777777" w:rsidR="000120E1" w:rsidRPr="000E2305" w:rsidRDefault="000120E1" w:rsidP="000120E1">
            <w:pPr>
              <w:spacing w:before="0" w:after="0" w:line="240" w:lineRule="auto"/>
              <w:rPr>
                <w:rFonts w:asciiTheme="minorHAnsi" w:hAnsiTheme="minorHAnsi" w:cstheme="minorHAnsi"/>
                <w:b/>
                <w:noProof/>
                <w:sz w:val="16"/>
                <w:szCs w:val="16"/>
              </w:rPr>
            </w:pPr>
          </w:p>
        </w:tc>
        <w:tc>
          <w:tcPr>
            <w:tcW w:w="2291" w:type="pct"/>
          </w:tcPr>
          <w:p w14:paraId="1C3D3B3B" w14:textId="77777777" w:rsidR="000120E1" w:rsidRPr="000E2305" w:rsidRDefault="000120E1" w:rsidP="000120E1">
            <w:pPr>
              <w:spacing w:before="0" w:after="0" w:line="240" w:lineRule="auto"/>
              <w:rPr>
                <w:rFonts w:asciiTheme="minorHAnsi" w:hAnsiTheme="minorHAnsi" w:cstheme="minorHAnsi"/>
                <w:noProof/>
                <w:sz w:val="16"/>
                <w:szCs w:val="16"/>
              </w:rPr>
            </w:pPr>
            <w:r w:rsidRPr="000E2305">
              <w:rPr>
                <w:rFonts w:asciiTheme="minorHAnsi" w:hAnsiTheme="minorHAnsi" w:cstheme="minorHAnsi"/>
                <w:noProof/>
                <w:sz w:val="16"/>
                <w:szCs w:val="16"/>
              </w:rPr>
              <w:t>If applicable: For carcinogens, what is the level of cancer risk used by the organisation to set the health-based guideline value?</w:t>
            </w:r>
          </w:p>
        </w:tc>
        <w:tc>
          <w:tcPr>
            <w:tcW w:w="232" w:type="pct"/>
            <w:vAlign w:val="center"/>
          </w:tcPr>
          <w:p w14:paraId="74161555" w14:textId="77777777" w:rsidR="000120E1" w:rsidRPr="000E2305" w:rsidRDefault="000120E1" w:rsidP="000120E1">
            <w:pPr>
              <w:spacing w:before="0" w:after="0" w:line="240" w:lineRule="auto"/>
              <w:jc w:val="center"/>
              <w:rPr>
                <w:rFonts w:asciiTheme="minorHAnsi" w:hAnsiTheme="minorHAnsi" w:cstheme="minorHAnsi"/>
                <w:noProof/>
                <w:sz w:val="16"/>
                <w:szCs w:val="16"/>
              </w:rPr>
            </w:pPr>
            <w:r w:rsidRPr="000E2305">
              <w:rPr>
                <w:rFonts w:asciiTheme="minorHAnsi" w:hAnsiTheme="minorHAnsi" w:cstheme="minorHAnsi"/>
                <w:noProof/>
                <w:sz w:val="16"/>
                <w:szCs w:val="16"/>
              </w:rPr>
              <w:t>n/a</w:t>
            </w:r>
          </w:p>
        </w:tc>
        <w:tc>
          <w:tcPr>
            <w:tcW w:w="232" w:type="pct"/>
            <w:vAlign w:val="center"/>
          </w:tcPr>
          <w:p w14:paraId="0E3D41FD" w14:textId="0085EA5A" w:rsidR="000120E1" w:rsidRPr="000E2305" w:rsidRDefault="000120E1" w:rsidP="000120E1">
            <w:pPr>
              <w:spacing w:before="0" w:after="0" w:line="240" w:lineRule="auto"/>
              <w:jc w:val="center"/>
              <w:rPr>
                <w:rFonts w:asciiTheme="minorHAnsi" w:hAnsiTheme="minorHAnsi" w:cstheme="minorHAnsi"/>
                <w:noProof/>
                <w:sz w:val="16"/>
                <w:szCs w:val="16"/>
              </w:rPr>
            </w:pPr>
            <w:r w:rsidRPr="000E2305">
              <w:rPr>
                <w:rFonts w:asciiTheme="minorHAnsi" w:hAnsiTheme="minorHAnsi" w:cstheme="minorHAnsi"/>
                <w:noProof/>
                <w:sz w:val="16"/>
                <w:szCs w:val="16"/>
              </w:rPr>
              <w:t>n/a</w:t>
            </w:r>
          </w:p>
        </w:tc>
        <w:tc>
          <w:tcPr>
            <w:tcW w:w="232" w:type="pct"/>
            <w:vAlign w:val="center"/>
          </w:tcPr>
          <w:p w14:paraId="5F192DCC" w14:textId="243564F1" w:rsidR="000120E1" w:rsidRPr="000E2305" w:rsidRDefault="000120E1" w:rsidP="000120E1">
            <w:pPr>
              <w:spacing w:before="0" w:after="0" w:line="240" w:lineRule="auto"/>
              <w:jc w:val="center"/>
              <w:rPr>
                <w:rFonts w:asciiTheme="minorHAnsi" w:hAnsiTheme="minorHAnsi" w:cstheme="minorHAnsi"/>
                <w:noProof/>
                <w:sz w:val="16"/>
                <w:szCs w:val="16"/>
              </w:rPr>
            </w:pPr>
            <w:r w:rsidRPr="000E2305">
              <w:rPr>
                <w:rFonts w:asciiTheme="minorHAnsi" w:hAnsiTheme="minorHAnsi" w:cstheme="minorHAnsi"/>
                <w:noProof/>
                <w:sz w:val="16"/>
                <w:szCs w:val="16"/>
              </w:rPr>
              <w:t>n/a</w:t>
            </w:r>
          </w:p>
        </w:tc>
        <w:tc>
          <w:tcPr>
            <w:tcW w:w="232" w:type="pct"/>
            <w:vAlign w:val="center"/>
          </w:tcPr>
          <w:p w14:paraId="63FECF5D" w14:textId="4FB78218" w:rsidR="000120E1" w:rsidRPr="000E2305" w:rsidRDefault="000120E1" w:rsidP="000120E1">
            <w:pPr>
              <w:spacing w:before="0" w:after="0" w:line="240" w:lineRule="auto"/>
              <w:jc w:val="center"/>
              <w:rPr>
                <w:rFonts w:asciiTheme="minorHAnsi" w:hAnsiTheme="minorHAnsi" w:cstheme="minorHAnsi"/>
                <w:noProof/>
                <w:sz w:val="16"/>
                <w:szCs w:val="16"/>
              </w:rPr>
            </w:pPr>
            <w:r w:rsidRPr="000E2305">
              <w:rPr>
                <w:rFonts w:asciiTheme="minorHAnsi" w:hAnsiTheme="minorHAnsi" w:cstheme="minorHAnsi"/>
                <w:noProof/>
                <w:sz w:val="16"/>
                <w:szCs w:val="16"/>
              </w:rPr>
              <w:t>n/a</w:t>
            </w:r>
          </w:p>
        </w:tc>
        <w:tc>
          <w:tcPr>
            <w:tcW w:w="232" w:type="pct"/>
            <w:vAlign w:val="center"/>
          </w:tcPr>
          <w:p w14:paraId="4165FDF9" w14:textId="2863AD3E" w:rsidR="000120E1" w:rsidRPr="000E2305" w:rsidRDefault="000120E1" w:rsidP="000120E1">
            <w:pPr>
              <w:spacing w:before="0" w:after="0" w:line="240" w:lineRule="auto"/>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232" w:type="pct"/>
            <w:vAlign w:val="center"/>
          </w:tcPr>
          <w:p w14:paraId="00CD1579" w14:textId="6EE1B029" w:rsidR="000120E1" w:rsidRPr="000E2305" w:rsidRDefault="000120E1" w:rsidP="000120E1">
            <w:pPr>
              <w:spacing w:before="0" w:after="0" w:line="240" w:lineRule="auto"/>
              <w:jc w:val="center"/>
              <w:rPr>
                <w:rFonts w:asciiTheme="minorHAnsi" w:hAnsiTheme="minorHAnsi" w:cstheme="minorHAnsi"/>
                <w:noProof/>
                <w:sz w:val="16"/>
                <w:szCs w:val="16"/>
              </w:rPr>
            </w:pPr>
            <w:r w:rsidRPr="000E2305">
              <w:rPr>
                <w:rFonts w:asciiTheme="minorHAnsi" w:hAnsiTheme="minorHAnsi" w:cstheme="minorHAnsi"/>
                <w:noProof/>
                <w:sz w:val="16"/>
                <w:szCs w:val="16"/>
              </w:rPr>
              <w:t>n/a</w:t>
            </w:r>
          </w:p>
        </w:tc>
        <w:tc>
          <w:tcPr>
            <w:tcW w:w="232" w:type="pct"/>
            <w:vAlign w:val="center"/>
          </w:tcPr>
          <w:p w14:paraId="56BD7888" w14:textId="77777777" w:rsidR="000120E1" w:rsidRPr="000E2305" w:rsidRDefault="000120E1" w:rsidP="000120E1">
            <w:pPr>
              <w:spacing w:before="0" w:after="0" w:line="240" w:lineRule="auto"/>
              <w:jc w:val="center"/>
              <w:rPr>
                <w:rFonts w:asciiTheme="minorHAnsi" w:hAnsiTheme="minorHAnsi" w:cstheme="minorHAnsi"/>
                <w:noProof/>
                <w:sz w:val="16"/>
                <w:szCs w:val="16"/>
              </w:rPr>
            </w:pPr>
            <w:r w:rsidRPr="000E2305">
              <w:rPr>
                <w:rFonts w:asciiTheme="minorHAnsi" w:hAnsiTheme="minorHAnsi" w:cstheme="minorHAnsi"/>
                <w:noProof/>
                <w:sz w:val="16"/>
                <w:szCs w:val="16"/>
              </w:rPr>
              <w:t>n/a</w:t>
            </w:r>
          </w:p>
        </w:tc>
        <w:tc>
          <w:tcPr>
            <w:tcW w:w="232" w:type="pct"/>
            <w:vAlign w:val="center"/>
          </w:tcPr>
          <w:p w14:paraId="3DC5CE60" w14:textId="5A32C3B0" w:rsidR="000120E1" w:rsidRPr="000E2305" w:rsidRDefault="000120E1" w:rsidP="000120E1">
            <w:pPr>
              <w:spacing w:before="0" w:after="0" w:line="240" w:lineRule="auto"/>
              <w:jc w:val="center"/>
              <w:rPr>
                <w:rFonts w:asciiTheme="minorHAnsi" w:hAnsiTheme="minorHAnsi" w:cstheme="minorHAnsi"/>
                <w:noProof/>
                <w:sz w:val="16"/>
                <w:szCs w:val="16"/>
              </w:rPr>
            </w:pPr>
            <w:r w:rsidRPr="000E2305">
              <w:rPr>
                <w:rFonts w:asciiTheme="minorHAnsi" w:hAnsiTheme="minorHAnsi" w:cstheme="minorHAnsi"/>
                <w:noProof/>
                <w:sz w:val="16"/>
                <w:szCs w:val="16"/>
              </w:rPr>
              <w:t>n/a</w:t>
            </w:r>
          </w:p>
        </w:tc>
        <w:tc>
          <w:tcPr>
            <w:tcW w:w="232" w:type="pct"/>
            <w:vAlign w:val="center"/>
          </w:tcPr>
          <w:p w14:paraId="688B1D6D" w14:textId="626D1ECA" w:rsidR="000120E1" w:rsidRPr="000E2305" w:rsidRDefault="000120E1" w:rsidP="000120E1">
            <w:pPr>
              <w:spacing w:before="0" w:after="0" w:line="240" w:lineRule="auto"/>
              <w:jc w:val="center"/>
              <w:rPr>
                <w:rFonts w:asciiTheme="minorHAnsi" w:hAnsiTheme="minorHAnsi" w:cstheme="minorHAnsi"/>
                <w:noProof/>
                <w:sz w:val="16"/>
                <w:szCs w:val="16"/>
              </w:rPr>
            </w:pPr>
            <w:r>
              <w:rPr>
                <w:rFonts w:asciiTheme="minorHAnsi" w:hAnsiTheme="minorHAnsi" w:cstheme="minorHAnsi"/>
                <w:noProof/>
                <w:sz w:val="16"/>
                <w:szCs w:val="16"/>
              </w:rPr>
              <w:t>Can’t tell</w:t>
            </w:r>
          </w:p>
        </w:tc>
        <w:tc>
          <w:tcPr>
            <w:tcW w:w="232" w:type="pct"/>
            <w:vAlign w:val="center"/>
          </w:tcPr>
          <w:p w14:paraId="3BF4D5A9" w14:textId="60E8802C" w:rsidR="000120E1" w:rsidRPr="000E2305" w:rsidRDefault="000120E1" w:rsidP="000120E1">
            <w:pPr>
              <w:spacing w:before="0" w:after="0" w:line="240" w:lineRule="auto"/>
              <w:jc w:val="center"/>
              <w:rPr>
                <w:rFonts w:asciiTheme="minorHAnsi" w:hAnsiTheme="minorHAnsi" w:cstheme="minorHAnsi"/>
                <w:noProof/>
                <w:sz w:val="16"/>
                <w:szCs w:val="16"/>
              </w:rPr>
            </w:pPr>
            <w:r w:rsidRPr="000E2305">
              <w:rPr>
                <w:rFonts w:asciiTheme="minorHAnsi" w:hAnsiTheme="minorHAnsi" w:cstheme="minorHAnsi"/>
                <w:noProof/>
                <w:sz w:val="16"/>
                <w:szCs w:val="16"/>
              </w:rPr>
              <w:t>n/a</w:t>
            </w:r>
          </w:p>
        </w:tc>
        <w:tc>
          <w:tcPr>
            <w:tcW w:w="220" w:type="pct"/>
            <w:vAlign w:val="center"/>
          </w:tcPr>
          <w:p w14:paraId="3AB57FEC" w14:textId="77777777" w:rsidR="000120E1" w:rsidRPr="000E2305" w:rsidRDefault="000120E1" w:rsidP="000120E1">
            <w:pPr>
              <w:spacing w:before="0" w:after="0" w:line="240" w:lineRule="auto"/>
              <w:jc w:val="center"/>
              <w:rPr>
                <w:rFonts w:asciiTheme="minorHAnsi" w:hAnsiTheme="minorHAnsi" w:cstheme="minorHAnsi"/>
                <w:noProof/>
                <w:sz w:val="16"/>
                <w:szCs w:val="16"/>
              </w:rPr>
            </w:pPr>
            <w:r w:rsidRPr="000E2305">
              <w:rPr>
                <w:rFonts w:asciiTheme="minorHAnsi" w:hAnsiTheme="minorHAnsi" w:cstheme="minorHAnsi"/>
                <w:noProof/>
                <w:sz w:val="16"/>
                <w:szCs w:val="16"/>
              </w:rPr>
              <w:t>n/a</w:t>
            </w:r>
          </w:p>
        </w:tc>
      </w:tr>
      <w:tr w:rsidR="000120E1" w:rsidRPr="000E2305" w14:paraId="640D52AC" w14:textId="77777777" w:rsidTr="000212D1">
        <w:trPr>
          <w:cantSplit/>
        </w:trPr>
        <w:tc>
          <w:tcPr>
            <w:tcW w:w="169" w:type="pct"/>
            <w:shd w:val="clear" w:color="auto" w:fill="D6EAEB"/>
            <w:vAlign w:val="center"/>
          </w:tcPr>
          <w:p w14:paraId="7C9E84DD" w14:textId="77777777" w:rsidR="000120E1" w:rsidRPr="000E2305" w:rsidRDefault="000120E1" w:rsidP="000120E1">
            <w:pPr>
              <w:keepNext/>
              <w:spacing w:before="0" w:after="0" w:line="240" w:lineRule="auto"/>
              <w:rPr>
                <w:rFonts w:asciiTheme="minorHAnsi" w:hAnsiTheme="minorHAnsi" w:cstheme="minorHAnsi"/>
                <w:b/>
                <w:noProof/>
                <w:sz w:val="16"/>
                <w:szCs w:val="16"/>
              </w:rPr>
            </w:pPr>
          </w:p>
        </w:tc>
        <w:tc>
          <w:tcPr>
            <w:tcW w:w="2291" w:type="pct"/>
            <w:shd w:val="clear" w:color="auto" w:fill="D6EAEB"/>
            <w:vAlign w:val="center"/>
          </w:tcPr>
          <w:p w14:paraId="685C0C0B" w14:textId="77777777" w:rsidR="000120E1" w:rsidRPr="000E2305" w:rsidRDefault="000120E1" w:rsidP="000120E1">
            <w:pPr>
              <w:keepNext/>
              <w:spacing w:before="0" w:after="0" w:line="240" w:lineRule="auto"/>
              <w:rPr>
                <w:rFonts w:asciiTheme="minorHAnsi" w:hAnsiTheme="minorHAnsi" w:cstheme="minorHAnsi"/>
                <w:b/>
                <w:noProof/>
                <w:sz w:val="16"/>
                <w:szCs w:val="16"/>
              </w:rPr>
            </w:pPr>
            <w:r w:rsidRPr="000E2305">
              <w:rPr>
                <w:rFonts w:asciiTheme="minorHAnsi" w:hAnsiTheme="minorHAnsi" w:cstheme="minorHAnsi"/>
                <w:b/>
                <w:noProof/>
                <w:sz w:val="16"/>
                <w:szCs w:val="16"/>
              </w:rPr>
              <w:t>Comments*</w:t>
            </w:r>
          </w:p>
        </w:tc>
        <w:tc>
          <w:tcPr>
            <w:tcW w:w="232" w:type="pct"/>
            <w:shd w:val="clear" w:color="auto" w:fill="D6EAEB"/>
            <w:vAlign w:val="center"/>
          </w:tcPr>
          <w:p w14:paraId="2E46E248" w14:textId="77777777" w:rsidR="000120E1" w:rsidRPr="000E2305" w:rsidRDefault="000120E1" w:rsidP="000120E1">
            <w:pPr>
              <w:keepNext/>
              <w:spacing w:before="0" w:after="0" w:line="240" w:lineRule="auto"/>
              <w:jc w:val="center"/>
              <w:rPr>
                <w:rFonts w:asciiTheme="minorHAnsi" w:hAnsiTheme="minorHAnsi" w:cstheme="minorHAnsi"/>
                <w:b/>
                <w:noProof/>
                <w:sz w:val="16"/>
                <w:szCs w:val="16"/>
              </w:rPr>
            </w:pPr>
          </w:p>
        </w:tc>
        <w:tc>
          <w:tcPr>
            <w:tcW w:w="232" w:type="pct"/>
            <w:shd w:val="clear" w:color="auto" w:fill="D6EAEB"/>
            <w:vAlign w:val="center"/>
          </w:tcPr>
          <w:p w14:paraId="7063A74A" w14:textId="77777777" w:rsidR="000120E1" w:rsidRPr="000E2305" w:rsidRDefault="000120E1" w:rsidP="000120E1">
            <w:pPr>
              <w:keepNext/>
              <w:spacing w:before="0" w:after="0" w:line="240" w:lineRule="auto"/>
              <w:jc w:val="center"/>
              <w:rPr>
                <w:rFonts w:asciiTheme="minorHAnsi" w:hAnsiTheme="minorHAnsi" w:cstheme="minorHAnsi"/>
                <w:b/>
                <w:noProof/>
                <w:sz w:val="16"/>
                <w:szCs w:val="16"/>
              </w:rPr>
            </w:pPr>
          </w:p>
        </w:tc>
        <w:tc>
          <w:tcPr>
            <w:tcW w:w="232" w:type="pct"/>
            <w:shd w:val="clear" w:color="auto" w:fill="D6EAEB"/>
            <w:vAlign w:val="center"/>
          </w:tcPr>
          <w:p w14:paraId="3A15B87F" w14:textId="77777777" w:rsidR="000120E1" w:rsidRPr="000E2305" w:rsidRDefault="000120E1" w:rsidP="000120E1">
            <w:pPr>
              <w:keepNext/>
              <w:spacing w:before="0" w:after="0" w:line="240" w:lineRule="auto"/>
              <w:jc w:val="center"/>
              <w:rPr>
                <w:rFonts w:asciiTheme="minorHAnsi" w:hAnsiTheme="minorHAnsi" w:cstheme="minorHAnsi"/>
                <w:b/>
                <w:noProof/>
                <w:sz w:val="16"/>
                <w:szCs w:val="16"/>
              </w:rPr>
            </w:pPr>
          </w:p>
        </w:tc>
        <w:tc>
          <w:tcPr>
            <w:tcW w:w="232" w:type="pct"/>
            <w:shd w:val="clear" w:color="auto" w:fill="D6EAEB"/>
            <w:vAlign w:val="center"/>
          </w:tcPr>
          <w:p w14:paraId="6E53A84A" w14:textId="77777777" w:rsidR="000120E1" w:rsidRPr="000E2305" w:rsidRDefault="000120E1" w:rsidP="000120E1">
            <w:pPr>
              <w:keepNext/>
              <w:spacing w:before="0" w:after="0" w:line="240" w:lineRule="auto"/>
              <w:jc w:val="center"/>
              <w:rPr>
                <w:rFonts w:asciiTheme="minorHAnsi" w:hAnsiTheme="minorHAnsi" w:cstheme="minorHAnsi"/>
                <w:b/>
                <w:noProof/>
                <w:sz w:val="16"/>
                <w:szCs w:val="16"/>
              </w:rPr>
            </w:pPr>
          </w:p>
        </w:tc>
        <w:tc>
          <w:tcPr>
            <w:tcW w:w="232" w:type="pct"/>
            <w:shd w:val="clear" w:color="auto" w:fill="D6EAEB"/>
            <w:vAlign w:val="center"/>
          </w:tcPr>
          <w:p w14:paraId="1A6C1C04" w14:textId="77777777" w:rsidR="000120E1" w:rsidRPr="000E2305" w:rsidRDefault="000120E1" w:rsidP="000120E1">
            <w:pPr>
              <w:keepNext/>
              <w:spacing w:before="0" w:after="0" w:line="240" w:lineRule="auto"/>
              <w:jc w:val="center"/>
              <w:rPr>
                <w:rFonts w:asciiTheme="minorHAnsi" w:hAnsiTheme="minorHAnsi" w:cstheme="minorHAnsi"/>
                <w:b/>
                <w:noProof/>
                <w:sz w:val="16"/>
                <w:szCs w:val="16"/>
              </w:rPr>
            </w:pPr>
          </w:p>
        </w:tc>
        <w:tc>
          <w:tcPr>
            <w:tcW w:w="232" w:type="pct"/>
            <w:shd w:val="clear" w:color="auto" w:fill="D6EAEB"/>
            <w:vAlign w:val="center"/>
          </w:tcPr>
          <w:p w14:paraId="407B861E" w14:textId="77777777" w:rsidR="000120E1" w:rsidRPr="000E2305" w:rsidRDefault="000120E1" w:rsidP="000120E1">
            <w:pPr>
              <w:keepNext/>
              <w:spacing w:before="0" w:after="0" w:line="240" w:lineRule="auto"/>
              <w:jc w:val="center"/>
              <w:rPr>
                <w:rFonts w:asciiTheme="minorHAnsi" w:hAnsiTheme="minorHAnsi" w:cstheme="minorHAnsi"/>
                <w:b/>
                <w:noProof/>
                <w:sz w:val="16"/>
                <w:szCs w:val="16"/>
              </w:rPr>
            </w:pPr>
          </w:p>
        </w:tc>
        <w:tc>
          <w:tcPr>
            <w:tcW w:w="232" w:type="pct"/>
            <w:shd w:val="clear" w:color="auto" w:fill="D6EAEB"/>
            <w:vAlign w:val="center"/>
          </w:tcPr>
          <w:p w14:paraId="5DD4FD5F" w14:textId="77777777" w:rsidR="000120E1" w:rsidRPr="000E2305" w:rsidRDefault="000120E1" w:rsidP="000120E1">
            <w:pPr>
              <w:keepNext/>
              <w:spacing w:before="0" w:after="0" w:line="240" w:lineRule="auto"/>
              <w:jc w:val="center"/>
              <w:rPr>
                <w:rFonts w:asciiTheme="minorHAnsi" w:hAnsiTheme="minorHAnsi" w:cstheme="minorHAnsi"/>
                <w:b/>
                <w:noProof/>
                <w:sz w:val="16"/>
                <w:szCs w:val="16"/>
              </w:rPr>
            </w:pPr>
          </w:p>
        </w:tc>
        <w:tc>
          <w:tcPr>
            <w:tcW w:w="232" w:type="pct"/>
            <w:shd w:val="clear" w:color="auto" w:fill="D6EAEB"/>
            <w:vAlign w:val="center"/>
          </w:tcPr>
          <w:p w14:paraId="4F09027F" w14:textId="77777777" w:rsidR="000120E1" w:rsidRPr="000E2305" w:rsidRDefault="000120E1" w:rsidP="000120E1">
            <w:pPr>
              <w:keepNext/>
              <w:spacing w:before="0" w:after="0" w:line="240" w:lineRule="auto"/>
              <w:jc w:val="center"/>
              <w:rPr>
                <w:rFonts w:asciiTheme="minorHAnsi" w:hAnsiTheme="minorHAnsi" w:cstheme="minorHAnsi"/>
                <w:b/>
                <w:noProof/>
                <w:sz w:val="16"/>
                <w:szCs w:val="16"/>
              </w:rPr>
            </w:pPr>
          </w:p>
        </w:tc>
        <w:tc>
          <w:tcPr>
            <w:tcW w:w="232" w:type="pct"/>
            <w:shd w:val="clear" w:color="auto" w:fill="D6EAEB"/>
            <w:vAlign w:val="center"/>
          </w:tcPr>
          <w:p w14:paraId="27B1ABF0" w14:textId="77777777" w:rsidR="000120E1" w:rsidRPr="000E2305" w:rsidRDefault="000120E1" w:rsidP="000120E1">
            <w:pPr>
              <w:keepNext/>
              <w:spacing w:before="0" w:after="0" w:line="240" w:lineRule="auto"/>
              <w:jc w:val="center"/>
              <w:rPr>
                <w:rFonts w:asciiTheme="minorHAnsi" w:hAnsiTheme="minorHAnsi" w:cstheme="minorHAnsi"/>
                <w:b/>
                <w:noProof/>
                <w:sz w:val="16"/>
                <w:szCs w:val="16"/>
              </w:rPr>
            </w:pPr>
          </w:p>
        </w:tc>
        <w:tc>
          <w:tcPr>
            <w:tcW w:w="232" w:type="pct"/>
            <w:shd w:val="clear" w:color="auto" w:fill="D6EAEB"/>
            <w:vAlign w:val="center"/>
          </w:tcPr>
          <w:p w14:paraId="661DDBF2" w14:textId="77777777" w:rsidR="000120E1" w:rsidRPr="000E2305" w:rsidRDefault="000120E1" w:rsidP="000120E1">
            <w:pPr>
              <w:keepNext/>
              <w:spacing w:before="0" w:after="0" w:line="240" w:lineRule="auto"/>
              <w:jc w:val="center"/>
              <w:rPr>
                <w:rFonts w:asciiTheme="minorHAnsi" w:hAnsiTheme="minorHAnsi" w:cstheme="minorHAnsi"/>
                <w:b/>
                <w:noProof/>
                <w:sz w:val="16"/>
                <w:szCs w:val="16"/>
              </w:rPr>
            </w:pPr>
          </w:p>
        </w:tc>
        <w:tc>
          <w:tcPr>
            <w:tcW w:w="220" w:type="pct"/>
            <w:shd w:val="clear" w:color="auto" w:fill="D6EAEB"/>
            <w:vAlign w:val="center"/>
          </w:tcPr>
          <w:p w14:paraId="228BB0E0" w14:textId="77777777" w:rsidR="000120E1" w:rsidRPr="000E2305" w:rsidRDefault="000120E1" w:rsidP="000120E1">
            <w:pPr>
              <w:keepNext/>
              <w:spacing w:before="0" w:after="0" w:line="240" w:lineRule="auto"/>
              <w:jc w:val="center"/>
              <w:rPr>
                <w:rFonts w:asciiTheme="minorHAnsi" w:hAnsiTheme="minorHAnsi" w:cstheme="minorHAnsi"/>
                <w:b/>
                <w:noProof/>
                <w:sz w:val="16"/>
                <w:szCs w:val="16"/>
              </w:rPr>
            </w:pPr>
          </w:p>
        </w:tc>
      </w:tr>
      <w:tr w:rsidR="000120E1" w:rsidRPr="000E2305" w14:paraId="1BDF19AF" w14:textId="77777777" w:rsidTr="000212D1">
        <w:trPr>
          <w:cantSplit/>
          <w:trHeight w:val="273"/>
        </w:trPr>
        <w:tc>
          <w:tcPr>
            <w:tcW w:w="169" w:type="pct"/>
            <w:shd w:val="clear" w:color="auto" w:fill="92D050"/>
            <w:vAlign w:val="center"/>
          </w:tcPr>
          <w:p w14:paraId="6E296D65" w14:textId="77777777" w:rsidR="000120E1" w:rsidRPr="000E2305" w:rsidRDefault="000120E1" w:rsidP="000120E1">
            <w:pPr>
              <w:spacing w:before="0" w:after="0" w:line="240" w:lineRule="auto"/>
              <w:rPr>
                <w:rFonts w:asciiTheme="minorHAnsi" w:hAnsiTheme="minorHAnsi" w:cstheme="minorHAnsi"/>
                <w:b/>
                <w:noProof/>
                <w:sz w:val="16"/>
                <w:szCs w:val="16"/>
              </w:rPr>
            </w:pPr>
          </w:p>
        </w:tc>
        <w:tc>
          <w:tcPr>
            <w:tcW w:w="2291" w:type="pct"/>
          </w:tcPr>
          <w:p w14:paraId="46569E86" w14:textId="77777777" w:rsidR="000120E1" w:rsidRPr="000E2305" w:rsidRDefault="000120E1" w:rsidP="000120E1">
            <w:pPr>
              <w:spacing w:before="0" w:after="0" w:line="240" w:lineRule="auto"/>
              <w:rPr>
                <w:rFonts w:asciiTheme="minorHAnsi" w:hAnsiTheme="minorHAnsi" w:cstheme="minorHAnsi"/>
                <w:noProof/>
                <w:sz w:val="16"/>
                <w:szCs w:val="16"/>
              </w:rPr>
            </w:pPr>
            <w:r w:rsidRPr="000E2305">
              <w:rPr>
                <w:rFonts w:asciiTheme="minorHAnsi" w:hAnsiTheme="minorHAnsi" w:cstheme="minorHAnsi"/>
                <w:noProof/>
                <w:sz w:val="16"/>
                <w:szCs w:val="16"/>
              </w:rPr>
              <w:t>Useful for answering primary research question?</w:t>
            </w:r>
          </w:p>
        </w:tc>
        <w:tc>
          <w:tcPr>
            <w:tcW w:w="232" w:type="pct"/>
            <w:vAlign w:val="center"/>
          </w:tcPr>
          <w:p w14:paraId="040C44A3" w14:textId="35438F16" w:rsidR="000120E1" w:rsidRPr="000E2305" w:rsidRDefault="000120E1" w:rsidP="000120E1">
            <w:pPr>
              <w:spacing w:before="0" w:after="0" w:line="240" w:lineRule="auto"/>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232" w:type="pct"/>
            <w:shd w:val="clear" w:color="auto" w:fill="92D050"/>
            <w:vAlign w:val="center"/>
          </w:tcPr>
          <w:p w14:paraId="65B1DF67" w14:textId="71CA31B3" w:rsidR="000120E1" w:rsidRPr="000E2305" w:rsidRDefault="000120E1" w:rsidP="000120E1">
            <w:pPr>
              <w:spacing w:before="0" w:after="0" w:line="240" w:lineRule="auto"/>
              <w:jc w:val="center"/>
              <w:rPr>
                <w:rFonts w:asciiTheme="minorHAnsi" w:hAnsiTheme="minorHAnsi" w:cstheme="minorHAnsi"/>
                <w:noProof/>
                <w:sz w:val="16"/>
                <w:szCs w:val="16"/>
              </w:rPr>
            </w:pPr>
            <w:r>
              <w:rPr>
                <w:rFonts w:asciiTheme="minorHAnsi" w:hAnsiTheme="minorHAnsi" w:cstheme="minorHAnsi"/>
                <w:noProof/>
                <w:sz w:val="16"/>
                <w:szCs w:val="16"/>
              </w:rPr>
              <w:t>Y</w:t>
            </w:r>
          </w:p>
        </w:tc>
        <w:tc>
          <w:tcPr>
            <w:tcW w:w="232" w:type="pct"/>
            <w:shd w:val="clear" w:color="auto" w:fill="92D050"/>
            <w:vAlign w:val="center"/>
          </w:tcPr>
          <w:p w14:paraId="73D4697A" w14:textId="3F464828" w:rsidR="000120E1" w:rsidRPr="000E2305" w:rsidRDefault="000120E1" w:rsidP="000120E1">
            <w:pPr>
              <w:spacing w:before="0" w:after="0" w:line="240" w:lineRule="auto"/>
              <w:jc w:val="center"/>
              <w:rPr>
                <w:rFonts w:asciiTheme="minorHAnsi" w:hAnsiTheme="minorHAnsi" w:cstheme="minorHAnsi"/>
                <w:noProof/>
                <w:sz w:val="16"/>
                <w:szCs w:val="16"/>
              </w:rPr>
            </w:pPr>
            <w:r>
              <w:rPr>
                <w:rFonts w:asciiTheme="minorHAnsi" w:hAnsiTheme="minorHAnsi" w:cstheme="minorHAnsi"/>
                <w:noProof/>
                <w:sz w:val="16"/>
                <w:szCs w:val="16"/>
              </w:rPr>
              <w:t>Partly</w:t>
            </w:r>
          </w:p>
        </w:tc>
        <w:tc>
          <w:tcPr>
            <w:tcW w:w="232" w:type="pct"/>
            <w:vAlign w:val="center"/>
          </w:tcPr>
          <w:p w14:paraId="36DF5F36" w14:textId="5C938E14" w:rsidR="000120E1" w:rsidRPr="000E2305" w:rsidRDefault="000120E1" w:rsidP="000120E1">
            <w:pPr>
              <w:spacing w:before="0" w:after="0" w:line="240" w:lineRule="auto"/>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232" w:type="pct"/>
            <w:shd w:val="clear" w:color="auto" w:fill="92D050"/>
            <w:vAlign w:val="center"/>
          </w:tcPr>
          <w:p w14:paraId="3254780E" w14:textId="2AFB0BFB" w:rsidR="000120E1" w:rsidRPr="000E2305" w:rsidRDefault="000120E1" w:rsidP="000120E1">
            <w:pPr>
              <w:spacing w:before="0" w:after="0" w:line="240" w:lineRule="auto"/>
              <w:jc w:val="center"/>
              <w:rPr>
                <w:rFonts w:asciiTheme="minorHAnsi" w:hAnsiTheme="minorHAnsi" w:cstheme="minorHAnsi"/>
                <w:noProof/>
                <w:sz w:val="16"/>
                <w:szCs w:val="16"/>
              </w:rPr>
            </w:pPr>
            <w:r>
              <w:rPr>
                <w:rFonts w:asciiTheme="minorHAnsi" w:hAnsiTheme="minorHAnsi" w:cstheme="minorHAnsi"/>
                <w:noProof/>
                <w:sz w:val="16"/>
                <w:szCs w:val="16"/>
              </w:rPr>
              <w:t>Partly</w:t>
            </w:r>
          </w:p>
        </w:tc>
        <w:tc>
          <w:tcPr>
            <w:tcW w:w="232" w:type="pct"/>
            <w:shd w:val="clear" w:color="auto" w:fill="92D050"/>
            <w:vAlign w:val="center"/>
          </w:tcPr>
          <w:p w14:paraId="6D8E77F7" w14:textId="3554E6C4" w:rsidR="000120E1" w:rsidRPr="000E2305" w:rsidRDefault="000120E1" w:rsidP="000120E1">
            <w:pPr>
              <w:spacing w:before="0" w:after="0" w:line="240" w:lineRule="auto"/>
              <w:jc w:val="center"/>
              <w:rPr>
                <w:rFonts w:asciiTheme="minorHAnsi" w:hAnsiTheme="minorHAnsi" w:cstheme="minorHAnsi"/>
                <w:noProof/>
                <w:sz w:val="16"/>
                <w:szCs w:val="16"/>
              </w:rPr>
            </w:pPr>
            <w:r>
              <w:rPr>
                <w:rFonts w:asciiTheme="minorHAnsi" w:hAnsiTheme="minorHAnsi" w:cstheme="minorHAnsi"/>
                <w:noProof/>
                <w:sz w:val="16"/>
                <w:szCs w:val="16"/>
              </w:rPr>
              <w:t>Partly</w:t>
            </w:r>
          </w:p>
        </w:tc>
        <w:tc>
          <w:tcPr>
            <w:tcW w:w="232" w:type="pct"/>
            <w:vAlign w:val="center"/>
          </w:tcPr>
          <w:p w14:paraId="0D9D387E" w14:textId="77777777" w:rsidR="000120E1" w:rsidRPr="000E2305" w:rsidRDefault="000120E1" w:rsidP="000120E1">
            <w:pPr>
              <w:spacing w:before="0" w:after="0" w:line="240" w:lineRule="auto"/>
              <w:jc w:val="center"/>
              <w:rPr>
                <w:rFonts w:asciiTheme="minorHAnsi" w:hAnsiTheme="minorHAnsi" w:cstheme="minorHAnsi"/>
                <w:noProof/>
                <w:sz w:val="16"/>
                <w:szCs w:val="16"/>
              </w:rPr>
            </w:pPr>
            <w:r w:rsidRPr="000E2305">
              <w:rPr>
                <w:rFonts w:asciiTheme="minorHAnsi" w:hAnsiTheme="minorHAnsi" w:cstheme="minorHAnsi"/>
                <w:noProof/>
                <w:sz w:val="16"/>
                <w:szCs w:val="16"/>
              </w:rPr>
              <w:t>N</w:t>
            </w:r>
          </w:p>
        </w:tc>
        <w:tc>
          <w:tcPr>
            <w:tcW w:w="232" w:type="pct"/>
            <w:vAlign w:val="center"/>
          </w:tcPr>
          <w:p w14:paraId="638CF3B1" w14:textId="44988DBD" w:rsidR="000120E1" w:rsidRPr="000E2305" w:rsidRDefault="000120E1" w:rsidP="000120E1">
            <w:pPr>
              <w:spacing w:before="0" w:after="0" w:line="240" w:lineRule="auto"/>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232" w:type="pct"/>
            <w:vAlign w:val="center"/>
          </w:tcPr>
          <w:p w14:paraId="316DB6CD" w14:textId="77777777" w:rsidR="000120E1" w:rsidRPr="000E2305" w:rsidRDefault="000120E1" w:rsidP="000120E1">
            <w:pPr>
              <w:spacing w:before="0" w:after="0" w:line="240" w:lineRule="auto"/>
              <w:jc w:val="center"/>
              <w:rPr>
                <w:rFonts w:asciiTheme="minorHAnsi" w:hAnsiTheme="minorHAnsi" w:cstheme="minorHAnsi"/>
                <w:noProof/>
                <w:sz w:val="16"/>
                <w:szCs w:val="16"/>
              </w:rPr>
            </w:pPr>
            <w:r w:rsidRPr="000E2305">
              <w:rPr>
                <w:rFonts w:asciiTheme="minorHAnsi" w:hAnsiTheme="minorHAnsi" w:cstheme="minorHAnsi"/>
                <w:noProof/>
                <w:sz w:val="16"/>
                <w:szCs w:val="16"/>
              </w:rPr>
              <w:t>N</w:t>
            </w:r>
          </w:p>
        </w:tc>
        <w:tc>
          <w:tcPr>
            <w:tcW w:w="232" w:type="pct"/>
            <w:shd w:val="clear" w:color="auto" w:fill="92D050"/>
            <w:vAlign w:val="center"/>
          </w:tcPr>
          <w:p w14:paraId="590AA6B8" w14:textId="7950A6D7" w:rsidR="000120E1" w:rsidRPr="000E2305" w:rsidRDefault="000120E1" w:rsidP="000120E1">
            <w:pPr>
              <w:spacing w:before="0" w:after="0" w:line="240" w:lineRule="auto"/>
              <w:jc w:val="center"/>
              <w:rPr>
                <w:rFonts w:asciiTheme="minorHAnsi" w:hAnsiTheme="minorHAnsi" w:cstheme="minorHAnsi"/>
                <w:noProof/>
                <w:sz w:val="16"/>
                <w:szCs w:val="16"/>
              </w:rPr>
            </w:pPr>
            <w:r>
              <w:rPr>
                <w:rFonts w:asciiTheme="minorHAnsi" w:hAnsiTheme="minorHAnsi" w:cstheme="minorHAnsi"/>
                <w:noProof/>
                <w:sz w:val="16"/>
                <w:szCs w:val="16"/>
              </w:rPr>
              <w:t>Partly</w:t>
            </w:r>
          </w:p>
        </w:tc>
        <w:tc>
          <w:tcPr>
            <w:tcW w:w="220" w:type="pct"/>
            <w:shd w:val="clear" w:color="auto" w:fill="92D050"/>
            <w:vAlign w:val="center"/>
          </w:tcPr>
          <w:p w14:paraId="08AACF4B" w14:textId="78690618" w:rsidR="000120E1" w:rsidRPr="000E2305" w:rsidRDefault="000120E1" w:rsidP="000120E1">
            <w:pPr>
              <w:spacing w:before="0" w:after="0" w:line="240" w:lineRule="auto"/>
              <w:jc w:val="center"/>
              <w:rPr>
                <w:rFonts w:asciiTheme="minorHAnsi" w:hAnsiTheme="minorHAnsi" w:cstheme="minorHAnsi"/>
                <w:noProof/>
                <w:sz w:val="16"/>
                <w:szCs w:val="16"/>
              </w:rPr>
            </w:pPr>
            <w:r>
              <w:rPr>
                <w:rFonts w:asciiTheme="minorHAnsi" w:hAnsiTheme="minorHAnsi" w:cstheme="minorHAnsi"/>
                <w:noProof/>
                <w:sz w:val="16"/>
                <w:szCs w:val="16"/>
              </w:rPr>
              <w:t>Partly</w:t>
            </w:r>
          </w:p>
        </w:tc>
      </w:tr>
      <w:tr w:rsidR="000120E1" w:rsidRPr="000E2305" w14:paraId="1933E25F" w14:textId="77777777" w:rsidTr="000212D1">
        <w:trPr>
          <w:cantSplit/>
        </w:trPr>
        <w:tc>
          <w:tcPr>
            <w:tcW w:w="169" w:type="pct"/>
            <w:shd w:val="clear" w:color="auto" w:fill="92D050"/>
            <w:vAlign w:val="center"/>
          </w:tcPr>
          <w:p w14:paraId="58E91335" w14:textId="77777777" w:rsidR="000120E1" w:rsidRPr="000E2305" w:rsidRDefault="000120E1" w:rsidP="000120E1">
            <w:pPr>
              <w:spacing w:before="0" w:after="0" w:line="240" w:lineRule="auto"/>
              <w:rPr>
                <w:rFonts w:asciiTheme="minorHAnsi" w:hAnsiTheme="minorHAnsi" w:cstheme="minorHAnsi"/>
                <w:b/>
                <w:noProof/>
                <w:sz w:val="16"/>
                <w:szCs w:val="16"/>
              </w:rPr>
            </w:pPr>
          </w:p>
        </w:tc>
        <w:tc>
          <w:tcPr>
            <w:tcW w:w="2291" w:type="pct"/>
          </w:tcPr>
          <w:p w14:paraId="0092C0C8" w14:textId="77777777" w:rsidR="000120E1" w:rsidRPr="000E2305" w:rsidRDefault="000120E1" w:rsidP="000120E1">
            <w:pPr>
              <w:spacing w:before="0" w:after="0" w:line="240" w:lineRule="auto"/>
              <w:rPr>
                <w:rFonts w:asciiTheme="minorHAnsi" w:hAnsiTheme="minorHAnsi" w:cstheme="minorHAnsi"/>
                <w:noProof/>
                <w:sz w:val="16"/>
                <w:szCs w:val="16"/>
              </w:rPr>
            </w:pPr>
            <w:r w:rsidRPr="000E2305">
              <w:rPr>
                <w:rFonts w:asciiTheme="minorHAnsi" w:hAnsiTheme="minorHAnsi" w:cstheme="minorHAnsi"/>
                <w:noProof/>
                <w:sz w:val="16"/>
                <w:szCs w:val="16"/>
              </w:rPr>
              <w:t>Useful for answering secondary research questions?</w:t>
            </w:r>
          </w:p>
        </w:tc>
        <w:tc>
          <w:tcPr>
            <w:tcW w:w="232" w:type="pct"/>
            <w:vAlign w:val="center"/>
          </w:tcPr>
          <w:p w14:paraId="18FA7B0C" w14:textId="46E28EAB" w:rsidR="000120E1" w:rsidRPr="000E2305" w:rsidRDefault="000120E1" w:rsidP="000120E1">
            <w:pPr>
              <w:spacing w:before="0" w:after="0" w:line="240" w:lineRule="auto"/>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232" w:type="pct"/>
            <w:shd w:val="clear" w:color="auto" w:fill="92D050"/>
            <w:vAlign w:val="center"/>
          </w:tcPr>
          <w:p w14:paraId="5C4F2C4A" w14:textId="0BBC0C91" w:rsidR="000120E1" w:rsidRPr="000E2305" w:rsidRDefault="000120E1" w:rsidP="000120E1">
            <w:pPr>
              <w:spacing w:before="0" w:after="0" w:line="240" w:lineRule="auto"/>
              <w:jc w:val="center"/>
              <w:rPr>
                <w:rFonts w:asciiTheme="minorHAnsi" w:hAnsiTheme="minorHAnsi" w:cstheme="minorHAnsi"/>
                <w:noProof/>
                <w:sz w:val="16"/>
                <w:szCs w:val="16"/>
                <w:lang w:val="en-US"/>
              </w:rPr>
            </w:pPr>
            <w:r>
              <w:rPr>
                <w:rFonts w:asciiTheme="minorHAnsi" w:hAnsiTheme="minorHAnsi" w:cstheme="minorHAnsi"/>
                <w:noProof/>
                <w:sz w:val="16"/>
                <w:szCs w:val="16"/>
              </w:rPr>
              <w:t>Partly</w:t>
            </w:r>
          </w:p>
        </w:tc>
        <w:tc>
          <w:tcPr>
            <w:tcW w:w="232" w:type="pct"/>
            <w:shd w:val="clear" w:color="auto" w:fill="92D050"/>
            <w:vAlign w:val="center"/>
          </w:tcPr>
          <w:p w14:paraId="6462E950" w14:textId="1046BDC7" w:rsidR="000120E1" w:rsidRPr="000E2305" w:rsidRDefault="000120E1" w:rsidP="000120E1">
            <w:pPr>
              <w:spacing w:before="0" w:after="0" w:line="240" w:lineRule="auto"/>
              <w:jc w:val="center"/>
              <w:rPr>
                <w:rFonts w:asciiTheme="minorHAnsi" w:hAnsiTheme="minorHAnsi" w:cstheme="minorHAnsi"/>
                <w:noProof/>
                <w:sz w:val="16"/>
                <w:szCs w:val="16"/>
              </w:rPr>
            </w:pPr>
            <w:r>
              <w:rPr>
                <w:rFonts w:asciiTheme="minorHAnsi" w:hAnsiTheme="minorHAnsi" w:cstheme="minorHAnsi"/>
                <w:noProof/>
                <w:sz w:val="16"/>
                <w:szCs w:val="16"/>
              </w:rPr>
              <w:t>Partly</w:t>
            </w:r>
          </w:p>
        </w:tc>
        <w:tc>
          <w:tcPr>
            <w:tcW w:w="232" w:type="pct"/>
            <w:vAlign w:val="center"/>
          </w:tcPr>
          <w:p w14:paraId="419D7CBA" w14:textId="609018BD" w:rsidR="000120E1" w:rsidRPr="000E2305" w:rsidRDefault="000120E1" w:rsidP="000120E1">
            <w:pPr>
              <w:spacing w:before="0" w:after="0" w:line="240" w:lineRule="auto"/>
              <w:jc w:val="center"/>
              <w:rPr>
                <w:rFonts w:asciiTheme="minorHAnsi" w:hAnsiTheme="minorHAnsi" w:cstheme="minorHAnsi"/>
                <w:noProof/>
                <w:sz w:val="16"/>
                <w:szCs w:val="16"/>
              </w:rPr>
            </w:pPr>
            <w:r>
              <w:rPr>
                <w:rFonts w:asciiTheme="minorHAnsi" w:hAnsiTheme="minorHAnsi" w:cstheme="minorHAnsi"/>
                <w:noProof/>
                <w:sz w:val="16"/>
                <w:szCs w:val="16"/>
              </w:rPr>
              <w:t>N</w:t>
            </w:r>
          </w:p>
        </w:tc>
        <w:tc>
          <w:tcPr>
            <w:tcW w:w="232" w:type="pct"/>
            <w:shd w:val="clear" w:color="auto" w:fill="92D050"/>
            <w:vAlign w:val="center"/>
          </w:tcPr>
          <w:p w14:paraId="51C6BD2B" w14:textId="3F83D040" w:rsidR="000120E1" w:rsidRPr="000E2305" w:rsidRDefault="000120E1" w:rsidP="000120E1">
            <w:pPr>
              <w:spacing w:before="0" w:after="0" w:line="240" w:lineRule="auto"/>
              <w:jc w:val="center"/>
              <w:rPr>
                <w:rFonts w:asciiTheme="minorHAnsi" w:hAnsiTheme="minorHAnsi" w:cstheme="minorHAnsi"/>
                <w:noProof/>
                <w:sz w:val="16"/>
                <w:szCs w:val="16"/>
              </w:rPr>
            </w:pPr>
            <w:r>
              <w:rPr>
                <w:rFonts w:asciiTheme="minorHAnsi" w:hAnsiTheme="minorHAnsi" w:cstheme="minorHAnsi"/>
                <w:noProof/>
                <w:sz w:val="16"/>
                <w:szCs w:val="16"/>
              </w:rPr>
              <w:t>Partly</w:t>
            </w:r>
          </w:p>
        </w:tc>
        <w:tc>
          <w:tcPr>
            <w:tcW w:w="232" w:type="pct"/>
            <w:shd w:val="clear" w:color="auto" w:fill="92D050"/>
            <w:vAlign w:val="center"/>
          </w:tcPr>
          <w:p w14:paraId="5053ED0B" w14:textId="6E759AC3" w:rsidR="000120E1" w:rsidRPr="000E2305" w:rsidRDefault="000120E1" w:rsidP="000120E1">
            <w:pPr>
              <w:spacing w:before="0" w:after="0" w:line="240" w:lineRule="auto"/>
              <w:jc w:val="center"/>
              <w:rPr>
                <w:rFonts w:asciiTheme="minorHAnsi" w:hAnsiTheme="minorHAnsi" w:cstheme="minorHAnsi"/>
                <w:noProof/>
                <w:sz w:val="16"/>
                <w:szCs w:val="16"/>
              </w:rPr>
            </w:pPr>
            <w:r>
              <w:rPr>
                <w:rFonts w:asciiTheme="minorHAnsi" w:hAnsiTheme="minorHAnsi" w:cstheme="minorHAnsi"/>
                <w:noProof/>
                <w:sz w:val="16"/>
                <w:szCs w:val="16"/>
              </w:rPr>
              <w:t>Partly</w:t>
            </w:r>
          </w:p>
        </w:tc>
        <w:tc>
          <w:tcPr>
            <w:tcW w:w="232" w:type="pct"/>
            <w:vAlign w:val="center"/>
          </w:tcPr>
          <w:p w14:paraId="3EB99158" w14:textId="3807F66F" w:rsidR="000120E1" w:rsidRPr="000E2305" w:rsidRDefault="000120E1" w:rsidP="000120E1">
            <w:pPr>
              <w:spacing w:before="0" w:after="0" w:line="240" w:lineRule="auto"/>
              <w:jc w:val="center"/>
              <w:rPr>
                <w:rFonts w:asciiTheme="minorHAnsi" w:hAnsiTheme="minorHAnsi" w:cstheme="minorHAnsi"/>
                <w:noProof/>
                <w:sz w:val="16"/>
                <w:szCs w:val="16"/>
              </w:rPr>
            </w:pPr>
            <w:r>
              <w:rPr>
                <w:rFonts w:asciiTheme="minorHAnsi" w:hAnsiTheme="minorHAnsi" w:cstheme="minorHAnsi"/>
                <w:noProof/>
                <w:sz w:val="16"/>
                <w:szCs w:val="16"/>
              </w:rPr>
              <w:t>Partly</w:t>
            </w:r>
          </w:p>
        </w:tc>
        <w:tc>
          <w:tcPr>
            <w:tcW w:w="232" w:type="pct"/>
            <w:vAlign w:val="center"/>
          </w:tcPr>
          <w:p w14:paraId="7009A858" w14:textId="2EEA3D33" w:rsidR="000120E1" w:rsidRPr="000E2305" w:rsidRDefault="000120E1" w:rsidP="000120E1">
            <w:pPr>
              <w:spacing w:before="0" w:after="0" w:line="240" w:lineRule="auto"/>
              <w:jc w:val="center"/>
              <w:rPr>
                <w:rFonts w:asciiTheme="minorHAnsi" w:hAnsiTheme="minorHAnsi" w:cstheme="minorHAnsi"/>
                <w:noProof/>
                <w:sz w:val="16"/>
                <w:szCs w:val="16"/>
              </w:rPr>
            </w:pPr>
            <w:r>
              <w:rPr>
                <w:rFonts w:asciiTheme="minorHAnsi" w:hAnsiTheme="minorHAnsi" w:cstheme="minorHAnsi"/>
                <w:noProof/>
                <w:sz w:val="16"/>
                <w:szCs w:val="16"/>
              </w:rPr>
              <w:t>Partly</w:t>
            </w:r>
          </w:p>
        </w:tc>
        <w:tc>
          <w:tcPr>
            <w:tcW w:w="232" w:type="pct"/>
            <w:shd w:val="clear" w:color="auto" w:fill="92D050"/>
            <w:vAlign w:val="center"/>
          </w:tcPr>
          <w:p w14:paraId="3D8C2DD5" w14:textId="1DE69FE9" w:rsidR="000120E1" w:rsidRPr="000E2305" w:rsidRDefault="000120E1" w:rsidP="000120E1">
            <w:pPr>
              <w:spacing w:before="0" w:after="0" w:line="240" w:lineRule="auto"/>
              <w:jc w:val="center"/>
              <w:rPr>
                <w:rFonts w:asciiTheme="minorHAnsi" w:hAnsiTheme="minorHAnsi" w:cstheme="minorHAnsi"/>
                <w:noProof/>
                <w:sz w:val="16"/>
                <w:szCs w:val="16"/>
              </w:rPr>
            </w:pPr>
            <w:r>
              <w:rPr>
                <w:rFonts w:asciiTheme="minorHAnsi" w:hAnsiTheme="minorHAnsi" w:cstheme="minorHAnsi"/>
                <w:noProof/>
                <w:sz w:val="16"/>
                <w:szCs w:val="16"/>
              </w:rPr>
              <w:t>Partly</w:t>
            </w:r>
          </w:p>
        </w:tc>
        <w:tc>
          <w:tcPr>
            <w:tcW w:w="232" w:type="pct"/>
            <w:shd w:val="clear" w:color="auto" w:fill="92D050"/>
            <w:vAlign w:val="center"/>
          </w:tcPr>
          <w:p w14:paraId="45C71394" w14:textId="58A7EA31" w:rsidR="000120E1" w:rsidRPr="000E2305" w:rsidRDefault="000120E1" w:rsidP="000120E1">
            <w:pPr>
              <w:spacing w:before="0" w:after="0" w:line="240" w:lineRule="auto"/>
              <w:jc w:val="center"/>
              <w:rPr>
                <w:rFonts w:asciiTheme="minorHAnsi" w:hAnsiTheme="minorHAnsi" w:cstheme="minorHAnsi"/>
                <w:noProof/>
                <w:sz w:val="16"/>
                <w:szCs w:val="16"/>
              </w:rPr>
            </w:pPr>
            <w:r>
              <w:rPr>
                <w:rFonts w:asciiTheme="minorHAnsi" w:hAnsiTheme="minorHAnsi" w:cstheme="minorHAnsi"/>
                <w:noProof/>
                <w:sz w:val="16"/>
                <w:szCs w:val="16"/>
              </w:rPr>
              <w:t>Partly</w:t>
            </w:r>
          </w:p>
        </w:tc>
        <w:tc>
          <w:tcPr>
            <w:tcW w:w="220" w:type="pct"/>
            <w:shd w:val="clear" w:color="auto" w:fill="92D050"/>
            <w:vAlign w:val="center"/>
          </w:tcPr>
          <w:p w14:paraId="0146EE62" w14:textId="77777777" w:rsidR="000120E1" w:rsidRPr="000E2305" w:rsidRDefault="000120E1" w:rsidP="000120E1">
            <w:pPr>
              <w:spacing w:before="0" w:after="0" w:line="240" w:lineRule="auto"/>
              <w:jc w:val="center"/>
              <w:rPr>
                <w:rFonts w:asciiTheme="minorHAnsi" w:hAnsiTheme="minorHAnsi" w:cstheme="minorHAnsi"/>
                <w:noProof/>
                <w:sz w:val="16"/>
                <w:szCs w:val="16"/>
              </w:rPr>
            </w:pPr>
            <w:r w:rsidRPr="000E2305">
              <w:rPr>
                <w:rFonts w:asciiTheme="minorHAnsi" w:hAnsiTheme="minorHAnsi" w:cstheme="minorHAnsi"/>
                <w:noProof/>
                <w:sz w:val="16"/>
                <w:szCs w:val="16"/>
              </w:rPr>
              <w:t>Partly</w:t>
            </w:r>
          </w:p>
        </w:tc>
      </w:tr>
      <w:tr w:rsidR="000120E1" w:rsidRPr="000E2305" w14:paraId="0293AE6F" w14:textId="77777777" w:rsidTr="000212D1">
        <w:trPr>
          <w:cantSplit/>
        </w:trPr>
        <w:tc>
          <w:tcPr>
            <w:tcW w:w="169" w:type="pct"/>
            <w:shd w:val="clear" w:color="auto" w:fill="92D050"/>
            <w:vAlign w:val="center"/>
          </w:tcPr>
          <w:p w14:paraId="768015E6" w14:textId="77777777" w:rsidR="000120E1" w:rsidRPr="000E2305" w:rsidRDefault="000120E1" w:rsidP="000120E1">
            <w:pPr>
              <w:spacing w:before="0" w:after="0" w:line="240" w:lineRule="auto"/>
              <w:rPr>
                <w:rFonts w:asciiTheme="minorHAnsi" w:hAnsiTheme="minorHAnsi" w:cstheme="minorHAnsi"/>
                <w:b/>
                <w:bCs/>
                <w:noProof/>
                <w:sz w:val="16"/>
                <w:szCs w:val="16"/>
              </w:rPr>
            </w:pPr>
          </w:p>
        </w:tc>
        <w:tc>
          <w:tcPr>
            <w:tcW w:w="2291" w:type="pct"/>
          </w:tcPr>
          <w:p w14:paraId="2AD51786" w14:textId="77777777" w:rsidR="000120E1" w:rsidRPr="000E2305" w:rsidRDefault="000120E1" w:rsidP="000120E1">
            <w:pPr>
              <w:spacing w:before="0" w:after="0" w:line="240" w:lineRule="auto"/>
              <w:rPr>
                <w:rFonts w:asciiTheme="minorHAnsi" w:hAnsiTheme="minorHAnsi" w:cstheme="minorHAnsi"/>
                <w:b/>
                <w:bCs/>
                <w:noProof/>
                <w:sz w:val="16"/>
                <w:szCs w:val="16"/>
              </w:rPr>
            </w:pPr>
            <w:r w:rsidRPr="000E2305">
              <w:rPr>
                <w:rFonts w:asciiTheme="minorHAnsi" w:hAnsiTheme="minorHAnsi" w:cstheme="minorHAnsi"/>
                <w:b/>
                <w:bCs/>
                <w:noProof/>
                <w:sz w:val="16"/>
                <w:szCs w:val="16"/>
              </w:rPr>
              <w:t>Include in review</w:t>
            </w:r>
          </w:p>
        </w:tc>
        <w:tc>
          <w:tcPr>
            <w:tcW w:w="232" w:type="pct"/>
            <w:vAlign w:val="center"/>
          </w:tcPr>
          <w:p w14:paraId="4BF42E65" w14:textId="0BD8F688" w:rsidR="000120E1" w:rsidRPr="000E2305" w:rsidRDefault="000120E1" w:rsidP="000120E1">
            <w:pPr>
              <w:spacing w:before="0" w:after="0" w:line="240" w:lineRule="auto"/>
              <w:jc w:val="center"/>
              <w:rPr>
                <w:rFonts w:asciiTheme="minorHAnsi" w:hAnsiTheme="minorHAnsi" w:cstheme="minorHAnsi"/>
                <w:b/>
                <w:bCs/>
                <w:noProof/>
                <w:sz w:val="16"/>
                <w:szCs w:val="16"/>
              </w:rPr>
            </w:pPr>
            <w:r>
              <w:rPr>
                <w:rFonts w:asciiTheme="minorHAnsi" w:hAnsiTheme="minorHAnsi" w:cstheme="minorHAnsi"/>
                <w:b/>
                <w:bCs/>
                <w:noProof/>
                <w:sz w:val="16"/>
                <w:szCs w:val="16"/>
              </w:rPr>
              <w:t>N</w:t>
            </w:r>
          </w:p>
        </w:tc>
        <w:tc>
          <w:tcPr>
            <w:tcW w:w="232" w:type="pct"/>
            <w:shd w:val="clear" w:color="auto" w:fill="92D050"/>
            <w:vAlign w:val="center"/>
          </w:tcPr>
          <w:p w14:paraId="71A4B3CD" w14:textId="1092A10D" w:rsidR="000120E1" w:rsidRPr="000E2305" w:rsidRDefault="000120E1" w:rsidP="000120E1">
            <w:pPr>
              <w:spacing w:before="0" w:after="0" w:line="240" w:lineRule="auto"/>
              <w:jc w:val="center"/>
              <w:rPr>
                <w:rFonts w:asciiTheme="minorHAnsi" w:hAnsiTheme="minorHAnsi" w:cstheme="minorHAnsi"/>
                <w:b/>
                <w:bCs/>
                <w:noProof/>
                <w:sz w:val="16"/>
                <w:szCs w:val="16"/>
              </w:rPr>
            </w:pPr>
            <w:r>
              <w:rPr>
                <w:rFonts w:asciiTheme="minorHAnsi" w:hAnsiTheme="minorHAnsi" w:cstheme="minorHAnsi"/>
                <w:b/>
                <w:bCs/>
                <w:noProof/>
                <w:sz w:val="16"/>
                <w:szCs w:val="16"/>
              </w:rPr>
              <w:t>Y</w:t>
            </w:r>
          </w:p>
        </w:tc>
        <w:tc>
          <w:tcPr>
            <w:tcW w:w="232" w:type="pct"/>
            <w:shd w:val="clear" w:color="auto" w:fill="92D050"/>
            <w:vAlign w:val="center"/>
          </w:tcPr>
          <w:p w14:paraId="5692BAE1" w14:textId="77777777" w:rsidR="000120E1" w:rsidRPr="000E2305" w:rsidRDefault="000120E1" w:rsidP="000120E1">
            <w:pPr>
              <w:spacing w:before="0" w:after="0" w:line="240" w:lineRule="auto"/>
              <w:jc w:val="center"/>
              <w:rPr>
                <w:rFonts w:asciiTheme="minorHAnsi" w:hAnsiTheme="minorHAnsi" w:cstheme="minorHAnsi"/>
                <w:b/>
                <w:bCs/>
                <w:noProof/>
                <w:sz w:val="16"/>
                <w:szCs w:val="16"/>
              </w:rPr>
            </w:pPr>
            <w:r w:rsidRPr="000E2305">
              <w:rPr>
                <w:rFonts w:asciiTheme="minorHAnsi" w:hAnsiTheme="minorHAnsi" w:cstheme="minorHAnsi"/>
                <w:b/>
                <w:bCs/>
                <w:noProof/>
                <w:sz w:val="16"/>
                <w:szCs w:val="16"/>
              </w:rPr>
              <w:t>Y</w:t>
            </w:r>
          </w:p>
        </w:tc>
        <w:tc>
          <w:tcPr>
            <w:tcW w:w="232" w:type="pct"/>
            <w:vAlign w:val="center"/>
          </w:tcPr>
          <w:p w14:paraId="561829DF" w14:textId="346E8685" w:rsidR="000120E1" w:rsidRPr="000E2305" w:rsidRDefault="000120E1" w:rsidP="000120E1">
            <w:pPr>
              <w:spacing w:before="0" w:after="0" w:line="240" w:lineRule="auto"/>
              <w:jc w:val="center"/>
              <w:rPr>
                <w:rFonts w:asciiTheme="minorHAnsi" w:hAnsiTheme="minorHAnsi" w:cstheme="minorHAnsi"/>
                <w:b/>
                <w:bCs/>
                <w:noProof/>
                <w:sz w:val="16"/>
                <w:szCs w:val="16"/>
              </w:rPr>
            </w:pPr>
            <w:r>
              <w:rPr>
                <w:rFonts w:asciiTheme="minorHAnsi" w:hAnsiTheme="minorHAnsi" w:cstheme="minorHAnsi"/>
                <w:b/>
                <w:bCs/>
                <w:noProof/>
                <w:sz w:val="16"/>
                <w:szCs w:val="16"/>
              </w:rPr>
              <w:t>N</w:t>
            </w:r>
          </w:p>
        </w:tc>
        <w:tc>
          <w:tcPr>
            <w:tcW w:w="232" w:type="pct"/>
            <w:shd w:val="clear" w:color="auto" w:fill="92D050"/>
            <w:vAlign w:val="center"/>
          </w:tcPr>
          <w:p w14:paraId="780B2B92" w14:textId="248D523B" w:rsidR="000120E1" w:rsidRPr="000E2305" w:rsidRDefault="000120E1" w:rsidP="000120E1">
            <w:pPr>
              <w:spacing w:before="0" w:after="0" w:line="240" w:lineRule="auto"/>
              <w:jc w:val="center"/>
              <w:rPr>
                <w:rFonts w:asciiTheme="minorHAnsi" w:hAnsiTheme="minorHAnsi" w:cstheme="minorHAnsi"/>
                <w:b/>
                <w:bCs/>
                <w:noProof/>
                <w:sz w:val="16"/>
                <w:szCs w:val="16"/>
              </w:rPr>
            </w:pPr>
            <w:r>
              <w:rPr>
                <w:rFonts w:asciiTheme="minorHAnsi" w:hAnsiTheme="minorHAnsi" w:cstheme="minorHAnsi"/>
                <w:b/>
                <w:bCs/>
                <w:noProof/>
                <w:sz w:val="16"/>
                <w:szCs w:val="16"/>
              </w:rPr>
              <w:t>Y</w:t>
            </w:r>
          </w:p>
        </w:tc>
        <w:tc>
          <w:tcPr>
            <w:tcW w:w="232" w:type="pct"/>
            <w:shd w:val="clear" w:color="auto" w:fill="92D050"/>
            <w:vAlign w:val="center"/>
          </w:tcPr>
          <w:p w14:paraId="5F937EE4" w14:textId="30255F48" w:rsidR="000120E1" w:rsidRPr="000E2305" w:rsidRDefault="000120E1" w:rsidP="000120E1">
            <w:pPr>
              <w:spacing w:before="0" w:after="0" w:line="240" w:lineRule="auto"/>
              <w:jc w:val="center"/>
              <w:rPr>
                <w:rFonts w:asciiTheme="minorHAnsi" w:hAnsiTheme="minorHAnsi" w:cstheme="minorHAnsi"/>
                <w:b/>
                <w:bCs/>
                <w:noProof/>
                <w:sz w:val="16"/>
                <w:szCs w:val="16"/>
              </w:rPr>
            </w:pPr>
            <w:r>
              <w:rPr>
                <w:rFonts w:asciiTheme="minorHAnsi" w:hAnsiTheme="minorHAnsi" w:cstheme="minorHAnsi"/>
                <w:b/>
                <w:bCs/>
                <w:noProof/>
                <w:sz w:val="16"/>
                <w:szCs w:val="16"/>
              </w:rPr>
              <w:t>Y</w:t>
            </w:r>
          </w:p>
        </w:tc>
        <w:tc>
          <w:tcPr>
            <w:tcW w:w="232" w:type="pct"/>
            <w:vAlign w:val="center"/>
          </w:tcPr>
          <w:p w14:paraId="3877DE99" w14:textId="77777777" w:rsidR="000120E1" w:rsidRPr="000E2305" w:rsidRDefault="000120E1" w:rsidP="000120E1">
            <w:pPr>
              <w:spacing w:before="0" w:after="0" w:line="240" w:lineRule="auto"/>
              <w:jc w:val="center"/>
              <w:rPr>
                <w:rFonts w:asciiTheme="minorHAnsi" w:hAnsiTheme="minorHAnsi" w:cstheme="minorHAnsi"/>
                <w:b/>
                <w:bCs/>
                <w:noProof/>
                <w:sz w:val="16"/>
                <w:szCs w:val="16"/>
              </w:rPr>
            </w:pPr>
            <w:r w:rsidRPr="000E2305">
              <w:rPr>
                <w:rFonts w:asciiTheme="minorHAnsi" w:hAnsiTheme="minorHAnsi" w:cstheme="minorHAnsi"/>
                <w:b/>
                <w:bCs/>
                <w:noProof/>
                <w:sz w:val="16"/>
                <w:szCs w:val="16"/>
              </w:rPr>
              <w:t>N</w:t>
            </w:r>
          </w:p>
        </w:tc>
        <w:tc>
          <w:tcPr>
            <w:tcW w:w="232" w:type="pct"/>
            <w:vAlign w:val="center"/>
          </w:tcPr>
          <w:p w14:paraId="69A37164" w14:textId="468219E5" w:rsidR="000120E1" w:rsidRPr="000E2305" w:rsidRDefault="000120E1" w:rsidP="000120E1">
            <w:pPr>
              <w:spacing w:before="0" w:after="0" w:line="240" w:lineRule="auto"/>
              <w:jc w:val="center"/>
              <w:rPr>
                <w:rFonts w:asciiTheme="minorHAnsi" w:hAnsiTheme="minorHAnsi" w:cstheme="minorHAnsi"/>
                <w:b/>
                <w:bCs/>
                <w:noProof/>
                <w:sz w:val="16"/>
                <w:szCs w:val="16"/>
              </w:rPr>
            </w:pPr>
            <w:r>
              <w:rPr>
                <w:rFonts w:asciiTheme="minorHAnsi" w:hAnsiTheme="minorHAnsi" w:cstheme="minorHAnsi"/>
                <w:b/>
                <w:bCs/>
                <w:noProof/>
                <w:sz w:val="16"/>
                <w:szCs w:val="16"/>
              </w:rPr>
              <w:t>N</w:t>
            </w:r>
          </w:p>
        </w:tc>
        <w:tc>
          <w:tcPr>
            <w:tcW w:w="232" w:type="pct"/>
            <w:shd w:val="clear" w:color="auto" w:fill="92D050"/>
            <w:vAlign w:val="center"/>
          </w:tcPr>
          <w:p w14:paraId="3E41F30D" w14:textId="6F63C499" w:rsidR="000120E1" w:rsidRPr="000E2305" w:rsidRDefault="000120E1" w:rsidP="000120E1">
            <w:pPr>
              <w:spacing w:before="0" w:after="0" w:line="240" w:lineRule="auto"/>
              <w:jc w:val="center"/>
              <w:rPr>
                <w:rFonts w:asciiTheme="minorHAnsi" w:hAnsiTheme="minorHAnsi" w:cstheme="minorHAnsi"/>
                <w:b/>
                <w:bCs/>
                <w:noProof/>
                <w:sz w:val="16"/>
                <w:szCs w:val="16"/>
              </w:rPr>
            </w:pPr>
            <w:r>
              <w:rPr>
                <w:rFonts w:asciiTheme="minorHAnsi" w:hAnsiTheme="minorHAnsi" w:cstheme="minorHAnsi"/>
                <w:b/>
                <w:bCs/>
                <w:noProof/>
                <w:sz w:val="16"/>
                <w:szCs w:val="16"/>
              </w:rPr>
              <w:t>Y</w:t>
            </w:r>
          </w:p>
        </w:tc>
        <w:tc>
          <w:tcPr>
            <w:tcW w:w="232" w:type="pct"/>
            <w:shd w:val="clear" w:color="auto" w:fill="92D050"/>
            <w:vAlign w:val="center"/>
          </w:tcPr>
          <w:p w14:paraId="03161EE1" w14:textId="1C0ED898" w:rsidR="000120E1" w:rsidRPr="000E2305" w:rsidRDefault="000120E1" w:rsidP="000120E1">
            <w:pPr>
              <w:spacing w:before="0" w:after="0" w:line="240" w:lineRule="auto"/>
              <w:jc w:val="center"/>
              <w:rPr>
                <w:rFonts w:asciiTheme="minorHAnsi" w:hAnsiTheme="minorHAnsi" w:cstheme="minorHAnsi"/>
                <w:b/>
                <w:bCs/>
                <w:noProof/>
                <w:sz w:val="16"/>
                <w:szCs w:val="16"/>
              </w:rPr>
            </w:pPr>
            <w:r>
              <w:rPr>
                <w:rFonts w:asciiTheme="minorHAnsi" w:hAnsiTheme="minorHAnsi" w:cstheme="minorHAnsi"/>
                <w:b/>
                <w:bCs/>
                <w:noProof/>
                <w:sz w:val="16"/>
                <w:szCs w:val="16"/>
              </w:rPr>
              <w:t>Y</w:t>
            </w:r>
          </w:p>
        </w:tc>
        <w:tc>
          <w:tcPr>
            <w:tcW w:w="220" w:type="pct"/>
            <w:shd w:val="clear" w:color="auto" w:fill="92D050"/>
            <w:vAlign w:val="center"/>
          </w:tcPr>
          <w:p w14:paraId="02AB5976" w14:textId="77777777" w:rsidR="000120E1" w:rsidRPr="000E2305" w:rsidRDefault="000120E1" w:rsidP="000120E1">
            <w:pPr>
              <w:spacing w:before="0" w:after="0" w:line="240" w:lineRule="auto"/>
              <w:jc w:val="center"/>
              <w:rPr>
                <w:rFonts w:asciiTheme="minorHAnsi" w:hAnsiTheme="minorHAnsi" w:cstheme="minorHAnsi"/>
                <w:b/>
                <w:bCs/>
                <w:noProof/>
                <w:sz w:val="16"/>
                <w:szCs w:val="16"/>
              </w:rPr>
            </w:pPr>
            <w:r w:rsidRPr="000E2305">
              <w:rPr>
                <w:rFonts w:asciiTheme="minorHAnsi" w:hAnsiTheme="minorHAnsi" w:cstheme="minorHAnsi"/>
                <w:b/>
                <w:bCs/>
                <w:noProof/>
                <w:sz w:val="16"/>
                <w:szCs w:val="16"/>
              </w:rPr>
              <w:t>Y</w:t>
            </w:r>
          </w:p>
        </w:tc>
      </w:tr>
    </w:tbl>
    <w:p w14:paraId="25F3BFB7" w14:textId="24E8C9EA" w:rsidR="00EC7E04" w:rsidRPr="005B6ACD" w:rsidRDefault="000212D1" w:rsidP="005B6ACD">
      <w:pPr>
        <w:ind w:left="-170"/>
        <w:rPr>
          <w:rFonts w:asciiTheme="minorHAnsi" w:hAnsiTheme="minorHAnsi" w:cstheme="minorHAnsi"/>
          <w:sz w:val="18"/>
          <w:szCs w:val="22"/>
        </w:rPr>
      </w:pPr>
      <w:r w:rsidRPr="005B6ACD">
        <w:rPr>
          <w:rFonts w:asciiTheme="minorHAnsi" w:hAnsiTheme="minorHAnsi" w:cstheme="minorHAnsi"/>
          <w:i/>
          <w:sz w:val="18"/>
          <w:szCs w:val="22"/>
        </w:rPr>
        <w:t>G1: EnHealth (2012), G2: Health Canada (2012), G3: HEPA (2020), G4: NHMRC (2008), G5: NRMMC, EPHC, and AHMC (2006), G6: NRMMC, EPHC, and NHMRC (2008), G7: US EPA (2017), G8: US EPA (2019), G9: US EPA (2019), G10: WHO (2016), G11. NHMRC (2019)</w:t>
      </w:r>
    </w:p>
    <w:p w14:paraId="1E93725A" w14:textId="168CC631" w:rsidR="00EC7E04" w:rsidRDefault="00EC7E04" w:rsidP="0093386C"/>
    <w:p w14:paraId="319BF60E" w14:textId="77777777" w:rsidR="00EC7E04" w:rsidRPr="00595884" w:rsidRDefault="00EC7E04" w:rsidP="0093386C"/>
    <w:p w14:paraId="632364B7" w14:textId="77777777" w:rsidR="00EC7E04" w:rsidRDefault="00EC7E04" w:rsidP="00823F91">
      <w:pPr>
        <w:sectPr w:rsidR="00EC7E04" w:rsidSect="005B6ACD">
          <w:headerReference w:type="first" r:id="rId23"/>
          <w:footerReference w:type="first" r:id="rId24"/>
          <w:pgSz w:w="16838" w:h="11906" w:orient="landscape"/>
          <w:pgMar w:top="1701" w:right="1588" w:bottom="1418" w:left="1418" w:header="680" w:footer="709" w:gutter="0"/>
          <w:cols w:space="708"/>
          <w:titlePg/>
          <w:docGrid w:linePitch="360"/>
        </w:sectPr>
      </w:pPr>
    </w:p>
    <w:p w14:paraId="4C852CA8" w14:textId="0E926CAE" w:rsidR="00823F91" w:rsidRPr="00595884" w:rsidRDefault="00274BC6" w:rsidP="00D95B6A">
      <w:pPr>
        <w:pStyle w:val="Heading2"/>
      </w:pPr>
      <w:bookmarkStart w:id="303" w:name="_Ref71819937"/>
      <w:bookmarkStart w:id="304" w:name="_Toc106811135"/>
      <w:r w:rsidRPr="00595884">
        <w:t xml:space="preserve">Primary </w:t>
      </w:r>
      <w:r w:rsidR="00E02706">
        <w:t>s</w:t>
      </w:r>
      <w:r w:rsidRPr="00595884">
        <w:t>tudies</w:t>
      </w:r>
      <w:bookmarkEnd w:id="303"/>
      <w:bookmarkEnd w:id="304"/>
    </w:p>
    <w:p w14:paraId="2C0EFA08" w14:textId="3E6700E5" w:rsidR="00823F91" w:rsidRPr="00595884" w:rsidRDefault="00274BC6" w:rsidP="00823F91">
      <w:pPr>
        <w:pStyle w:val="Heading3"/>
      </w:pPr>
      <w:bookmarkStart w:id="305" w:name="_Toc106811136"/>
      <w:r w:rsidRPr="00595884">
        <w:t>Quality of included studies</w:t>
      </w:r>
      <w:bookmarkEnd w:id="305"/>
    </w:p>
    <w:p w14:paraId="39568A08" w14:textId="3E3D4DEE" w:rsidR="00823F91" w:rsidRDefault="00274BC6" w:rsidP="00823F91">
      <w:r w:rsidRPr="00595884">
        <w:t xml:space="preserve">Six qualitative </w:t>
      </w:r>
      <w:r w:rsidR="00451924">
        <w:t xml:space="preserve">primary </w:t>
      </w:r>
      <w:r w:rsidRPr="00595884">
        <w:t>research studies remained after screening and were further assessed for eligibility through a risk</w:t>
      </w:r>
      <w:r w:rsidR="0011078F">
        <w:t xml:space="preserve"> </w:t>
      </w:r>
      <w:r w:rsidRPr="00595884">
        <w:t>of</w:t>
      </w:r>
      <w:r w:rsidR="0011078F">
        <w:t xml:space="preserve"> </w:t>
      </w:r>
      <w:r w:rsidRPr="00595884">
        <w:t>bias assessment.  Three studies were subsequently excluded due to “high” or “probably high” overall risk</w:t>
      </w:r>
      <w:r w:rsidR="0011078F">
        <w:t xml:space="preserve"> </w:t>
      </w:r>
      <w:r w:rsidRPr="00595884">
        <w:t>of</w:t>
      </w:r>
      <w:r w:rsidR="0011078F">
        <w:t xml:space="preserve"> </w:t>
      </w:r>
      <w:r w:rsidRPr="00595884">
        <w:t>bias ratings (</w:t>
      </w:r>
      <w:r w:rsidRPr="00595884">
        <w:fldChar w:fldCharType="begin"/>
      </w:r>
      <w:r w:rsidRPr="00595884">
        <w:instrText xml:space="preserve"> REF _Ref71820151 \h </w:instrText>
      </w:r>
      <w:r w:rsidRPr="00595884">
        <w:fldChar w:fldCharType="separate"/>
      </w:r>
      <w:r w:rsidR="003132AF" w:rsidRPr="00595884">
        <w:t xml:space="preserve">Table </w:t>
      </w:r>
      <w:r w:rsidR="003132AF">
        <w:rPr>
          <w:noProof/>
        </w:rPr>
        <w:t>4</w:t>
      </w:r>
      <w:r w:rsidR="003132AF">
        <w:noBreakHyphen/>
      </w:r>
      <w:r w:rsidR="003132AF">
        <w:rPr>
          <w:noProof/>
        </w:rPr>
        <w:t>2</w:t>
      </w:r>
      <w:r w:rsidRPr="00595884">
        <w:fldChar w:fldCharType="end"/>
      </w:r>
      <w:r w:rsidRPr="00595884">
        <w:t>).</w:t>
      </w:r>
      <w:r w:rsidR="00B47A10" w:rsidRPr="00595884">
        <w:t xml:space="preserve">  As noted above, there is a paucity of </w:t>
      </w:r>
      <w:r w:rsidR="00294208" w:rsidRPr="00595884">
        <w:t>quality research studies devoted to the effects of chemical hazards on recreational water quality.</w:t>
      </w:r>
    </w:p>
    <w:p w14:paraId="63203004" w14:textId="77777777" w:rsidR="00B745B2" w:rsidRDefault="00B745B2" w:rsidP="00B745B2">
      <w:r>
        <w:t>The decision to exclude study J1 (</w:t>
      </w:r>
      <w:r w:rsidRPr="00F95F63">
        <w:fldChar w:fldCharType="begin"/>
      </w:r>
      <w:r w:rsidRPr="00F95F63">
        <w:instrText xml:space="preserve"> ADDIN ZOTERO_ITEM CSL_CITATION {"citationID":"nTMeZ4Xm","properties":{"custom":"Black, Welday, et al. (2016)","formattedCitation":"Black, Welday, et al. (2016)","plainCitation":"Black, Welday, et al. (2016)","noteIndex":0},"citationItems":[{"id":15287,"uris":["http://zotero.org/users/148142/items/6C9A4T94"],"uri":["http://zotero.org/users/148142/items/6C9A4T94"],"itemData":{"id":15287,"type":"article-journal","abstract":"Due to changes in the drilling industry, oil spills are impacting large expanses of coastlines, thereby increasing the potential for people to come in contact with oil spill chemicals. The objective of this manuscript was to evaluate the health risk to children who potentially contact beach sands impacted by oil spill chemicals from the Deepwater Horizon disaster. To identify chemicals of concern, the U.S. Environmental Protection Agency's (EPA's) monitoring data collected during and immediately after the spill were evaluated. This dataset was supplemented with measurements from beach sands and tar balls collected five years after the spill. Of interest is that metals in the sediments were observed at similar levels between the two sampling periods; some differences were observed for metals levels in tar balls. Although PAHs were not observed five years later, there is evidence of weathered-oil oxidative by-products. Comparing chemical concentration data to baseline soil risk levels, three metals (As, Ba, and V) and four PAHs (benzo[a]pyrene, benz[a]anthracene, benzo[b]fluoranthene, and dibenz[a,h]anthracene) were found to exceed guideline levels prompting a risk assessment. For acute or sub-chronic exposures, hazard quotients, computed by estimating average expected contact behavior, showed no adverse potential health effects. For cancer, computations using 95% upper confidence limits for contaminant concentrations showed extremely low increased risk in the 10(-6) range for oral and dermal exposure from arsenic in sediments and from dermal exposure from benzo[a]pyrene and benz[a]anthracene in weathered oil. Overall, results suggest that health risks are extremely low, given the limitations of available data. Limitations of this study are associated with the lack of toxicological data for dispersants and oil-spill degradation products. We also recommend studies to collect quantitative information about children's beach play habits, which are necessary to more accurately assess exposure scenarios and health risks.","container-title":"International Journal of Environmental Research and Public Health","DOI":"10.3390/ijerph13090853","ISSN":"1660-4601","issue":"9","journalAbbreviation":"Int J Environ Res Public Health","language":"eng","source":"PubMed","title":"Risk Assessment for Children Exposed to Beach Sands Impacted by Oil Spill Chemicals","URL":"http://www.ncbi.nlm.nih.gov/pubmed/27618904","volume":"13","author":[{"family":"Black","given":"Jennifer C."},{"family":"Welday","given":"Jennifer N."},{"family":"Buckley","given":"Brian"},{"family":"Ferguson","given":"Alesia"},{"family":"Gurian","given":"Patrick L."},{"family":"Mena","given":"Kristina D."},{"family":"Yang","given":"Ill"},{"family":"McCandlish","given":"Elizabeth"},{"family":"Solo-Gabriele","given":"Helena M."}],"issued":{"date-parts":[["2016"]]}}}],"schema":"https://github.com/citation-style-language/schema/raw/master/csl-citation.json"} </w:instrText>
      </w:r>
      <w:r w:rsidRPr="00F95F63">
        <w:fldChar w:fldCharType="separate"/>
      </w:r>
      <w:r w:rsidRPr="00F95F63">
        <w:t>Black, Welday, et al. (2016)</w:t>
      </w:r>
      <w:r w:rsidRPr="00F95F63">
        <w:fldChar w:fldCharType="end"/>
      </w:r>
      <w:r w:rsidRPr="00F95F63">
        <w:t xml:space="preserve">, </w:t>
      </w:r>
      <w:r w:rsidRPr="00ED1370">
        <w:rPr>
          <w:i/>
        </w:rPr>
        <w:t>Risk Assessment for Children Exposed to Beach Sands Impacted by Oil Spill Chemicals</w:t>
      </w:r>
      <w:r>
        <w:t xml:space="preserve">) was marginal.  Although the study is rigorous, clear and well-written and follows a standard risk assessment methodology, the authors undermine the wider applicability of the findings with a statement to the effect that the risk assessment conducted should be considered preliminary and specific to the nature of the Deep Water Horizon oil spill (Gulf of Mexico, 2010) due to considerable weathering of the oil prior to beaching.  Thus, the results do not have wider applicability in relation to re-opening beaches for recreational use following an oil spill event. Given the authors' statement that the results are specific to the </w:t>
      </w:r>
      <w:proofErr w:type="gramStart"/>
      <w:r>
        <w:t>particular events</w:t>
      </w:r>
      <w:proofErr w:type="gramEnd"/>
      <w:r>
        <w:t xml:space="preserve"> studied, the study can </w:t>
      </w:r>
      <w:proofErr w:type="gramStart"/>
      <w:r>
        <w:t>be considered to be</w:t>
      </w:r>
      <w:proofErr w:type="gramEnd"/>
      <w:r>
        <w:t xml:space="preserve"> "biased” towards those events.  Consequently, it is classified as having a Probably high risk of bias (to local conditions) and was excluded on that basis.</w:t>
      </w:r>
    </w:p>
    <w:p w14:paraId="64DEF02E" w14:textId="77777777" w:rsidR="00B745B2" w:rsidRPr="00595884" w:rsidRDefault="00B745B2" w:rsidP="00B745B2">
      <w:r>
        <w:t>The decision to exclude study J4 (</w:t>
      </w:r>
      <w:r w:rsidRPr="004F2259">
        <w:fldChar w:fldCharType="begin"/>
      </w:r>
      <w:r w:rsidRPr="004F2259">
        <w:instrText xml:space="preserve"> ADDIN ZOTERO_ITEM CSL_CITATION {"citationID":"X1uboXul","properties":{"custom":"Li, Feng, et al. (2017)","formattedCitation":"Li, Feng, et al. (2017)","plainCitation":"Li, Feng, et al. (2017)","noteIndex":0},"citationItems":[{"id":15426,"uris":["http://zotero.org/users/148142/items/DRKUENNS"],"uri":["http://zotero.org/users/148142/items/DRKUENNS"],"itemData":{"id":15426,"type":"article-journal","abstract":"Shahu Lake is a well-known tourist lake in Ningxia, northwest China. This study analyzed the general hydrochemical characteristics of the lake water to determine the spatiotemporal variability of contaminants and to assess the potential health risk associated with the surface water. Lake water was monitored at three stations each month throughout 2013. Samples were analyzed for pH, total dissolved solids, temperature, EC, major ions (Na+, K+, Ca2+, Mg2+, SO42-, Cl-, HCO3 (-), and CO3 (2-)), ammonia nitrogen (NH4-N), fluoride (F-), phenol, and heavy metals (As, Hg, and Cr6+). The results suggest that Na+ is the dominant cation in the lake water, and Cl- and SO4 (2-) are the dominant anions, resulting in a primary water type of Cl center dot SO4-Na. Contaminant levels (NH4-N, F-, As, Hg, Cr6+, and phenol) vary through time and space (spatiotemporal variations). As and F- are high in the summer season; Cr6+ and Hg do not significantly change over the year; and the NH4-N and phenol concentrations also remain relatively stable. Concentrations of all these substances are within the acceptable limits for recreational water use (1.5, 1.5, 0.1, 0.001, 0.05, and 0.01 mg/L for NH4-N, F-, As, Hg, Cr6+, and phenol, respectively). An assessment model recommended by the Ministry of Environmental Protection of the P.R. China was used in the study to conduct the health risk assessment. While workers do experience higher non-carcinogenic and carcinogenic risks than tourists, the risks are low and negligible. As and Cr6+ contribute the most to total carcinogenic and non-carcinogenic risks.","container-title":"Exposure and Health","DOI":"10.1007/s12403-016-0237-3","ISSN":"2451-9766","issue":"3","journalAbbreviation":"Expo. Health","language":"English","page":"213-225","source":"Web of Science","title":"Spatiotemporal Variability of Contaminants in Lake Water and Their Risks to Human Health: A Case Study of the Shahu Lake Tourist Area, Northwest China","title-short":"Spatiotemporal Variability of Contaminants in Lake Water and Their Risks to Human Health","volume":"9","author":[{"family":"Li","given":"Peiyue"},{"family":"Feng","given":"Wei"},{"family":"Xue","given":"Chenyang"},{"family":"Tian","given":"Rui"},{"family":"Wang","given":"Siting"}],"issued":{"date-parts":[["2017",9]]}}}],"schema":"https://github.com/citation-style-language/schema/raw/master/csl-citation.json"} </w:instrText>
      </w:r>
      <w:r w:rsidRPr="004F2259">
        <w:fldChar w:fldCharType="separate"/>
      </w:r>
      <w:r w:rsidRPr="004F2259">
        <w:t>Li, Feng, et al. (2017)</w:t>
      </w:r>
      <w:r w:rsidRPr="004F2259">
        <w:fldChar w:fldCharType="end"/>
      </w:r>
      <w:r w:rsidRPr="004F2259">
        <w:t xml:space="preserve">, </w:t>
      </w:r>
      <w:r w:rsidRPr="00ED1370">
        <w:rPr>
          <w:i/>
        </w:rPr>
        <w:t>Spatiotemporal Variability of Contaminants in Lake Water and Their Risks to Human Health: A Case Study of the Shahu Lake Tourist Area, Northwest China</w:t>
      </w:r>
      <w:r>
        <w:t xml:space="preserve">) was somewhat less problematic. Although the study is rigorous, clear and follows a standard risk assessment methodology, the methodology is based on People’s Republic of China guidance with slightly different model assumptions, e.g. standard body weight, etc.) and is set in an environment not found in Australia (high elevation, arid zone lake that freezes over in winter). Since the results are specific to the </w:t>
      </w:r>
      <w:proofErr w:type="gramStart"/>
      <w:r>
        <w:t>particular country</w:t>
      </w:r>
      <w:proofErr w:type="gramEnd"/>
      <w:r>
        <w:t xml:space="preserve"> and environment studied, the study can </w:t>
      </w:r>
      <w:proofErr w:type="gramStart"/>
      <w:r>
        <w:t>be considered to be</w:t>
      </w:r>
      <w:proofErr w:type="gramEnd"/>
      <w:r>
        <w:t xml:space="preserve"> "biased” towards those conditions.  Consequently, it is classified as having a "Probably high risk of bias" (to local conditions) and therefore was excluded from further review.</w:t>
      </w:r>
    </w:p>
    <w:p w14:paraId="2188FE60" w14:textId="77777777" w:rsidR="00B745B2" w:rsidRPr="00595884" w:rsidRDefault="00B745B2" w:rsidP="00823F91"/>
    <w:p w14:paraId="47FA1A37" w14:textId="6C1D6A10" w:rsidR="00823F91" w:rsidRPr="00595884" w:rsidRDefault="00274BC6" w:rsidP="00833AA5">
      <w:pPr>
        <w:pStyle w:val="Caption"/>
        <w:keepNext/>
        <w:pageBreakBefore/>
      </w:pPr>
      <w:bookmarkStart w:id="306" w:name="_Ref106807481"/>
      <w:bookmarkStart w:id="307" w:name="_Ref71820151"/>
      <w:bookmarkStart w:id="308" w:name="_Toc106811172"/>
      <w:r w:rsidRPr="00595884">
        <w:t xml:space="preserve">Table </w:t>
      </w:r>
      <w:r w:rsidR="003132AF">
        <w:fldChar w:fldCharType="begin"/>
      </w:r>
      <w:r w:rsidR="003132AF">
        <w:instrText xml:space="preserve"> STYLEREF 1 \s </w:instrText>
      </w:r>
      <w:r w:rsidR="003132AF">
        <w:fldChar w:fldCharType="separate"/>
      </w:r>
      <w:r w:rsidR="003132AF">
        <w:rPr>
          <w:noProof/>
        </w:rPr>
        <w:t>4</w:t>
      </w:r>
      <w:r w:rsidR="003132AF">
        <w:rPr>
          <w:noProof/>
        </w:rPr>
        <w:fldChar w:fldCharType="end"/>
      </w:r>
      <w:r w:rsidR="00CE064A">
        <w:noBreakHyphen/>
      </w:r>
      <w:r w:rsidR="003132AF">
        <w:fldChar w:fldCharType="begin"/>
      </w:r>
      <w:r w:rsidR="003132AF">
        <w:instrText xml:space="preserve"> SEQ Table \* ARABIC \s 1 </w:instrText>
      </w:r>
      <w:r w:rsidR="003132AF">
        <w:fldChar w:fldCharType="separate"/>
      </w:r>
      <w:r w:rsidR="003132AF">
        <w:rPr>
          <w:noProof/>
        </w:rPr>
        <w:t>2</w:t>
      </w:r>
      <w:r w:rsidR="003132AF">
        <w:rPr>
          <w:noProof/>
        </w:rPr>
        <w:fldChar w:fldCharType="end"/>
      </w:r>
      <w:bookmarkEnd w:id="306"/>
      <w:bookmarkEnd w:id="307"/>
      <w:r w:rsidRPr="00595884">
        <w:t xml:space="preserve">.  Primary research studies </w:t>
      </w:r>
      <w:r w:rsidR="00EF72A4" w:rsidRPr="00595884">
        <w:t>o</w:t>
      </w:r>
      <w:r w:rsidRPr="00595884">
        <w:t xml:space="preserve">verall risk of bias (body of evidence) (protocol adapted from </w:t>
      </w:r>
      <w:r w:rsidR="00DA16F9">
        <w:t xml:space="preserve">the CASP appraisal tool [Oxford VTH, 2020] and the </w:t>
      </w:r>
      <w:r w:rsidRPr="00595884">
        <w:t xml:space="preserve">OHAT </w:t>
      </w:r>
      <w:r w:rsidR="00DA16F9">
        <w:t>Risk-of-Bias ratings system</w:t>
      </w:r>
      <w:r w:rsidRPr="00595884">
        <w:t xml:space="preserve"> </w:t>
      </w:r>
      <w:r w:rsidR="00DA16F9">
        <w:t>[]</w:t>
      </w:r>
      <w:r w:rsidRPr="00595884">
        <w:t>.  Note all studies were in the qualitative research category.</w:t>
      </w:r>
      <w:bookmarkEnd w:id="308"/>
    </w:p>
    <w:tbl>
      <w:tblPr>
        <w:tblW w:w="5000" w:type="pct"/>
        <w:tblLayout w:type="fixed"/>
        <w:tblLook w:val="04A0" w:firstRow="1" w:lastRow="0" w:firstColumn="1" w:lastColumn="0" w:noHBand="0" w:noVBand="1"/>
      </w:tblPr>
      <w:tblGrid>
        <w:gridCol w:w="378"/>
        <w:gridCol w:w="2023"/>
        <w:gridCol w:w="872"/>
        <w:gridCol w:w="872"/>
        <w:gridCol w:w="872"/>
        <w:gridCol w:w="872"/>
        <w:gridCol w:w="872"/>
        <w:gridCol w:w="872"/>
      </w:tblGrid>
      <w:tr w:rsidR="005B6ACD" w14:paraId="19AF2DFA" w14:textId="77777777" w:rsidTr="00E735E8">
        <w:trPr>
          <w:trHeight w:val="300"/>
        </w:trPr>
        <w:tc>
          <w:tcPr>
            <w:tcW w:w="248" w:type="pct"/>
            <w:tcBorders>
              <w:top w:val="single" w:sz="8" w:space="0" w:color="B5DDDC"/>
              <w:left w:val="single" w:sz="8" w:space="0" w:color="B5DDDC"/>
              <w:bottom w:val="single" w:sz="8" w:space="0" w:color="B5DDDC"/>
              <w:right w:val="single" w:sz="8" w:space="0" w:color="B5DDDC"/>
            </w:tcBorders>
            <w:shd w:val="clear" w:color="000000" w:fill="B5DDDC"/>
            <w:vAlign w:val="center"/>
            <w:hideMark/>
          </w:tcPr>
          <w:p w14:paraId="60CC8A7E" w14:textId="77777777" w:rsidR="00823F91" w:rsidRPr="00595884" w:rsidRDefault="00274BC6" w:rsidP="003C0A46">
            <w:pPr>
              <w:spacing w:before="0" w:after="0" w:line="240" w:lineRule="auto"/>
              <w:jc w:val="center"/>
              <w:rPr>
                <w:rFonts w:ascii="Calibri" w:hAnsi="Calibri" w:cs="Calibri"/>
                <w:b/>
                <w:bCs/>
                <w:color w:val="008000"/>
                <w:sz w:val="16"/>
                <w:szCs w:val="16"/>
              </w:rPr>
            </w:pPr>
            <w:r w:rsidRPr="00595884">
              <w:rPr>
                <w:rFonts w:ascii="Calibri" w:hAnsi="Calibri" w:cs="Calibri"/>
                <w:b/>
                <w:bCs/>
                <w:color w:val="008000"/>
                <w:sz w:val="16"/>
                <w:szCs w:val="16"/>
              </w:rPr>
              <w:t> </w:t>
            </w:r>
          </w:p>
        </w:tc>
        <w:tc>
          <w:tcPr>
            <w:tcW w:w="1325" w:type="pct"/>
            <w:tcBorders>
              <w:top w:val="single" w:sz="8" w:space="0" w:color="B5DDDC"/>
              <w:left w:val="nil"/>
              <w:bottom w:val="single" w:sz="8" w:space="0" w:color="B5DDDC"/>
              <w:right w:val="single" w:sz="8" w:space="0" w:color="B5DDDC"/>
            </w:tcBorders>
            <w:shd w:val="clear" w:color="000000" w:fill="B5DDDC"/>
            <w:vAlign w:val="center"/>
            <w:hideMark/>
          </w:tcPr>
          <w:p w14:paraId="21E9EDCD" w14:textId="77777777" w:rsidR="00823F91" w:rsidRPr="00595884" w:rsidRDefault="00274BC6" w:rsidP="003C0A46">
            <w:pPr>
              <w:spacing w:before="0" w:after="0" w:line="240" w:lineRule="auto"/>
              <w:jc w:val="center"/>
              <w:rPr>
                <w:rFonts w:ascii="Calibri" w:hAnsi="Calibri" w:cs="Calibri"/>
                <w:b/>
                <w:bCs/>
                <w:color w:val="008000"/>
                <w:sz w:val="16"/>
                <w:szCs w:val="16"/>
              </w:rPr>
            </w:pPr>
            <w:r w:rsidRPr="00595884">
              <w:rPr>
                <w:rFonts w:ascii="Calibri" w:hAnsi="Calibri" w:cs="Calibri"/>
                <w:b/>
                <w:bCs/>
                <w:color w:val="008000"/>
                <w:sz w:val="16"/>
                <w:szCs w:val="16"/>
              </w:rPr>
              <w:t> </w:t>
            </w:r>
          </w:p>
        </w:tc>
        <w:tc>
          <w:tcPr>
            <w:tcW w:w="571" w:type="pct"/>
            <w:tcBorders>
              <w:top w:val="single" w:sz="8" w:space="0" w:color="B5DDDC"/>
              <w:left w:val="nil"/>
              <w:bottom w:val="single" w:sz="8" w:space="0" w:color="B5DDDC"/>
              <w:right w:val="single" w:sz="8" w:space="0" w:color="B5DDDC"/>
            </w:tcBorders>
            <w:shd w:val="clear" w:color="000000" w:fill="B5DDDC"/>
            <w:vAlign w:val="center"/>
            <w:hideMark/>
          </w:tcPr>
          <w:p w14:paraId="265485C6" w14:textId="77777777" w:rsidR="00823F91" w:rsidRPr="00595884" w:rsidRDefault="00274BC6" w:rsidP="003C0A46">
            <w:pPr>
              <w:spacing w:before="0" w:after="0" w:line="240" w:lineRule="auto"/>
              <w:jc w:val="center"/>
              <w:rPr>
                <w:rFonts w:ascii="Calibri" w:hAnsi="Calibri" w:cs="Calibri"/>
                <w:b/>
                <w:bCs/>
                <w:color w:val="008000"/>
                <w:sz w:val="16"/>
                <w:szCs w:val="16"/>
              </w:rPr>
            </w:pPr>
            <w:r w:rsidRPr="00595884">
              <w:rPr>
                <w:rFonts w:ascii="Calibri" w:hAnsi="Calibri" w:cs="Calibri"/>
                <w:b/>
                <w:bCs/>
                <w:color w:val="008000"/>
                <w:sz w:val="16"/>
                <w:szCs w:val="16"/>
              </w:rPr>
              <w:t> </w:t>
            </w:r>
          </w:p>
        </w:tc>
        <w:tc>
          <w:tcPr>
            <w:tcW w:w="571" w:type="pct"/>
            <w:tcBorders>
              <w:top w:val="single" w:sz="8" w:space="0" w:color="B5DDDC"/>
              <w:left w:val="nil"/>
              <w:bottom w:val="single" w:sz="8" w:space="0" w:color="B5DDDC"/>
              <w:right w:val="single" w:sz="8" w:space="0" w:color="B5DDDC"/>
            </w:tcBorders>
            <w:shd w:val="clear" w:color="000000" w:fill="B5DDDC"/>
            <w:vAlign w:val="center"/>
            <w:hideMark/>
          </w:tcPr>
          <w:p w14:paraId="139CCE88" w14:textId="77777777" w:rsidR="00823F91" w:rsidRPr="00595884" w:rsidRDefault="00274BC6" w:rsidP="003C0A46">
            <w:pPr>
              <w:spacing w:before="0" w:after="0" w:line="240" w:lineRule="auto"/>
              <w:jc w:val="center"/>
              <w:rPr>
                <w:rFonts w:ascii="Calibri" w:hAnsi="Calibri" w:cs="Calibri"/>
                <w:b/>
                <w:bCs/>
                <w:color w:val="008000"/>
                <w:sz w:val="16"/>
                <w:szCs w:val="16"/>
              </w:rPr>
            </w:pPr>
            <w:r w:rsidRPr="00595884">
              <w:rPr>
                <w:rFonts w:ascii="Calibri" w:hAnsi="Calibri" w:cs="Calibri"/>
                <w:b/>
                <w:bCs/>
                <w:color w:val="008000"/>
                <w:sz w:val="16"/>
                <w:szCs w:val="16"/>
              </w:rPr>
              <w:t> </w:t>
            </w:r>
          </w:p>
        </w:tc>
        <w:tc>
          <w:tcPr>
            <w:tcW w:w="571" w:type="pct"/>
            <w:tcBorders>
              <w:top w:val="single" w:sz="8" w:space="0" w:color="B5DDDC"/>
              <w:left w:val="nil"/>
              <w:bottom w:val="single" w:sz="8" w:space="0" w:color="B5DDDC"/>
              <w:right w:val="single" w:sz="8" w:space="0" w:color="B5DDDC"/>
            </w:tcBorders>
            <w:shd w:val="clear" w:color="000000" w:fill="B5DDDC"/>
            <w:vAlign w:val="center"/>
            <w:hideMark/>
          </w:tcPr>
          <w:p w14:paraId="01ABE378" w14:textId="77777777" w:rsidR="00823F91" w:rsidRPr="00595884" w:rsidRDefault="00274BC6" w:rsidP="003C0A46">
            <w:pPr>
              <w:spacing w:before="0" w:after="0" w:line="240" w:lineRule="auto"/>
              <w:jc w:val="center"/>
              <w:rPr>
                <w:rFonts w:ascii="Calibri" w:hAnsi="Calibri" w:cs="Calibri"/>
                <w:b/>
                <w:bCs/>
                <w:color w:val="008000"/>
                <w:sz w:val="16"/>
                <w:szCs w:val="16"/>
              </w:rPr>
            </w:pPr>
            <w:r w:rsidRPr="00595884">
              <w:rPr>
                <w:rFonts w:ascii="Calibri" w:hAnsi="Calibri" w:cs="Calibri"/>
                <w:b/>
                <w:bCs/>
                <w:color w:val="008000"/>
                <w:sz w:val="16"/>
                <w:szCs w:val="16"/>
              </w:rPr>
              <w:t>Study ID</w:t>
            </w:r>
          </w:p>
        </w:tc>
        <w:tc>
          <w:tcPr>
            <w:tcW w:w="571" w:type="pct"/>
            <w:tcBorders>
              <w:top w:val="single" w:sz="8" w:space="0" w:color="B5DDDC"/>
              <w:left w:val="nil"/>
              <w:bottom w:val="single" w:sz="8" w:space="0" w:color="B5DDDC"/>
              <w:right w:val="single" w:sz="8" w:space="0" w:color="B5DDDC"/>
            </w:tcBorders>
            <w:shd w:val="clear" w:color="000000" w:fill="B5DDDC"/>
            <w:vAlign w:val="center"/>
            <w:hideMark/>
          </w:tcPr>
          <w:p w14:paraId="3A421E94" w14:textId="77777777" w:rsidR="00823F91" w:rsidRPr="00595884" w:rsidRDefault="00274BC6" w:rsidP="003C0A46">
            <w:pPr>
              <w:spacing w:before="0" w:after="0" w:line="240" w:lineRule="auto"/>
              <w:jc w:val="center"/>
              <w:rPr>
                <w:rFonts w:ascii="Calibri" w:hAnsi="Calibri" w:cs="Calibri"/>
                <w:b/>
                <w:bCs/>
                <w:color w:val="008000"/>
                <w:sz w:val="16"/>
                <w:szCs w:val="16"/>
              </w:rPr>
            </w:pPr>
            <w:r w:rsidRPr="00595884">
              <w:rPr>
                <w:rFonts w:ascii="Calibri" w:hAnsi="Calibri" w:cs="Calibri"/>
                <w:b/>
                <w:bCs/>
                <w:color w:val="008000"/>
                <w:sz w:val="16"/>
                <w:szCs w:val="16"/>
              </w:rPr>
              <w:t> </w:t>
            </w:r>
          </w:p>
        </w:tc>
        <w:tc>
          <w:tcPr>
            <w:tcW w:w="571" w:type="pct"/>
            <w:tcBorders>
              <w:top w:val="single" w:sz="8" w:space="0" w:color="B5DDDC"/>
              <w:left w:val="nil"/>
              <w:bottom w:val="single" w:sz="8" w:space="0" w:color="B5DDDC"/>
              <w:right w:val="single" w:sz="8" w:space="0" w:color="B5DDDC"/>
            </w:tcBorders>
            <w:shd w:val="clear" w:color="000000" w:fill="B5DDDC"/>
            <w:vAlign w:val="center"/>
            <w:hideMark/>
          </w:tcPr>
          <w:p w14:paraId="159BDF26" w14:textId="77777777" w:rsidR="00823F91" w:rsidRPr="00595884" w:rsidRDefault="00274BC6" w:rsidP="003C0A46">
            <w:pPr>
              <w:spacing w:before="0" w:after="0" w:line="240" w:lineRule="auto"/>
              <w:jc w:val="center"/>
              <w:rPr>
                <w:rFonts w:ascii="Calibri" w:hAnsi="Calibri" w:cs="Calibri"/>
                <w:b/>
                <w:bCs/>
                <w:color w:val="008000"/>
                <w:sz w:val="16"/>
                <w:szCs w:val="16"/>
              </w:rPr>
            </w:pPr>
            <w:r w:rsidRPr="00595884">
              <w:rPr>
                <w:rFonts w:ascii="Calibri" w:hAnsi="Calibri" w:cs="Calibri"/>
                <w:b/>
                <w:bCs/>
                <w:color w:val="008000"/>
                <w:sz w:val="16"/>
                <w:szCs w:val="16"/>
              </w:rPr>
              <w:t> </w:t>
            </w:r>
          </w:p>
        </w:tc>
        <w:tc>
          <w:tcPr>
            <w:tcW w:w="571" w:type="pct"/>
            <w:tcBorders>
              <w:top w:val="single" w:sz="8" w:space="0" w:color="B5DDDC"/>
              <w:left w:val="nil"/>
              <w:bottom w:val="single" w:sz="8" w:space="0" w:color="B5DDDC"/>
              <w:right w:val="single" w:sz="8" w:space="0" w:color="B5DDDC"/>
            </w:tcBorders>
            <w:shd w:val="clear" w:color="000000" w:fill="B5DDDC"/>
            <w:vAlign w:val="center"/>
            <w:hideMark/>
          </w:tcPr>
          <w:p w14:paraId="17CC74F2" w14:textId="77777777" w:rsidR="00823F91" w:rsidRPr="00595884" w:rsidRDefault="00274BC6" w:rsidP="003C0A46">
            <w:pPr>
              <w:spacing w:before="0" w:after="0" w:line="240" w:lineRule="auto"/>
              <w:jc w:val="center"/>
              <w:rPr>
                <w:rFonts w:ascii="Calibri" w:hAnsi="Calibri" w:cs="Calibri"/>
                <w:b/>
                <w:bCs/>
                <w:color w:val="008000"/>
                <w:sz w:val="16"/>
                <w:szCs w:val="16"/>
              </w:rPr>
            </w:pPr>
            <w:r w:rsidRPr="00595884">
              <w:rPr>
                <w:rFonts w:ascii="Calibri" w:hAnsi="Calibri" w:cs="Calibri"/>
                <w:b/>
                <w:bCs/>
                <w:color w:val="008000"/>
                <w:sz w:val="16"/>
                <w:szCs w:val="16"/>
              </w:rPr>
              <w:t> </w:t>
            </w:r>
          </w:p>
        </w:tc>
      </w:tr>
      <w:tr w:rsidR="005B6ACD" w14:paraId="2D972D8B" w14:textId="77777777" w:rsidTr="00E735E8">
        <w:trPr>
          <w:trHeight w:val="300"/>
        </w:trPr>
        <w:tc>
          <w:tcPr>
            <w:tcW w:w="248" w:type="pct"/>
            <w:tcBorders>
              <w:top w:val="nil"/>
              <w:left w:val="single" w:sz="8" w:space="0" w:color="B5DDDC"/>
              <w:bottom w:val="single" w:sz="8" w:space="0" w:color="B5DDDC"/>
              <w:right w:val="single" w:sz="8" w:space="0" w:color="B5DDDC"/>
            </w:tcBorders>
            <w:shd w:val="clear" w:color="000000" w:fill="B5DDDC"/>
            <w:vAlign w:val="center"/>
            <w:hideMark/>
          </w:tcPr>
          <w:p w14:paraId="70837CED" w14:textId="77777777" w:rsidR="00823F91" w:rsidRPr="00595884" w:rsidRDefault="00274BC6" w:rsidP="003C0A46">
            <w:pPr>
              <w:spacing w:before="0" w:after="0" w:line="240" w:lineRule="auto"/>
              <w:jc w:val="center"/>
              <w:rPr>
                <w:rFonts w:ascii="Calibri" w:hAnsi="Calibri" w:cs="Calibri"/>
                <w:b/>
                <w:bCs/>
                <w:color w:val="008000"/>
                <w:sz w:val="16"/>
                <w:szCs w:val="16"/>
              </w:rPr>
            </w:pPr>
            <w:r w:rsidRPr="00595884">
              <w:rPr>
                <w:rFonts w:ascii="Calibri" w:hAnsi="Calibri" w:cs="Calibri"/>
                <w:b/>
                <w:bCs/>
                <w:color w:val="008000"/>
                <w:sz w:val="16"/>
                <w:szCs w:val="16"/>
              </w:rPr>
              <w:t>Q.</w:t>
            </w:r>
          </w:p>
        </w:tc>
        <w:tc>
          <w:tcPr>
            <w:tcW w:w="1325" w:type="pct"/>
            <w:tcBorders>
              <w:top w:val="nil"/>
              <w:left w:val="nil"/>
              <w:bottom w:val="single" w:sz="8" w:space="0" w:color="B5DDDC"/>
              <w:right w:val="single" w:sz="8" w:space="0" w:color="B5DDDC"/>
            </w:tcBorders>
            <w:shd w:val="clear" w:color="000000" w:fill="B5DDDC"/>
            <w:vAlign w:val="center"/>
            <w:hideMark/>
          </w:tcPr>
          <w:p w14:paraId="7F5C7745" w14:textId="77777777" w:rsidR="00823F91" w:rsidRPr="00595884" w:rsidRDefault="00274BC6" w:rsidP="003C0A46">
            <w:pPr>
              <w:spacing w:before="0" w:after="0" w:line="240" w:lineRule="auto"/>
              <w:rPr>
                <w:rFonts w:ascii="Calibri" w:hAnsi="Calibri" w:cs="Calibri"/>
                <w:b/>
                <w:bCs/>
                <w:color w:val="008000"/>
                <w:sz w:val="16"/>
                <w:szCs w:val="16"/>
              </w:rPr>
            </w:pPr>
            <w:r w:rsidRPr="00595884">
              <w:rPr>
                <w:rFonts w:ascii="Calibri" w:hAnsi="Calibri" w:cs="Calibri"/>
                <w:b/>
                <w:bCs/>
                <w:color w:val="008000"/>
                <w:sz w:val="16"/>
                <w:szCs w:val="16"/>
              </w:rPr>
              <w:t>Paper for appraisal and reference:</w:t>
            </w:r>
          </w:p>
        </w:tc>
        <w:tc>
          <w:tcPr>
            <w:tcW w:w="571" w:type="pct"/>
            <w:tcBorders>
              <w:top w:val="nil"/>
              <w:left w:val="nil"/>
              <w:bottom w:val="single" w:sz="8" w:space="0" w:color="B5DDDC"/>
              <w:right w:val="single" w:sz="8" w:space="0" w:color="B5DDDC"/>
            </w:tcBorders>
            <w:shd w:val="clear" w:color="000000" w:fill="B5DDDC"/>
            <w:vAlign w:val="center"/>
            <w:hideMark/>
          </w:tcPr>
          <w:p w14:paraId="195896EB" w14:textId="77777777" w:rsidR="00823F91" w:rsidRPr="00595884" w:rsidRDefault="00274BC6" w:rsidP="003C0A46">
            <w:pPr>
              <w:spacing w:before="0" w:after="0" w:line="240" w:lineRule="auto"/>
              <w:jc w:val="center"/>
              <w:rPr>
                <w:rFonts w:ascii="Calibri" w:hAnsi="Calibri" w:cs="Calibri"/>
                <w:b/>
                <w:bCs/>
                <w:color w:val="008000"/>
                <w:sz w:val="16"/>
                <w:szCs w:val="16"/>
              </w:rPr>
            </w:pPr>
            <w:r w:rsidRPr="00595884">
              <w:rPr>
                <w:rFonts w:ascii="Calibri" w:hAnsi="Calibri" w:cs="Calibri"/>
                <w:b/>
                <w:bCs/>
                <w:color w:val="008000"/>
                <w:sz w:val="16"/>
                <w:szCs w:val="16"/>
              </w:rPr>
              <w:t>J1</w:t>
            </w:r>
          </w:p>
        </w:tc>
        <w:tc>
          <w:tcPr>
            <w:tcW w:w="571" w:type="pct"/>
            <w:tcBorders>
              <w:top w:val="nil"/>
              <w:left w:val="nil"/>
              <w:bottom w:val="single" w:sz="8" w:space="0" w:color="B5DDDC"/>
              <w:right w:val="single" w:sz="8" w:space="0" w:color="B5DDDC"/>
            </w:tcBorders>
            <w:shd w:val="clear" w:color="000000" w:fill="B5DDDC"/>
            <w:vAlign w:val="center"/>
            <w:hideMark/>
          </w:tcPr>
          <w:p w14:paraId="76A26ACB" w14:textId="77777777" w:rsidR="00823F91" w:rsidRPr="00595884" w:rsidRDefault="00274BC6" w:rsidP="003C0A46">
            <w:pPr>
              <w:spacing w:before="0" w:after="0" w:line="240" w:lineRule="auto"/>
              <w:jc w:val="center"/>
              <w:rPr>
                <w:rFonts w:ascii="Calibri" w:hAnsi="Calibri" w:cs="Calibri"/>
                <w:b/>
                <w:bCs/>
                <w:color w:val="008000"/>
                <w:sz w:val="16"/>
                <w:szCs w:val="16"/>
              </w:rPr>
            </w:pPr>
            <w:r w:rsidRPr="00595884">
              <w:rPr>
                <w:rFonts w:ascii="Calibri" w:hAnsi="Calibri" w:cs="Calibri"/>
                <w:b/>
                <w:bCs/>
                <w:color w:val="008000"/>
                <w:sz w:val="16"/>
                <w:szCs w:val="16"/>
              </w:rPr>
              <w:t>J2</w:t>
            </w:r>
          </w:p>
        </w:tc>
        <w:tc>
          <w:tcPr>
            <w:tcW w:w="571" w:type="pct"/>
            <w:tcBorders>
              <w:top w:val="nil"/>
              <w:left w:val="nil"/>
              <w:bottom w:val="single" w:sz="8" w:space="0" w:color="B5DDDC"/>
              <w:right w:val="single" w:sz="8" w:space="0" w:color="B5DDDC"/>
            </w:tcBorders>
            <w:shd w:val="clear" w:color="000000" w:fill="B5DDDC"/>
            <w:vAlign w:val="center"/>
            <w:hideMark/>
          </w:tcPr>
          <w:p w14:paraId="4FE7DB24" w14:textId="77777777" w:rsidR="00823F91" w:rsidRPr="00595884" w:rsidRDefault="00274BC6" w:rsidP="003C0A46">
            <w:pPr>
              <w:spacing w:before="0" w:after="0" w:line="240" w:lineRule="auto"/>
              <w:jc w:val="center"/>
              <w:rPr>
                <w:rFonts w:ascii="Calibri" w:hAnsi="Calibri" w:cs="Calibri"/>
                <w:b/>
                <w:bCs/>
                <w:color w:val="008000"/>
                <w:sz w:val="16"/>
                <w:szCs w:val="16"/>
              </w:rPr>
            </w:pPr>
            <w:r w:rsidRPr="00595884">
              <w:rPr>
                <w:rFonts w:ascii="Calibri" w:hAnsi="Calibri" w:cs="Calibri"/>
                <w:b/>
                <w:bCs/>
                <w:color w:val="008000"/>
                <w:sz w:val="16"/>
                <w:szCs w:val="16"/>
              </w:rPr>
              <w:t>J3</w:t>
            </w:r>
          </w:p>
        </w:tc>
        <w:tc>
          <w:tcPr>
            <w:tcW w:w="571" w:type="pct"/>
            <w:tcBorders>
              <w:top w:val="nil"/>
              <w:left w:val="nil"/>
              <w:bottom w:val="single" w:sz="8" w:space="0" w:color="B5DDDC"/>
              <w:right w:val="single" w:sz="8" w:space="0" w:color="B5DDDC"/>
            </w:tcBorders>
            <w:shd w:val="clear" w:color="000000" w:fill="B5DDDC"/>
            <w:vAlign w:val="center"/>
            <w:hideMark/>
          </w:tcPr>
          <w:p w14:paraId="0CCED56A" w14:textId="77777777" w:rsidR="00823F91" w:rsidRPr="00595884" w:rsidRDefault="00274BC6" w:rsidP="003C0A46">
            <w:pPr>
              <w:spacing w:before="0" w:after="0" w:line="240" w:lineRule="auto"/>
              <w:jc w:val="center"/>
              <w:rPr>
                <w:rFonts w:ascii="Calibri" w:hAnsi="Calibri" w:cs="Calibri"/>
                <w:b/>
                <w:bCs/>
                <w:color w:val="008000"/>
                <w:sz w:val="16"/>
                <w:szCs w:val="16"/>
              </w:rPr>
            </w:pPr>
            <w:r w:rsidRPr="00595884">
              <w:rPr>
                <w:rFonts w:ascii="Calibri" w:hAnsi="Calibri" w:cs="Calibri"/>
                <w:b/>
                <w:bCs/>
                <w:color w:val="008000"/>
                <w:sz w:val="16"/>
                <w:szCs w:val="16"/>
              </w:rPr>
              <w:t>J4</w:t>
            </w:r>
          </w:p>
        </w:tc>
        <w:tc>
          <w:tcPr>
            <w:tcW w:w="571" w:type="pct"/>
            <w:tcBorders>
              <w:top w:val="nil"/>
              <w:left w:val="nil"/>
              <w:bottom w:val="single" w:sz="8" w:space="0" w:color="B5DDDC"/>
              <w:right w:val="single" w:sz="8" w:space="0" w:color="B5DDDC"/>
            </w:tcBorders>
            <w:shd w:val="clear" w:color="000000" w:fill="B5DDDC"/>
            <w:vAlign w:val="center"/>
            <w:hideMark/>
          </w:tcPr>
          <w:p w14:paraId="75DDF51B" w14:textId="77777777" w:rsidR="00823F91" w:rsidRPr="00595884" w:rsidRDefault="00274BC6" w:rsidP="003C0A46">
            <w:pPr>
              <w:spacing w:before="0" w:after="0" w:line="240" w:lineRule="auto"/>
              <w:jc w:val="center"/>
              <w:rPr>
                <w:rFonts w:ascii="Calibri" w:hAnsi="Calibri" w:cs="Calibri"/>
                <w:b/>
                <w:bCs/>
                <w:color w:val="008000"/>
                <w:sz w:val="16"/>
                <w:szCs w:val="16"/>
              </w:rPr>
            </w:pPr>
            <w:r w:rsidRPr="00595884">
              <w:rPr>
                <w:rFonts w:ascii="Calibri" w:hAnsi="Calibri" w:cs="Calibri"/>
                <w:b/>
                <w:bCs/>
                <w:color w:val="008000"/>
                <w:sz w:val="16"/>
                <w:szCs w:val="16"/>
              </w:rPr>
              <w:t>J5</w:t>
            </w:r>
          </w:p>
        </w:tc>
        <w:tc>
          <w:tcPr>
            <w:tcW w:w="571" w:type="pct"/>
            <w:tcBorders>
              <w:top w:val="nil"/>
              <w:left w:val="nil"/>
              <w:bottom w:val="single" w:sz="8" w:space="0" w:color="B5DDDC"/>
              <w:right w:val="single" w:sz="8" w:space="0" w:color="B5DDDC"/>
            </w:tcBorders>
            <w:shd w:val="clear" w:color="000000" w:fill="B5DDDC"/>
            <w:vAlign w:val="center"/>
            <w:hideMark/>
          </w:tcPr>
          <w:p w14:paraId="5F111673" w14:textId="77777777" w:rsidR="00823F91" w:rsidRPr="00595884" w:rsidRDefault="00274BC6" w:rsidP="003C0A46">
            <w:pPr>
              <w:spacing w:before="0" w:after="0" w:line="240" w:lineRule="auto"/>
              <w:jc w:val="center"/>
              <w:rPr>
                <w:rFonts w:ascii="Calibri" w:hAnsi="Calibri" w:cs="Calibri"/>
                <w:b/>
                <w:bCs/>
                <w:color w:val="008000"/>
                <w:sz w:val="16"/>
                <w:szCs w:val="16"/>
              </w:rPr>
            </w:pPr>
            <w:r w:rsidRPr="00595884">
              <w:rPr>
                <w:rFonts w:ascii="Calibri" w:hAnsi="Calibri" w:cs="Calibri"/>
                <w:b/>
                <w:bCs/>
                <w:color w:val="008000"/>
                <w:sz w:val="16"/>
                <w:szCs w:val="16"/>
              </w:rPr>
              <w:t>J6</w:t>
            </w:r>
          </w:p>
        </w:tc>
      </w:tr>
      <w:tr w:rsidR="005B6ACD" w14:paraId="68B19B21" w14:textId="77777777" w:rsidTr="00E735E8">
        <w:trPr>
          <w:trHeight w:val="300"/>
        </w:trPr>
        <w:tc>
          <w:tcPr>
            <w:tcW w:w="248" w:type="pct"/>
            <w:tcBorders>
              <w:top w:val="nil"/>
              <w:left w:val="single" w:sz="8" w:space="0" w:color="B5DDDC"/>
              <w:bottom w:val="single" w:sz="8" w:space="0" w:color="B5DDDC"/>
              <w:right w:val="single" w:sz="8" w:space="0" w:color="B5DDDC"/>
            </w:tcBorders>
            <w:shd w:val="clear" w:color="000000" w:fill="D6EAEB"/>
            <w:vAlign w:val="center"/>
            <w:hideMark/>
          </w:tcPr>
          <w:p w14:paraId="1BBAF953" w14:textId="77777777" w:rsidR="00823F91" w:rsidRPr="00595884" w:rsidRDefault="00274BC6" w:rsidP="003C0A46">
            <w:pPr>
              <w:spacing w:before="0" w:after="0" w:line="240" w:lineRule="auto"/>
              <w:jc w:val="center"/>
              <w:rPr>
                <w:rFonts w:ascii="Calibri" w:hAnsi="Calibri" w:cs="Calibri"/>
                <w:b/>
                <w:bCs/>
                <w:color w:val="000000"/>
                <w:sz w:val="16"/>
                <w:szCs w:val="16"/>
              </w:rPr>
            </w:pPr>
            <w:r w:rsidRPr="00595884">
              <w:rPr>
                <w:rFonts w:ascii="Calibri" w:hAnsi="Calibri" w:cs="Calibri"/>
                <w:b/>
                <w:bCs/>
                <w:color w:val="000000"/>
                <w:sz w:val="16"/>
                <w:szCs w:val="16"/>
              </w:rPr>
              <w:t> </w:t>
            </w:r>
          </w:p>
        </w:tc>
        <w:tc>
          <w:tcPr>
            <w:tcW w:w="1325" w:type="pct"/>
            <w:tcBorders>
              <w:top w:val="nil"/>
              <w:left w:val="nil"/>
              <w:bottom w:val="single" w:sz="8" w:space="0" w:color="B5DDDC"/>
              <w:right w:val="single" w:sz="8" w:space="0" w:color="B5DDDC"/>
            </w:tcBorders>
            <w:shd w:val="clear" w:color="000000" w:fill="D6EAEB"/>
            <w:vAlign w:val="center"/>
            <w:hideMark/>
          </w:tcPr>
          <w:p w14:paraId="6EFBB818" w14:textId="77777777" w:rsidR="00823F91" w:rsidRPr="00595884" w:rsidRDefault="00274BC6" w:rsidP="003C0A46">
            <w:pPr>
              <w:spacing w:before="0" w:after="0" w:line="240" w:lineRule="auto"/>
              <w:rPr>
                <w:rFonts w:ascii="Calibri" w:hAnsi="Calibri" w:cs="Calibri"/>
                <w:b/>
                <w:bCs/>
                <w:color w:val="000000"/>
                <w:sz w:val="16"/>
                <w:szCs w:val="16"/>
              </w:rPr>
            </w:pPr>
            <w:r w:rsidRPr="00595884">
              <w:rPr>
                <w:rFonts w:ascii="Calibri" w:hAnsi="Calibri" w:cs="Calibri"/>
                <w:b/>
                <w:bCs/>
                <w:color w:val="000000"/>
                <w:sz w:val="16"/>
                <w:szCs w:val="16"/>
              </w:rPr>
              <w:t>Section A1: Are the results valid?</w:t>
            </w:r>
          </w:p>
        </w:tc>
        <w:tc>
          <w:tcPr>
            <w:tcW w:w="571" w:type="pct"/>
            <w:tcBorders>
              <w:top w:val="nil"/>
              <w:left w:val="nil"/>
              <w:bottom w:val="single" w:sz="8" w:space="0" w:color="B5DDDC"/>
              <w:right w:val="single" w:sz="8" w:space="0" w:color="B5DDDC"/>
            </w:tcBorders>
            <w:shd w:val="clear" w:color="000000" w:fill="D6EAEB"/>
            <w:vAlign w:val="center"/>
            <w:hideMark/>
          </w:tcPr>
          <w:p w14:paraId="49D273D8" w14:textId="77777777" w:rsidR="00823F91" w:rsidRPr="00595884" w:rsidRDefault="00274BC6" w:rsidP="003C0A46">
            <w:pPr>
              <w:spacing w:before="0" w:after="0" w:line="240" w:lineRule="auto"/>
              <w:rPr>
                <w:rFonts w:ascii="Calibri" w:hAnsi="Calibri" w:cs="Calibri"/>
                <w:b/>
                <w:bCs/>
                <w:color w:val="000000"/>
                <w:sz w:val="16"/>
                <w:szCs w:val="16"/>
              </w:rPr>
            </w:pPr>
            <w:r w:rsidRPr="00595884">
              <w:rPr>
                <w:rFonts w:ascii="Calibri" w:hAnsi="Calibri" w:cs="Calibri"/>
                <w:b/>
                <w:bCs/>
                <w:color w:val="000000"/>
                <w:sz w:val="16"/>
                <w:szCs w:val="16"/>
              </w:rPr>
              <w:t> </w:t>
            </w:r>
          </w:p>
        </w:tc>
        <w:tc>
          <w:tcPr>
            <w:tcW w:w="571" w:type="pct"/>
            <w:tcBorders>
              <w:top w:val="nil"/>
              <w:left w:val="nil"/>
              <w:bottom w:val="single" w:sz="8" w:space="0" w:color="B5DDDC"/>
              <w:right w:val="single" w:sz="8" w:space="0" w:color="B5DDDC"/>
            </w:tcBorders>
            <w:shd w:val="clear" w:color="000000" w:fill="D6EAEB"/>
            <w:vAlign w:val="center"/>
            <w:hideMark/>
          </w:tcPr>
          <w:p w14:paraId="29B2FA84" w14:textId="77777777" w:rsidR="00823F91" w:rsidRPr="00595884" w:rsidRDefault="00274BC6" w:rsidP="003C0A46">
            <w:pPr>
              <w:spacing w:before="0" w:after="0" w:line="240" w:lineRule="auto"/>
              <w:rPr>
                <w:rFonts w:ascii="Calibri" w:hAnsi="Calibri" w:cs="Calibri"/>
                <w:b/>
                <w:bCs/>
                <w:color w:val="000000"/>
                <w:sz w:val="16"/>
                <w:szCs w:val="16"/>
              </w:rPr>
            </w:pPr>
            <w:r w:rsidRPr="00595884">
              <w:rPr>
                <w:rFonts w:ascii="Calibri" w:hAnsi="Calibri" w:cs="Calibri"/>
                <w:b/>
                <w:bCs/>
                <w:color w:val="000000"/>
                <w:sz w:val="16"/>
                <w:szCs w:val="16"/>
              </w:rPr>
              <w:t> </w:t>
            </w:r>
          </w:p>
        </w:tc>
        <w:tc>
          <w:tcPr>
            <w:tcW w:w="571" w:type="pct"/>
            <w:tcBorders>
              <w:top w:val="nil"/>
              <w:left w:val="nil"/>
              <w:bottom w:val="single" w:sz="8" w:space="0" w:color="B5DDDC"/>
              <w:right w:val="single" w:sz="8" w:space="0" w:color="B5DDDC"/>
            </w:tcBorders>
            <w:shd w:val="clear" w:color="000000" w:fill="D6EAEB"/>
            <w:vAlign w:val="center"/>
            <w:hideMark/>
          </w:tcPr>
          <w:p w14:paraId="524153A6" w14:textId="77777777" w:rsidR="00823F91" w:rsidRPr="00595884" w:rsidRDefault="00274BC6" w:rsidP="003C0A46">
            <w:pPr>
              <w:spacing w:before="0" w:after="0" w:line="240" w:lineRule="auto"/>
              <w:rPr>
                <w:rFonts w:ascii="Calibri" w:hAnsi="Calibri" w:cs="Calibri"/>
                <w:b/>
                <w:bCs/>
                <w:color w:val="000000"/>
                <w:sz w:val="16"/>
                <w:szCs w:val="16"/>
              </w:rPr>
            </w:pPr>
            <w:r w:rsidRPr="00595884">
              <w:rPr>
                <w:rFonts w:ascii="Calibri" w:hAnsi="Calibri" w:cs="Calibri"/>
                <w:b/>
                <w:bCs/>
                <w:color w:val="000000"/>
                <w:sz w:val="16"/>
                <w:szCs w:val="16"/>
              </w:rPr>
              <w:t> </w:t>
            </w:r>
          </w:p>
        </w:tc>
        <w:tc>
          <w:tcPr>
            <w:tcW w:w="571" w:type="pct"/>
            <w:tcBorders>
              <w:top w:val="nil"/>
              <w:left w:val="nil"/>
              <w:bottom w:val="single" w:sz="8" w:space="0" w:color="B5DDDC"/>
              <w:right w:val="single" w:sz="8" w:space="0" w:color="B5DDDC"/>
            </w:tcBorders>
            <w:shd w:val="clear" w:color="000000" w:fill="D6EAEB"/>
            <w:vAlign w:val="center"/>
            <w:hideMark/>
          </w:tcPr>
          <w:p w14:paraId="2F32DBE6" w14:textId="77777777" w:rsidR="00823F91" w:rsidRPr="00595884" w:rsidRDefault="00274BC6" w:rsidP="003C0A46">
            <w:pPr>
              <w:spacing w:before="0" w:after="0" w:line="240" w:lineRule="auto"/>
              <w:rPr>
                <w:rFonts w:ascii="Calibri" w:hAnsi="Calibri" w:cs="Calibri"/>
                <w:b/>
                <w:bCs/>
                <w:color w:val="000000"/>
                <w:sz w:val="16"/>
                <w:szCs w:val="16"/>
              </w:rPr>
            </w:pPr>
            <w:r w:rsidRPr="00595884">
              <w:rPr>
                <w:rFonts w:ascii="Calibri" w:hAnsi="Calibri" w:cs="Calibri"/>
                <w:b/>
                <w:bCs/>
                <w:color w:val="000000"/>
                <w:sz w:val="16"/>
                <w:szCs w:val="16"/>
              </w:rPr>
              <w:t> </w:t>
            </w:r>
          </w:p>
        </w:tc>
        <w:tc>
          <w:tcPr>
            <w:tcW w:w="571" w:type="pct"/>
            <w:tcBorders>
              <w:top w:val="nil"/>
              <w:left w:val="nil"/>
              <w:bottom w:val="single" w:sz="8" w:space="0" w:color="B5DDDC"/>
              <w:right w:val="single" w:sz="8" w:space="0" w:color="B5DDDC"/>
            </w:tcBorders>
            <w:shd w:val="clear" w:color="000000" w:fill="D6EAEB"/>
            <w:vAlign w:val="center"/>
            <w:hideMark/>
          </w:tcPr>
          <w:p w14:paraId="4D2AE32A" w14:textId="77777777" w:rsidR="00823F91" w:rsidRPr="00595884" w:rsidRDefault="00274BC6" w:rsidP="003C0A46">
            <w:pPr>
              <w:spacing w:before="0" w:after="0" w:line="240" w:lineRule="auto"/>
              <w:rPr>
                <w:rFonts w:ascii="Calibri" w:hAnsi="Calibri" w:cs="Calibri"/>
                <w:b/>
                <w:bCs/>
                <w:color w:val="000000"/>
                <w:sz w:val="16"/>
                <w:szCs w:val="16"/>
              </w:rPr>
            </w:pPr>
            <w:r w:rsidRPr="00595884">
              <w:rPr>
                <w:rFonts w:ascii="Calibri" w:hAnsi="Calibri" w:cs="Calibri"/>
                <w:b/>
                <w:bCs/>
                <w:color w:val="000000"/>
                <w:sz w:val="16"/>
                <w:szCs w:val="16"/>
              </w:rPr>
              <w:t> </w:t>
            </w:r>
          </w:p>
        </w:tc>
        <w:tc>
          <w:tcPr>
            <w:tcW w:w="571" w:type="pct"/>
            <w:tcBorders>
              <w:top w:val="nil"/>
              <w:left w:val="nil"/>
              <w:bottom w:val="single" w:sz="8" w:space="0" w:color="B5DDDC"/>
              <w:right w:val="single" w:sz="8" w:space="0" w:color="B5DDDC"/>
            </w:tcBorders>
            <w:shd w:val="clear" w:color="000000" w:fill="D6EAEB"/>
            <w:vAlign w:val="center"/>
            <w:hideMark/>
          </w:tcPr>
          <w:p w14:paraId="0159AF95" w14:textId="77777777" w:rsidR="00823F91" w:rsidRPr="00595884" w:rsidRDefault="00274BC6" w:rsidP="003C0A46">
            <w:pPr>
              <w:spacing w:before="0" w:after="0" w:line="240" w:lineRule="auto"/>
              <w:rPr>
                <w:rFonts w:ascii="Calibri" w:hAnsi="Calibri" w:cs="Calibri"/>
                <w:b/>
                <w:bCs/>
                <w:color w:val="000000"/>
                <w:sz w:val="16"/>
                <w:szCs w:val="16"/>
              </w:rPr>
            </w:pPr>
            <w:r w:rsidRPr="00595884">
              <w:rPr>
                <w:rFonts w:ascii="Calibri" w:hAnsi="Calibri" w:cs="Calibri"/>
                <w:b/>
                <w:bCs/>
                <w:color w:val="000000"/>
                <w:sz w:val="16"/>
                <w:szCs w:val="16"/>
              </w:rPr>
              <w:t> </w:t>
            </w:r>
          </w:p>
        </w:tc>
      </w:tr>
      <w:tr w:rsidR="005B6ACD" w14:paraId="27320BFD" w14:textId="77777777" w:rsidTr="00E735E8">
        <w:trPr>
          <w:trHeight w:val="300"/>
        </w:trPr>
        <w:tc>
          <w:tcPr>
            <w:tcW w:w="248" w:type="pct"/>
            <w:tcBorders>
              <w:top w:val="nil"/>
              <w:left w:val="single" w:sz="8" w:space="0" w:color="B5DDDC"/>
              <w:bottom w:val="single" w:sz="8" w:space="0" w:color="B5DDDC"/>
              <w:right w:val="single" w:sz="8" w:space="0" w:color="B5DDDC"/>
            </w:tcBorders>
            <w:vAlign w:val="center"/>
            <w:hideMark/>
          </w:tcPr>
          <w:p w14:paraId="00991D15" w14:textId="77777777" w:rsidR="00823F91" w:rsidRPr="00595884" w:rsidRDefault="00274BC6" w:rsidP="003C0A46">
            <w:pPr>
              <w:spacing w:before="0" w:after="0" w:line="240" w:lineRule="auto"/>
              <w:jc w:val="center"/>
              <w:rPr>
                <w:rFonts w:ascii="Calibri" w:hAnsi="Calibri" w:cs="Calibri"/>
                <w:b/>
                <w:bCs/>
                <w:sz w:val="16"/>
                <w:szCs w:val="16"/>
              </w:rPr>
            </w:pPr>
            <w:r w:rsidRPr="00595884">
              <w:rPr>
                <w:rFonts w:ascii="Calibri" w:hAnsi="Calibri" w:cs="Calibri"/>
                <w:b/>
                <w:bCs/>
                <w:sz w:val="16"/>
                <w:szCs w:val="16"/>
              </w:rPr>
              <w:t>1</w:t>
            </w:r>
          </w:p>
        </w:tc>
        <w:tc>
          <w:tcPr>
            <w:tcW w:w="1325" w:type="pct"/>
            <w:tcBorders>
              <w:top w:val="nil"/>
              <w:left w:val="nil"/>
              <w:bottom w:val="single" w:sz="8" w:space="0" w:color="B5DDDC"/>
              <w:right w:val="single" w:sz="8" w:space="0" w:color="B5DDDC"/>
            </w:tcBorders>
            <w:vAlign w:val="center"/>
            <w:hideMark/>
          </w:tcPr>
          <w:p w14:paraId="0CFD5046" w14:textId="77777777" w:rsidR="00823F91" w:rsidRPr="00595884" w:rsidRDefault="00274BC6" w:rsidP="003C0A46">
            <w:pPr>
              <w:spacing w:before="0" w:after="0" w:line="240" w:lineRule="auto"/>
              <w:rPr>
                <w:rFonts w:ascii="Calibri" w:hAnsi="Calibri" w:cs="Calibri"/>
                <w:sz w:val="16"/>
                <w:szCs w:val="16"/>
              </w:rPr>
            </w:pPr>
            <w:r w:rsidRPr="00595884">
              <w:rPr>
                <w:rFonts w:ascii="Calibri" w:hAnsi="Calibri" w:cs="Calibri"/>
                <w:sz w:val="16"/>
                <w:szCs w:val="16"/>
              </w:rPr>
              <w:t>Was there a clear statement of the aims of the research?</w:t>
            </w:r>
          </w:p>
        </w:tc>
        <w:tc>
          <w:tcPr>
            <w:tcW w:w="571" w:type="pct"/>
            <w:tcBorders>
              <w:top w:val="nil"/>
              <w:left w:val="nil"/>
              <w:bottom w:val="single" w:sz="8" w:space="0" w:color="B5DDDC"/>
              <w:right w:val="single" w:sz="8" w:space="0" w:color="B5DDDC"/>
            </w:tcBorders>
            <w:shd w:val="clear" w:color="000000" w:fill="70AD47"/>
            <w:vAlign w:val="center"/>
            <w:hideMark/>
          </w:tcPr>
          <w:p w14:paraId="6CFD5642" w14:textId="77777777" w:rsidR="00823F91" w:rsidRPr="00595884" w:rsidRDefault="00274BC6" w:rsidP="003C0A46">
            <w:pPr>
              <w:spacing w:before="0" w:after="0" w:line="240" w:lineRule="auto"/>
              <w:jc w:val="center"/>
              <w:rPr>
                <w:rFonts w:ascii="Calibri" w:hAnsi="Calibri" w:cs="Calibri"/>
                <w:b/>
                <w:bCs/>
                <w:color w:val="FFFFFF" w:themeColor="background1"/>
                <w:sz w:val="16"/>
                <w:szCs w:val="16"/>
              </w:rPr>
            </w:pPr>
            <w:r w:rsidRPr="00595884">
              <w:rPr>
                <w:rFonts w:ascii="Calibri" w:hAnsi="Calibri" w:cs="Calibri"/>
                <w:b/>
                <w:bCs/>
                <w:color w:val="FFFFFF" w:themeColor="background1"/>
                <w:sz w:val="16"/>
                <w:szCs w:val="16"/>
              </w:rPr>
              <w:t>++</w:t>
            </w:r>
          </w:p>
        </w:tc>
        <w:tc>
          <w:tcPr>
            <w:tcW w:w="571" w:type="pct"/>
            <w:tcBorders>
              <w:top w:val="nil"/>
              <w:left w:val="nil"/>
              <w:bottom w:val="single" w:sz="8" w:space="0" w:color="B5DDDC"/>
              <w:right w:val="single" w:sz="8" w:space="0" w:color="B5DDDC"/>
            </w:tcBorders>
            <w:shd w:val="clear" w:color="auto" w:fill="C2D69B" w:themeFill="accent3" w:themeFillTint="99"/>
            <w:vAlign w:val="center"/>
            <w:hideMark/>
          </w:tcPr>
          <w:p w14:paraId="4DE31C99" w14:textId="77777777" w:rsidR="00823F91" w:rsidRPr="00595884" w:rsidRDefault="00274BC6" w:rsidP="003C0A46">
            <w:pPr>
              <w:spacing w:before="0" w:after="0" w:line="240" w:lineRule="auto"/>
              <w:jc w:val="center"/>
              <w:rPr>
                <w:rFonts w:ascii="Calibri" w:hAnsi="Calibri" w:cs="Calibri"/>
                <w:b/>
                <w:bCs/>
                <w:sz w:val="16"/>
                <w:szCs w:val="16"/>
              </w:rPr>
            </w:pPr>
            <w:r w:rsidRPr="00595884">
              <w:rPr>
                <w:rFonts w:ascii="Calibri" w:hAnsi="Calibri" w:cs="Calibri"/>
                <w:b/>
                <w:bCs/>
                <w:sz w:val="16"/>
                <w:szCs w:val="16"/>
              </w:rPr>
              <w:t>+</w:t>
            </w:r>
          </w:p>
        </w:tc>
        <w:tc>
          <w:tcPr>
            <w:tcW w:w="571" w:type="pct"/>
            <w:tcBorders>
              <w:top w:val="nil"/>
              <w:left w:val="nil"/>
              <w:bottom w:val="single" w:sz="8" w:space="0" w:color="B5DDDC"/>
              <w:right w:val="single" w:sz="8" w:space="0" w:color="B5DDDC"/>
            </w:tcBorders>
            <w:shd w:val="clear" w:color="auto" w:fill="C2D69B" w:themeFill="accent3" w:themeFillTint="99"/>
            <w:vAlign w:val="center"/>
            <w:hideMark/>
          </w:tcPr>
          <w:p w14:paraId="1CCCEA22" w14:textId="77777777" w:rsidR="00823F91" w:rsidRPr="00595884" w:rsidRDefault="00274BC6" w:rsidP="003C0A46">
            <w:pPr>
              <w:spacing w:before="0" w:after="0" w:line="240" w:lineRule="auto"/>
              <w:jc w:val="center"/>
              <w:rPr>
                <w:rFonts w:ascii="Calibri" w:hAnsi="Calibri" w:cs="Calibri"/>
                <w:b/>
                <w:bCs/>
                <w:sz w:val="16"/>
                <w:szCs w:val="16"/>
              </w:rPr>
            </w:pPr>
            <w:r w:rsidRPr="00595884">
              <w:rPr>
                <w:rFonts w:ascii="Calibri" w:hAnsi="Calibri" w:cs="Calibri"/>
                <w:b/>
                <w:bCs/>
                <w:sz w:val="16"/>
                <w:szCs w:val="16"/>
              </w:rPr>
              <w:t>+</w:t>
            </w:r>
          </w:p>
        </w:tc>
        <w:tc>
          <w:tcPr>
            <w:tcW w:w="571" w:type="pct"/>
            <w:tcBorders>
              <w:top w:val="nil"/>
              <w:left w:val="nil"/>
              <w:bottom w:val="single" w:sz="8" w:space="0" w:color="B5DDDC"/>
              <w:right w:val="single" w:sz="8" w:space="0" w:color="B5DDDC"/>
            </w:tcBorders>
            <w:shd w:val="clear" w:color="000000" w:fill="70AD47"/>
            <w:vAlign w:val="center"/>
            <w:hideMark/>
          </w:tcPr>
          <w:p w14:paraId="7C3ED7F0" w14:textId="77777777" w:rsidR="00823F91" w:rsidRPr="00595884" w:rsidRDefault="00274BC6" w:rsidP="003C0A46">
            <w:pPr>
              <w:spacing w:before="0" w:after="0" w:line="240" w:lineRule="auto"/>
              <w:jc w:val="center"/>
              <w:rPr>
                <w:rFonts w:ascii="Calibri" w:hAnsi="Calibri" w:cs="Calibri"/>
                <w:b/>
                <w:bCs/>
                <w:color w:val="FFFFFF" w:themeColor="background1"/>
                <w:sz w:val="16"/>
                <w:szCs w:val="16"/>
              </w:rPr>
            </w:pPr>
            <w:r w:rsidRPr="00595884">
              <w:rPr>
                <w:rFonts w:ascii="Calibri" w:hAnsi="Calibri" w:cs="Calibri"/>
                <w:b/>
                <w:bCs/>
                <w:color w:val="FFFFFF" w:themeColor="background1"/>
                <w:sz w:val="16"/>
                <w:szCs w:val="16"/>
              </w:rPr>
              <w:t>++</w:t>
            </w:r>
          </w:p>
        </w:tc>
        <w:tc>
          <w:tcPr>
            <w:tcW w:w="571" w:type="pct"/>
            <w:tcBorders>
              <w:top w:val="nil"/>
              <w:left w:val="nil"/>
              <w:bottom w:val="single" w:sz="8" w:space="0" w:color="B5DDDC"/>
              <w:right w:val="single" w:sz="8" w:space="0" w:color="B5DDDC"/>
            </w:tcBorders>
            <w:shd w:val="clear" w:color="000000" w:fill="70AD47"/>
            <w:vAlign w:val="center"/>
            <w:hideMark/>
          </w:tcPr>
          <w:p w14:paraId="11EF1E3B" w14:textId="77777777" w:rsidR="00823F91" w:rsidRPr="00595884" w:rsidRDefault="00274BC6" w:rsidP="003C0A46">
            <w:pPr>
              <w:spacing w:before="0" w:after="0" w:line="240" w:lineRule="auto"/>
              <w:jc w:val="center"/>
              <w:rPr>
                <w:rFonts w:ascii="Calibri" w:hAnsi="Calibri" w:cs="Calibri"/>
                <w:b/>
                <w:bCs/>
                <w:color w:val="FFFFFF" w:themeColor="background1"/>
                <w:sz w:val="16"/>
                <w:szCs w:val="16"/>
              </w:rPr>
            </w:pPr>
            <w:r w:rsidRPr="00595884">
              <w:rPr>
                <w:rFonts w:ascii="Calibri" w:hAnsi="Calibri" w:cs="Calibri"/>
                <w:b/>
                <w:bCs/>
                <w:color w:val="FFFFFF" w:themeColor="background1"/>
                <w:sz w:val="16"/>
                <w:szCs w:val="16"/>
              </w:rPr>
              <w:t>++</w:t>
            </w:r>
          </w:p>
        </w:tc>
        <w:tc>
          <w:tcPr>
            <w:tcW w:w="571" w:type="pct"/>
            <w:tcBorders>
              <w:top w:val="nil"/>
              <w:left w:val="nil"/>
              <w:bottom w:val="single" w:sz="8" w:space="0" w:color="B5DDDC"/>
              <w:right w:val="single" w:sz="8" w:space="0" w:color="B5DDDC"/>
            </w:tcBorders>
            <w:shd w:val="clear" w:color="000000" w:fill="70AD47"/>
            <w:vAlign w:val="center"/>
            <w:hideMark/>
          </w:tcPr>
          <w:p w14:paraId="1D6783A5" w14:textId="77777777" w:rsidR="00823F91" w:rsidRPr="00595884" w:rsidRDefault="00274BC6" w:rsidP="003C0A46">
            <w:pPr>
              <w:spacing w:before="0" w:after="0" w:line="240" w:lineRule="auto"/>
              <w:jc w:val="center"/>
              <w:rPr>
                <w:rFonts w:ascii="Calibri" w:hAnsi="Calibri" w:cs="Calibri"/>
                <w:b/>
                <w:bCs/>
                <w:color w:val="FFFFFF" w:themeColor="background1"/>
                <w:sz w:val="16"/>
                <w:szCs w:val="16"/>
              </w:rPr>
            </w:pPr>
            <w:r w:rsidRPr="00595884">
              <w:rPr>
                <w:rFonts w:ascii="Calibri" w:hAnsi="Calibri" w:cs="Calibri"/>
                <w:b/>
                <w:bCs/>
                <w:color w:val="FFFFFF" w:themeColor="background1"/>
                <w:sz w:val="16"/>
                <w:szCs w:val="16"/>
              </w:rPr>
              <w:t>++</w:t>
            </w:r>
          </w:p>
        </w:tc>
      </w:tr>
      <w:tr w:rsidR="005B6ACD" w14:paraId="4620F3EB" w14:textId="77777777" w:rsidTr="00E735E8">
        <w:trPr>
          <w:trHeight w:val="300"/>
        </w:trPr>
        <w:tc>
          <w:tcPr>
            <w:tcW w:w="248" w:type="pct"/>
            <w:tcBorders>
              <w:top w:val="nil"/>
              <w:left w:val="single" w:sz="8" w:space="0" w:color="B5DDDC"/>
              <w:bottom w:val="single" w:sz="8" w:space="0" w:color="B5DDDC"/>
              <w:right w:val="single" w:sz="8" w:space="0" w:color="B5DDDC"/>
            </w:tcBorders>
            <w:vAlign w:val="center"/>
            <w:hideMark/>
          </w:tcPr>
          <w:p w14:paraId="4602A17B" w14:textId="77777777" w:rsidR="00823F91" w:rsidRPr="00595884" w:rsidRDefault="00274BC6" w:rsidP="003C0A46">
            <w:pPr>
              <w:spacing w:before="0" w:after="0" w:line="240" w:lineRule="auto"/>
              <w:jc w:val="center"/>
              <w:rPr>
                <w:rFonts w:ascii="Calibri" w:hAnsi="Calibri" w:cs="Calibri"/>
                <w:b/>
                <w:bCs/>
                <w:sz w:val="16"/>
                <w:szCs w:val="16"/>
              </w:rPr>
            </w:pPr>
            <w:r w:rsidRPr="00595884">
              <w:rPr>
                <w:rFonts w:ascii="Calibri" w:hAnsi="Calibri" w:cs="Calibri"/>
                <w:b/>
                <w:bCs/>
                <w:sz w:val="16"/>
                <w:szCs w:val="16"/>
              </w:rPr>
              <w:t>2</w:t>
            </w:r>
          </w:p>
        </w:tc>
        <w:tc>
          <w:tcPr>
            <w:tcW w:w="1325" w:type="pct"/>
            <w:tcBorders>
              <w:top w:val="nil"/>
              <w:left w:val="nil"/>
              <w:bottom w:val="single" w:sz="8" w:space="0" w:color="B5DDDC"/>
              <w:right w:val="single" w:sz="8" w:space="0" w:color="B5DDDC"/>
            </w:tcBorders>
            <w:vAlign w:val="center"/>
            <w:hideMark/>
          </w:tcPr>
          <w:p w14:paraId="6DF9CAD7" w14:textId="77777777" w:rsidR="00823F91" w:rsidRPr="00595884" w:rsidRDefault="00274BC6" w:rsidP="003C0A46">
            <w:pPr>
              <w:spacing w:before="0" w:after="0" w:line="240" w:lineRule="auto"/>
              <w:rPr>
                <w:rFonts w:ascii="Calibri" w:hAnsi="Calibri" w:cs="Calibri"/>
                <w:sz w:val="16"/>
                <w:szCs w:val="16"/>
              </w:rPr>
            </w:pPr>
            <w:r w:rsidRPr="00595884">
              <w:rPr>
                <w:rFonts w:ascii="Calibri" w:hAnsi="Calibri" w:cs="Calibri"/>
                <w:sz w:val="16"/>
                <w:szCs w:val="16"/>
              </w:rPr>
              <w:t>Is the methodology appropriate?</w:t>
            </w:r>
          </w:p>
        </w:tc>
        <w:tc>
          <w:tcPr>
            <w:tcW w:w="571" w:type="pct"/>
            <w:tcBorders>
              <w:top w:val="nil"/>
              <w:left w:val="nil"/>
              <w:bottom w:val="single" w:sz="8" w:space="0" w:color="B5DDDC"/>
              <w:right w:val="single" w:sz="8" w:space="0" w:color="B5DDDC"/>
            </w:tcBorders>
            <w:shd w:val="clear" w:color="000000" w:fill="70AD47"/>
            <w:vAlign w:val="center"/>
            <w:hideMark/>
          </w:tcPr>
          <w:p w14:paraId="22E78E2C" w14:textId="77777777" w:rsidR="00823F91" w:rsidRPr="00595884" w:rsidRDefault="00274BC6" w:rsidP="003C0A46">
            <w:pPr>
              <w:spacing w:before="0" w:after="0" w:line="240" w:lineRule="auto"/>
              <w:jc w:val="center"/>
              <w:rPr>
                <w:rFonts w:ascii="Calibri" w:hAnsi="Calibri" w:cs="Calibri"/>
                <w:b/>
                <w:bCs/>
                <w:color w:val="FFFFFF" w:themeColor="background1"/>
                <w:sz w:val="16"/>
                <w:szCs w:val="16"/>
              </w:rPr>
            </w:pPr>
            <w:r w:rsidRPr="00595884">
              <w:rPr>
                <w:rFonts w:ascii="Calibri" w:hAnsi="Calibri" w:cs="Calibri"/>
                <w:b/>
                <w:bCs/>
                <w:color w:val="FFFFFF" w:themeColor="background1"/>
                <w:sz w:val="16"/>
                <w:szCs w:val="16"/>
              </w:rPr>
              <w:t>++</w:t>
            </w:r>
          </w:p>
        </w:tc>
        <w:tc>
          <w:tcPr>
            <w:tcW w:w="571" w:type="pct"/>
            <w:tcBorders>
              <w:top w:val="nil"/>
              <w:left w:val="nil"/>
              <w:bottom w:val="single" w:sz="8" w:space="0" w:color="B5DDDC"/>
              <w:right w:val="single" w:sz="8" w:space="0" w:color="B5DDDC"/>
            </w:tcBorders>
            <w:shd w:val="clear" w:color="000000" w:fill="70AD47"/>
            <w:vAlign w:val="center"/>
            <w:hideMark/>
          </w:tcPr>
          <w:p w14:paraId="2845EF66" w14:textId="77777777" w:rsidR="00823F91" w:rsidRPr="00595884" w:rsidRDefault="00274BC6" w:rsidP="003C0A46">
            <w:pPr>
              <w:spacing w:before="0" w:after="0" w:line="240" w:lineRule="auto"/>
              <w:jc w:val="center"/>
              <w:rPr>
                <w:rFonts w:ascii="Calibri" w:hAnsi="Calibri" w:cs="Calibri"/>
                <w:b/>
                <w:bCs/>
                <w:color w:val="FFFFFF" w:themeColor="background1"/>
                <w:sz w:val="16"/>
                <w:szCs w:val="16"/>
              </w:rPr>
            </w:pPr>
            <w:r w:rsidRPr="00595884">
              <w:rPr>
                <w:rFonts w:ascii="Calibri" w:hAnsi="Calibri" w:cs="Calibri"/>
                <w:b/>
                <w:bCs/>
                <w:color w:val="FFFFFF" w:themeColor="background1"/>
                <w:sz w:val="16"/>
                <w:szCs w:val="16"/>
              </w:rPr>
              <w:t>++</w:t>
            </w:r>
          </w:p>
        </w:tc>
        <w:tc>
          <w:tcPr>
            <w:tcW w:w="571" w:type="pct"/>
            <w:tcBorders>
              <w:top w:val="nil"/>
              <w:left w:val="nil"/>
              <w:bottom w:val="single" w:sz="8" w:space="0" w:color="B5DDDC"/>
              <w:right w:val="single" w:sz="8" w:space="0" w:color="B5DDDC"/>
            </w:tcBorders>
            <w:shd w:val="clear" w:color="000000" w:fill="70AD47"/>
            <w:vAlign w:val="center"/>
            <w:hideMark/>
          </w:tcPr>
          <w:p w14:paraId="1DFDE57D" w14:textId="77777777" w:rsidR="00823F91" w:rsidRPr="00595884" w:rsidRDefault="00274BC6" w:rsidP="003C0A46">
            <w:pPr>
              <w:spacing w:before="0" w:after="0" w:line="240" w:lineRule="auto"/>
              <w:jc w:val="center"/>
              <w:rPr>
                <w:rFonts w:ascii="Calibri" w:hAnsi="Calibri" w:cs="Calibri"/>
                <w:b/>
                <w:bCs/>
                <w:color w:val="FFFFFF" w:themeColor="background1"/>
                <w:sz w:val="16"/>
                <w:szCs w:val="16"/>
              </w:rPr>
            </w:pPr>
            <w:r w:rsidRPr="00595884">
              <w:rPr>
                <w:rFonts w:ascii="Calibri" w:hAnsi="Calibri" w:cs="Calibri"/>
                <w:b/>
                <w:bCs/>
                <w:color w:val="FFFFFF" w:themeColor="background1"/>
                <w:sz w:val="16"/>
                <w:szCs w:val="16"/>
              </w:rPr>
              <w:t>++</w:t>
            </w:r>
          </w:p>
        </w:tc>
        <w:tc>
          <w:tcPr>
            <w:tcW w:w="571" w:type="pct"/>
            <w:tcBorders>
              <w:top w:val="nil"/>
              <w:left w:val="nil"/>
              <w:bottom w:val="single" w:sz="8" w:space="0" w:color="B5DDDC"/>
              <w:right w:val="single" w:sz="8" w:space="0" w:color="B5DDDC"/>
            </w:tcBorders>
            <w:shd w:val="clear" w:color="000000" w:fill="70AD47"/>
            <w:vAlign w:val="center"/>
            <w:hideMark/>
          </w:tcPr>
          <w:p w14:paraId="3059A030" w14:textId="77777777" w:rsidR="00823F91" w:rsidRPr="00595884" w:rsidRDefault="00274BC6" w:rsidP="003C0A46">
            <w:pPr>
              <w:spacing w:before="0" w:after="0" w:line="240" w:lineRule="auto"/>
              <w:jc w:val="center"/>
              <w:rPr>
                <w:rFonts w:ascii="Calibri" w:hAnsi="Calibri" w:cs="Calibri"/>
                <w:b/>
                <w:bCs/>
                <w:color w:val="FFFFFF" w:themeColor="background1"/>
                <w:sz w:val="16"/>
                <w:szCs w:val="16"/>
              </w:rPr>
            </w:pPr>
            <w:r w:rsidRPr="00595884">
              <w:rPr>
                <w:rFonts w:ascii="Calibri" w:hAnsi="Calibri" w:cs="Calibri"/>
                <w:b/>
                <w:bCs/>
                <w:color w:val="FFFFFF" w:themeColor="background1"/>
                <w:sz w:val="16"/>
                <w:szCs w:val="16"/>
              </w:rPr>
              <w:t>++</w:t>
            </w:r>
          </w:p>
        </w:tc>
        <w:tc>
          <w:tcPr>
            <w:tcW w:w="571" w:type="pct"/>
            <w:tcBorders>
              <w:top w:val="nil"/>
              <w:left w:val="nil"/>
              <w:bottom w:val="single" w:sz="8" w:space="0" w:color="B5DDDC"/>
              <w:right w:val="single" w:sz="8" w:space="0" w:color="B5DDDC"/>
            </w:tcBorders>
            <w:shd w:val="clear" w:color="000000" w:fill="70AD47"/>
            <w:vAlign w:val="center"/>
            <w:hideMark/>
          </w:tcPr>
          <w:p w14:paraId="7963189E" w14:textId="77777777" w:rsidR="00823F91" w:rsidRPr="00595884" w:rsidRDefault="00274BC6" w:rsidP="003C0A46">
            <w:pPr>
              <w:spacing w:before="0" w:after="0" w:line="240" w:lineRule="auto"/>
              <w:jc w:val="center"/>
              <w:rPr>
                <w:rFonts w:ascii="Calibri" w:hAnsi="Calibri" w:cs="Calibri"/>
                <w:b/>
                <w:bCs/>
                <w:color w:val="FFFFFF" w:themeColor="background1"/>
                <w:sz w:val="16"/>
                <w:szCs w:val="16"/>
              </w:rPr>
            </w:pPr>
            <w:r w:rsidRPr="00595884">
              <w:rPr>
                <w:rFonts w:ascii="Calibri" w:hAnsi="Calibri" w:cs="Calibri"/>
                <w:b/>
                <w:bCs/>
                <w:color w:val="FFFFFF" w:themeColor="background1"/>
                <w:sz w:val="16"/>
                <w:szCs w:val="16"/>
              </w:rPr>
              <w:t>++</w:t>
            </w:r>
          </w:p>
        </w:tc>
        <w:tc>
          <w:tcPr>
            <w:tcW w:w="571" w:type="pct"/>
            <w:tcBorders>
              <w:top w:val="nil"/>
              <w:left w:val="nil"/>
              <w:bottom w:val="single" w:sz="8" w:space="0" w:color="B5DDDC"/>
              <w:right w:val="single" w:sz="8" w:space="0" w:color="B5DDDC"/>
            </w:tcBorders>
            <w:shd w:val="clear" w:color="auto" w:fill="CC3300"/>
            <w:vAlign w:val="center"/>
            <w:hideMark/>
          </w:tcPr>
          <w:p w14:paraId="69B454AA" w14:textId="77777777" w:rsidR="00823F91" w:rsidRPr="00595884" w:rsidRDefault="00274BC6" w:rsidP="003C0A46">
            <w:pPr>
              <w:spacing w:before="0" w:after="0" w:line="240" w:lineRule="auto"/>
              <w:jc w:val="center"/>
              <w:rPr>
                <w:rFonts w:ascii="Calibri" w:hAnsi="Calibri" w:cs="Calibri"/>
                <w:b/>
                <w:bCs/>
                <w:color w:val="FFFFFF" w:themeColor="background1"/>
                <w:sz w:val="16"/>
                <w:szCs w:val="16"/>
              </w:rPr>
            </w:pPr>
            <w:r w:rsidRPr="00595884">
              <w:rPr>
                <w:rFonts w:ascii="Calibri" w:hAnsi="Calibri" w:cs="Calibri"/>
                <w:b/>
                <w:bCs/>
                <w:color w:val="FFFFFF" w:themeColor="background1"/>
                <w:sz w:val="16"/>
                <w:szCs w:val="16"/>
              </w:rPr>
              <w:t>--</w:t>
            </w:r>
          </w:p>
        </w:tc>
      </w:tr>
      <w:tr w:rsidR="005B6ACD" w14:paraId="646A6E71" w14:textId="77777777" w:rsidTr="00E735E8">
        <w:trPr>
          <w:trHeight w:val="300"/>
        </w:trPr>
        <w:tc>
          <w:tcPr>
            <w:tcW w:w="248" w:type="pct"/>
            <w:tcBorders>
              <w:top w:val="nil"/>
              <w:left w:val="single" w:sz="8" w:space="0" w:color="B5DDDC"/>
              <w:bottom w:val="single" w:sz="8" w:space="0" w:color="B5DDDC"/>
              <w:right w:val="single" w:sz="8" w:space="0" w:color="B5DDDC"/>
            </w:tcBorders>
            <w:shd w:val="clear" w:color="000000" w:fill="D6EAEB"/>
            <w:vAlign w:val="center"/>
            <w:hideMark/>
          </w:tcPr>
          <w:p w14:paraId="793A695E" w14:textId="77777777" w:rsidR="00823F91" w:rsidRPr="00595884" w:rsidRDefault="00274BC6" w:rsidP="003C0A46">
            <w:pPr>
              <w:spacing w:before="0" w:after="0" w:line="240" w:lineRule="auto"/>
              <w:jc w:val="center"/>
              <w:rPr>
                <w:rFonts w:ascii="Calibri" w:hAnsi="Calibri" w:cs="Calibri"/>
                <w:b/>
                <w:bCs/>
                <w:color w:val="000000"/>
                <w:sz w:val="16"/>
                <w:szCs w:val="16"/>
              </w:rPr>
            </w:pPr>
            <w:r w:rsidRPr="00595884">
              <w:rPr>
                <w:rFonts w:ascii="Calibri" w:hAnsi="Calibri" w:cs="Calibri"/>
                <w:b/>
                <w:bCs/>
                <w:color w:val="000000"/>
                <w:sz w:val="16"/>
                <w:szCs w:val="16"/>
              </w:rPr>
              <w:t> </w:t>
            </w:r>
          </w:p>
        </w:tc>
        <w:tc>
          <w:tcPr>
            <w:tcW w:w="1325" w:type="pct"/>
            <w:tcBorders>
              <w:top w:val="nil"/>
              <w:left w:val="nil"/>
              <w:bottom w:val="single" w:sz="8" w:space="0" w:color="B5DDDC"/>
              <w:right w:val="single" w:sz="8" w:space="0" w:color="B5DDDC"/>
            </w:tcBorders>
            <w:shd w:val="clear" w:color="000000" w:fill="D6EAEB"/>
            <w:vAlign w:val="center"/>
            <w:hideMark/>
          </w:tcPr>
          <w:p w14:paraId="50E923AC" w14:textId="77777777" w:rsidR="00823F91" w:rsidRPr="00595884" w:rsidRDefault="00274BC6" w:rsidP="003C0A46">
            <w:pPr>
              <w:spacing w:before="0" w:after="0" w:line="240" w:lineRule="auto"/>
              <w:rPr>
                <w:rFonts w:ascii="Calibri" w:hAnsi="Calibri" w:cs="Calibri"/>
                <w:b/>
                <w:bCs/>
                <w:color w:val="000000"/>
                <w:sz w:val="16"/>
                <w:szCs w:val="16"/>
              </w:rPr>
            </w:pPr>
            <w:r w:rsidRPr="00595884">
              <w:rPr>
                <w:rFonts w:ascii="Calibri" w:hAnsi="Calibri" w:cs="Calibri"/>
                <w:b/>
                <w:bCs/>
                <w:color w:val="000000"/>
                <w:sz w:val="16"/>
                <w:szCs w:val="16"/>
              </w:rPr>
              <w:t>Section A2: Is it worth continuing?</w:t>
            </w:r>
          </w:p>
        </w:tc>
        <w:tc>
          <w:tcPr>
            <w:tcW w:w="571" w:type="pct"/>
            <w:tcBorders>
              <w:top w:val="nil"/>
              <w:left w:val="nil"/>
              <w:bottom w:val="single" w:sz="8" w:space="0" w:color="B5DDDC"/>
              <w:right w:val="single" w:sz="8" w:space="0" w:color="B5DDDC"/>
            </w:tcBorders>
            <w:shd w:val="clear" w:color="000000" w:fill="D6EAEB"/>
            <w:vAlign w:val="center"/>
            <w:hideMark/>
          </w:tcPr>
          <w:p w14:paraId="1B0A6650" w14:textId="77777777" w:rsidR="00823F91" w:rsidRPr="00595884" w:rsidRDefault="00274BC6" w:rsidP="003C0A46">
            <w:pPr>
              <w:spacing w:before="0" w:after="0" w:line="240" w:lineRule="auto"/>
              <w:rPr>
                <w:rFonts w:ascii="Calibri" w:hAnsi="Calibri" w:cs="Calibri"/>
                <w:b/>
                <w:bCs/>
                <w:color w:val="000000"/>
                <w:sz w:val="16"/>
                <w:szCs w:val="16"/>
              </w:rPr>
            </w:pPr>
            <w:r w:rsidRPr="00595884">
              <w:rPr>
                <w:rFonts w:ascii="Calibri" w:hAnsi="Calibri" w:cs="Calibri"/>
                <w:b/>
                <w:bCs/>
                <w:color w:val="000000"/>
                <w:sz w:val="16"/>
                <w:szCs w:val="16"/>
              </w:rPr>
              <w:t> </w:t>
            </w:r>
          </w:p>
        </w:tc>
        <w:tc>
          <w:tcPr>
            <w:tcW w:w="571" w:type="pct"/>
            <w:tcBorders>
              <w:top w:val="nil"/>
              <w:left w:val="nil"/>
              <w:bottom w:val="single" w:sz="8" w:space="0" w:color="B5DDDC"/>
              <w:right w:val="single" w:sz="8" w:space="0" w:color="B5DDDC"/>
            </w:tcBorders>
            <w:shd w:val="clear" w:color="000000" w:fill="D6EAEB"/>
            <w:vAlign w:val="center"/>
            <w:hideMark/>
          </w:tcPr>
          <w:p w14:paraId="7903C2F5" w14:textId="77777777" w:rsidR="00823F91" w:rsidRPr="00595884" w:rsidRDefault="00274BC6" w:rsidP="003C0A46">
            <w:pPr>
              <w:spacing w:before="0" w:after="0" w:line="240" w:lineRule="auto"/>
              <w:rPr>
                <w:rFonts w:ascii="Calibri" w:hAnsi="Calibri" w:cs="Calibri"/>
                <w:b/>
                <w:bCs/>
                <w:color w:val="000000"/>
                <w:sz w:val="16"/>
                <w:szCs w:val="16"/>
              </w:rPr>
            </w:pPr>
            <w:r w:rsidRPr="00595884">
              <w:rPr>
                <w:rFonts w:ascii="Calibri" w:hAnsi="Calibri" w:cs="Calibri"/>
                <w:b/>
                <w:bCs/>
                <w:color w:val="000000"/>
                <w:sz w:val="16"/>
                <w:szCs w:val="16"/>
              </w:rPr>
              <w:t> </w:t>
            </w:r>
          </w:p>
        </w:tc>
        <w:tc>
          <w:tcPr>
            <w:tcW w:w="571" w:type="pct"/>
            <w:tcBorders>
              <w:top w:val="nil"/>
              <w:left w:val="nil"/>
              <w:bottom w:val="single" w:sz="8" w:space="0" w:color="B5DDDC"/>
              <w:right w:val="single" w:sz="8" w:space="0" w:color="B5DDDC"/>
            </w:tcBorders>
            <w:shd w:val="clear" w:color="000000" w:fill="D6EAEB"/>
            <w:vAlign w:val="center"/>
            <w:hideMark/>
          </w:tcPr>
          <w:p w14:paraId="205B1E2D" w14:textId="77777777" w:rsidR="00823F91" w:rsidRPr="00595884" w:rsidRDefault="00274BC6" w:rsidP="003C0A46">
            <w:pPr>
              <w:spacing w:before="0" w:after="0" w:line="240" w:lineRule="auto"/>
              <w:rPr>
                <w:rFonts w:ascii="Calibri" w:hAnsi="Calibri" w:cs="Calibri"/>
                <w:b/>
                <w:bCs/>
                <w:color w:val="000000"/>
                <w:sz w:val="16"/>
                <w:szCs w:val="16"/>
              </w:rPr>
            </w:pPr>
            <w:r w:rsidRPr="00595884">
              <w:rPr>
                <w:rFonts w:ascii="Calibri" w:hAnsi="Calibri" w:cs="Calibri"/>
                <w:b/>
                <w:bCs/>
                <w:color w:val="000000"/>
                <w:sz w:val="16"/>
                <w:szCs w:val="16"/>
              </w:rPr>
              <w:t> </w:t>
            </w:r>
          </w:p>
        </w:tc>
        <w:tc>
          <w:tcPr>
            <w:tcW w:w="571" w:type="pct"/>
            <w:tcBorders>
              <w:top w:val="nil"/>
              <w:left w:val="nil"/>
              <w:bottom w:val="single" w:sz="8" w:space="0" w:color="B5DDDC"/>
              <w:right w:val="single" w:sz="8" w:space="0" w:color="B5DDDC"/>
            </w:tcBorders>
            <w:shd w:val="clear" w:color="000000" w:fill="D6EAEB"/>
            <w:vAlign w:val="center"/>
            <w:hideMark/>
          </w:tcPr>
          <w:p w14:paraId="62A170D9" w14:textId="77777777" w:rsidR="00823F91" w:rsidRPr="00595884" w:rsidRDefault="00274BC6" w:rsidP="003C0A46">
            <w:pPr>
              <w:spacing w:before="0" w:after="0" w:line="240" w:lineRule="auto"/>
              <w:rPr>
                <w:rFonts w:ascii="Calibri" w:hAnsi="Calibri" w:cs="Calibri"/>
                <w:b/>
                <w:bCs/>
                <w:color w:val="000000"/>
                <w:sz w:val="16"/>
                <w:szCs w:val="16"/>
              </w:rPr>
            </w:pPr>
            <w:r w:rsidRPr="00595884">
              <w:rPr>
                <w:rFonts w:ascii="Calibri" w:hAnsi="Calibri" w:cs="Calibri"/>
                <w:b/>
                <w:bCs/>
                <w:color w:val="000000"/>
                <w:sz w:val="16"/>
                <w:szCs w:val="16"/>
              </w:rPr>
              <w:t> </w:t>
            </w:r>
          </w:p>
        </w:tc>
        <w:tc>
          <w:tcPr>
            <w:tcW w:w="571" w:type="pct"/>
            <w:tcBorders>
              <w:top w:val="nil"/>
              <w:left w:val="nil"/>
              <w:bottom w:val="single" w:sz="8" w:space="0" w:color="B5DDDC"/>
              <w:right w:val="single" w:sz="8" w:space="0" w:color="B5DDDC"/>
            </w:tcBorders>
            <w:shd w:val="clear" w:color="000000" w:fill="D6EAEB"/>
            <w:vAlign w:val="center"/>
            <w:hideMark/>
          </w:tcPr>
          <w:p w14:paraId="66732021" w14:textId="77777777" w:rsidR="00823F91" w:rsidRPr="00595884" w:rsidRDefault="00274BC6" w:rsidP="003C0A46">
            <w:pPr>
              <w:spacing w:before="0" w:after="0" w:line="240" w:lineRule="auto"/>
              <w:rPr>
                <w:rFonts w:ascii="Calibri" w:hAnsi="Calibri" w:cs="Calibri"/>
                <w:b/>
                <w:bCs/>
                <w:color w:val="000000"/>
                <w:sz w:val="16"/>
                <w:szCs w:val="16"/>
              </w:rPr>
            </w:pPr>
            <w:r w:rsidRPr="00595884">
              <w:rPr>
                <w:rFonts w:ascii="Calibri" w:hAnsi="Calibri" w:cs="Calibri"/>
                <w:b/>
                <w:bCs/>
                <w:color w:val="000000"/>
                <w:sz w:val="16"/>
                <w:szCs w:val="16"/>
              </w:rPr>
              <w:t> </w:t>
            </w:r>
          </w:p>
        </w:tc>
        <w:tc>
          <w:tcPr>
            <w:tcW w:w="571" w:type="pct"/>
            <w:tcBorders>
              <w:top w:val="nil"/>
              <w:left w:val="nil"/>
              <w:bottom w:val="single" w:sz="8" w:space="0" w:color="B5DDDC"/>
              <w:right w:val="single" w:sz="8" w:space="0" w:color="B5DDDC"/>
            </w:tcBorders>
            <w:shd w:val="clear" w:color="000000" w:fill="D6EAEB"/>
            <w:vAlign w:val="center"/>
            <w:hideMark/>
          </w:tcPr>
          <w:p w14:paraId="69A47005" w14:textId="77777777" w:rsidR="00823F91" w:rsidRPr="00595884" w:rsidRDefault="00274BC6" w:rsidP="003C0A46">
            <w:pPr>
              <w:spacing w:before="0" w:after="0" w:line="240" w:lineRule="auto"/>
              <w:rPr>
                <w:rFonts w:ascii="Calibri" w:hAnsi="Calibri" w:cs="Calibri"/>
                <w:b/>
                <w:bCs/>
                <w:color w:val="000000"/>
                <w:sz w:val="16"/>
                <w:szCs w:val="16"/>
              </w:rPr>
            </w:pPr>
            <w:r w:rsidRPr="00595884">
              <w:rPr>
                <w:rFonts w:ascii="Calibri" w:hAnsi="Calibri" w:cs="Calibri"/>
                <w:b/>
                <w:bCs/>
                <w:color w:val="000000"/>
                <w:sz w:val="16"/>
                <w:szCs w:val="16"/>
              </w:rPr>
              <w:t> </w:t>
            </w:r>
          </w:p>
        </w:tc>
      </w:tr>
      <w:tr w:rsidR="005B6ACD" w14:paraId="68893922" w14:textId="77777777" w:rsidTr="00E735E8">
        <w:trPr>
          <w:trHeight w:val="420"/>
        </w:trPr>
        <w:tc>
          <w:tcPr>
            <w:tcW w:w="248" w:type="pct"/>
            <w:tcBorders>
              <w:top w:val="nil"/>
              <w:left w:val="single" w:sz="8" w:space="0" w:color="B5DDDC"/>
              <w:bottom w:val="single" w:sz="8" w:space="0" w:color="B5DDDC"/>
              <w:right w:val="single" w:sz="8" w:space="0" w:color="B5DDDC"/>
            </w:tcBorders>
            <w:vAlign w:val="center"/>
            <w:hideMark/>
          </w:tcPr>
          <w:p w14:paraId="621BE434" w14:textId="77777777" w:rsidR="00823F91" w:rsidRPr="00595884" w:rsidRDefault="00274BC6" w:rsidP="003C0A46">
            <w:pPr>
              <w:spacing w:before="0" w:after="0" w:line="240" w:lineRule="auto"/>
              <w:jc w:val="center"/>
              <w:rPr>
                <w:rFonts w:ascii="Calibri" w:hAnsi="Calibri" w:cs="Calibri"/>
                <w:b/>
                <w:bCs/>
                <w:sz w:val="16"/>
                <w:szCs w:val="16"/>
              </w:rPr>
            </w:pPr>
            <w:r w:rsidRPr="00595884">
              <w:rPr>
                <w:rFonts w:ascii="Calibri" w:hAnsi="Calibri" w:cs="Calibri"/>
                <w:b/>
                <w:bCs/>
                <w:sz w:val="16"/>
                <w:szCs w:val="16"/>
              </w:rPr>
              <w:t>3</w:t>
            </w:r>
          </w:p>
        </w:tc>
        <w:tc>
          <w:tcPr>
            <w:tcW w:w="1325" w:type="pct"/>
            <w:tcBorders>
              <w:top w:val="nil"/>
              <w:left w:val="nil"/>
              <w:bottom w:val="single" w:sz="8" w:space="0" w:color="B5DDDC"/>
              <w:right w:val="single" w:sz="8" w:space="0" w:color="B5DDDC"/>
            </w:tcBorders>
            <w:vAlign w:val="center"/>
            <w:hideMark/>
          </w:tcPr>
          <w:p w14:paraId="630E8218" w14:textId="77777777" w:rsidR="00823F91" w:rsidRPr="00595884" w:rsidRDefault="00274BC6" w:rsidP="003C0A46">
            <w:pPr>
              <w:spacing w:before="0" w:after="0" w:line="240" w:lineRule="auto"/>
              <w:rPr>
                <w:rFonts w:ascii="Calibri" w:hAnsi="Calibri" w:cs="Calibri"/>
                <w:sz w:val="16"/>
                <w:szCs w:val="16"/>
              </w:rPr>
            </w:pPr>
            <w:r w:rsidRPr="00595884">
              <w:rPr>
                <w:rFonts w:ascii="Calibri" w:hAnsi="Calibri" w:cs="Calibri"/>
                <w:sz w:val="16"/>
                <w:szCs w:val="16"/>
              </w:rPr>
              <w:t>Was the research design appropriate to address the aims of the research?</w:t>
            </w:r>
          </w:p>
        </w:tc>
        <w:tc>
          <w:tcPr>
            <w:tcW w:w="571" w:type="pct"/>
            <w:tcBorders>
              <w:top w:val="nil"/>
              <w:left w:val="nil"/>
              <w:bottom w:val="single" w:sz="8" w:space="0" w:color="B5DDDC"/>
              <w:right w:val="single" w:sz="8" w:space="0" w:color="B5DDDC"/>
            </w:tcBorders>
            <w:shd w:val="clear" w:color="000000" w:fill="70AD47"/>
            <w:vAlign w:val="center"/>
            <w:hideMark/>
          </w:tcPr>
          <w:p w14:paraId="3EA1BF71" w14:textId="77777777" w:rsidR="00823F91" w:rsidRPr="00595884" w:rsidRDefault="00274BC6" w:rsidP="003C0A46">
            <w:pPr>
              <w:spacing w:before="0" w:after="0" w:line="240" w:lineRule="auto"/>
              <w:jc w:val="center"/>
              <w:rPr>
                <w:rFonts w:ascii="Calibri" w:hAnsi="Calibri" w:cs="Calibri"/>
                <w:b/>
                <w:bCs/>
                <w:color w:val="FFFFFF" w:themeColor="background1"/>
                <w:sz w:val="16"/>
                <w:szCs w:val="16"/>
              </w:rPr>
            </w:pPr>
            <w:r w:rsidRPr="00595884">
              <w:rPr>
                <w:rFonts w:ascii="Calibri" w:hAnsi="Calibri" w:cs="Calibri"/>
                <w:b/>
                <w:bCs/>
                <w:color w:val="FFFFFF" w:themeColor="background1"/>
                <w:sz w:val="16"/>
                <w:szCs w:val="16"/>
              </w:rPr>
              <w:t>++</w:t>
            </w:r>
          </w:p>
        </w:tc>
        <w:tc>
          <w:tcPr>
            <w:tcW w:w="571" w:type="pct"/>
            <w:tcBorders>
              <w:top w:val="nil"/>
              <w:left w:val="nil"/>
              <w:bottom w:val="single" w:sz="8" w:space="0" w:color="B5DDDC"/>
              <w:right w:val="single" w:sz="8" w:space="0" w:color="B5DDDC"/>
            </w:tcBorders>
            <w:shd w:val="clear" w:color="000000" w:fill="70AD47"/>
            <w:vAlign w:val="center"/>
            <w:hideMark/>
          </w:tcPr>
          <w:p w14:paraId="5E3A1B08" w14:textId="77777777" w:rsidR="00823F91" w:rsidRPr="00595884" w:rsidRDefault="00274BC6" w:rsidP="003C0A46">
            <w:pPr>
              <w:spacing w:before="0" w:after="0" w:line="240" w:lineRule="auto"/>
              <w:jc w:val="center"/>
              <w:rPr>
                <w:rFonts w:ascii="Calibri" w:hAnsi="Calibri" w:cs="Calibri"/>
                <w:b/>
                <w:bCs/>
                <w:color w:val="FFFFFF" w:themeColor="background1"/>
                <w:sz w:val="16"/>
                <w:szCs w:val="16"/>
              </w:rPr>
            </w:pPr>
            <w:r w:rsidRPr="00595884">
              <w:rPr>
                <w:rFonts w:ascii="Calibri" w:hAnsi="Calibri" w:cs="Calibri"/>
                <w:b/>
                <w:bCs/>
                <w:color w:val="FFFFFF" w:themeColor="background1"/>
                <w:sz w:val="16"/>
                <w:szCs w:val="16"/>
              </w:rPr>
              <w:t>++</w:t>
            </w:r>
          </w:p>
        </w:tc>
        <w:tc>
          <w:tcPr>
            <w:tcW w:w="571" w:type="pct"/>
            <w:tcBorders>
              <w:top w:val="nil"/>
              <w:left w:val="nil"/>
              <w:bottom w:val="single" w:sz="8" w:space="0" w:color="B5DDDC"/>
              <w:right w:val="single" w:sz="8" w:space="0" w:color="B5DDDC"/>
            </w:tcBorders>
            <w:shd w:val="clear" w:color="000000" w:fill="70AD47"/>
            <w:vAlign w:val="center"/>
            <w:hideMark/>
          </w:tcPr>
          <w:p w14:paraId="762BD898" w14:textId="77777777" w:rsidR="00823F91" w:rsidRPr="00595884" w:rsidRDefault="00274BC6" w:rsidP="003C0A46">
            <w:pPr>
              <w:spacing w:before="0" w:after="0" w:line="240" w:lineRule="auto"/>
              <w:jc w:val="center"/>
              <w:rPr>
                <w:rFonts w:ascii="Calibri" w:hAnsi="Calibri" w:cs="Calibri"/>
                <w:b/>
                <w:bCs/>
                <w:color w:val="FFFFFF" w:themeColor="background1"/>
                <w:sz w:val="16"/>
                <w:szCs w:val="16"/>
              </w:rPr>
            </w:pPr>
            <w:r w:rsidRPr="00595884">
              <w:rPr>
                <w:rFonts w:ascii="Calibri" w:hAnsi="Calibri" w:cs="Calibri"/>
                <w:b/>
                <w:bCs/>
                <w:color w:val="FFFFFF" w:themeColor="background1"/>
                <w:sz w:val="16"/>
                <w:szCs w:val="16"/>
              </w:rPr>
              <w:t>++</w:t>
            </w:r>
          </w:p>
        </w:tc>
        <w:tc>
          <w:tcPr>
            <w:tcW w:w="571" w:type="pct"/>
            <w:tcBorders>
              <w:top w:val="nil"/>
              <w:left w:val="nil"/>
              <w:bottom w:val="single" w:sz="8" w:space="0" w:color="B5DDDC"/>
              <w:right w:val="single" w:sz="8" w:space="0" w:color="B5DDDC"/>
            </w:tcBorders>
            <w:shd w:val="clear" w:color="auto" w:fill="F2DBDB"/>
            <w:vAlign w:val="center"/>
            <w:hideMark/>
          </w:tcPr>
          <w:p w14:paraId="0B21457E" w14:textId="77777777" w:rsidR="00823F91" w:rsidRPr="00595884" w:rsidRDefault="00274BC6" w:rsidP="003C0A46">
            <w:pPr>
              <w:spacing w:before="0" w:after="0" w:line="240" w:lineRule="auto"/>
              <w:jc w:val="center"/>
              <w:rPr>
                <w:rFonts w:ascii="Calibri" w:hAnsi="Calibri" w:cs="Calibri"/>
                <w:b/>
                <w:bCs/>
                <w:sz w:val="16"/>
                <w:szCs w:val="16"/>
              </w:rPr>
            </w:pPr>
            <w:r w:rsidRPr="00595884">
              <w:rPr>
                <w:rFonts w:ascii="Calibri" w:hAnsi="Calibri" w:cs="Calibri"/>
                <w:b/>
                <w:bCs/>
                <w:sz w:val="16"/>
                <w:szCs w:val="16"/>
              </w:rPr>
              <w:t>-</w:t>
            </w:r>
          </w:p>
        </w:tc>
        <w:tc>
          <w:tcPr>
            <w:tcW w:w="571" w:type="pct"/>
            <w:tcBorders>
              <w:top w:val="nil"/>
              <w:left w:val="nil"/>
              <w:bottom w:val="single" w:sz="8" w:space="0" w:color="B5DDDC"/>
              <w:right w:val="single" w:sz="8" w:space="0" w:color="B5DDDC"/>
            </w:tcBorders>
            <w:shd w:val="clear" w:color="000000" w:fill="70AD47"/>
            <w:vAlign w:val="center"/>
            <w:hideMark/>
          </w:tcPr>
          <w:p w14:paraId="1673B96F" w14:textId="77777777" w:rsidR="00823F91" w:rsidRPr="00595884" w:rsidRDefault="00274BC6" w:rsidP="003C0A46">
            <w:pPr>
              <w:spacing w:before="0" w:after="0" w:line="240" w:lineRule="auto"/>
              <w:jc w:val="center"/>
              <w:rPr>
                <w:rFonts w:ascii="Calibri" w:hAnsi="Calibri" w:cs="Calibri"/>
                <w:b/>
                <w:bCs/>
                <w:color w:val="FFFFFF" w:themeColor="background1"/>
                <w:sz w:val="16"/>
                <w:szCs w:val="16"/>
              </w:rPr>
            </w:pPr>
            <w:r w:rsidRPr="00595884">
              <w:rPr>
                <w:rFonts w:ascii="Calibri" w:hAnsi="Calibri" w:cs="Calibri"/>
                <w:b/>
                <w:bCs/>
                <w:color w:val="FFFFFF" w:themeColor="background1"/>
                <w:sz w:val="16"/>
                <w:szCs w:val="16"/>
              </w:rPr>
              <w:t>++</w:t>
            </w:r>
          </w:p>
        </w:tc>
        <w:tc>
          <w:tcPr>
            <w:tcW w:w="571" w:type="pct"/>
            <w:tcBorders>
              <w:top w:val="nil"/>
              <w:left w:val="nil"/>
              <w:bottom w:val="single" w:sz="8" w:space="0" w:color="B5DDDC"/>
              <w:right w:val="single" w:sz="8" w:space="0" w:color="B5DDDC"/>
            </w:tcBorders>
            <w:shd w:val="clear" w:color="auto" w:fill="C2D69B" w:themeFill="accent3" w:themeFillTint="99"/>
            <w:vAlign w:val="center"/>
            <w:hideMark/>
          </w:tcPr>
          <w:p w14:paraId="709D95D0" w14:textId="77777777" w:rsidR="00823F91" w:rsidRPr="00595884" w:rsidRDefault="00274BC6" w:rsidP="003C0A46">
            <w:pPr>
              <w:spacing w:before="0" w:after="0" w:line="240" w:lineRule="auto"/>
              <w:jc w:val="center"/>
              <w:rPr>
                <w:rFonts w:ascii="Calibri" w:hAnsi="Calibri" w:cs="Calibri"/>
                <w:b/>
                <w:bCs/>
                <w:sz w:val="16"/>
                <w:szCs w:val="16"/>
              </w:rPr>
            </w:pPr>
            <w:r w:rsidRPr="00595884">
              <w:rPr>
                <w:rFonts w:ascii="Calibri" w:hAnsi="Calibri" w:cs="Calibri"/>
                <w:b/>
                <w:bCs/>
                <w:sz w:val="16"/>
                <w:szCs w:val="16"/>
              </w:rPr>
              <w:t>+</w:t>
            </w:r>
          </w:p>
        </w:tc>
      </w:tr>
      <w:tr w:rsidR="005B6ACD" w14:paraId="2792D19F" w14:textId="77777777" w:rsidTr="00E735E8">
        <w:trPr>
          <w:trHeight w:val="420"/>
        </w:trPr>
        <w:tc>
          <w:tcPr>
            <w:tcW w:w="248" w:type="pct"/>
            <w:tcBorders>
              <w:top w:val="nil"/>
              <w:left w:val="single" w:sz="8" w:space="0" w:color="B5DDDC"/>
              <w:bottom w:val="single" w:sz="8" w:space="0" w:color="B5DDDC"/>
              <w:right w:val="single" w:sz="8" w:space="0" w:color="B5DDDC"/>
            </w:tcBorders>
            <w:vAlign w:val="center"/>
            <w:hideMark/>
          </w:tcPr>
          <w:p w14:paraId="7361AED5" w14:textId="77777777" w:rsidR="00823F91" w:rsidRPr="00595884" w:rsidRDefault="00274BC6" w:rsidP="003C0A46">
            <w:pPr>
              <w:spacing w:before="0" w:after="0" w:line="240" w:lineRule="auto"/>
              <w:jc w:val="center"/>
              <w:rPr>
                <w:rFonts w:ascii="Calibri" w:hAnsi="Calibri" w:cs="Calibri"/>
                <w:b/>
                <w:bCs/>
                <w:sz w:val="16"/>
                <w:szCs w:val="16"/>
              </w:rPr>
            </w:pPr>
            <w:r w:rsidRPr="00595884">
              <w:rPr>
                <w:rFonts w:ascii="Calibri" w:hAnsi="Calibri" w:cs="Calibri"/>
                <w:b/>
                <w:bCs/>
                <w:sz w:val="16"/>
                <w:szCs w:val="16"/>
              </w:rPr>
              <w:t>4</w:t>
            </w:r>
          </w:p>
        </w:tc>
        <w:tc>
          <w:tcPr>
            <w:tcW w:w="1325" w:type="pct"/>
            <w:tcBorders>
              <w:top w:val="nil"/>
              <w:left w:val="nil"/>
              <w:bottom w:val="single" w:sz="8" w:space="0" w:color="B5DDDC"/>
              <w:right w:val="single" w:sz="8" w:space="0" w:color="B5DDDC"/>
            </w:tcBorders>
            <w:vAlign w:val="center"/>
            <w:hideMark/>
          </w:tcPr>
          <w:p w14:paraId="057D0749" w14:textId="77777777" w:rsidR="00823F91" w:rsidRPr="00595884" w:rsidRDefault="00274BC6" w:rsidP="003C0A46">
            <w:pPr>
              <w:spacing w:before="0" w:after="0" w:line="240" w:lineRule="auto"/>
              <w:rPr>
                <w:rFonts w:ascii="Calibri" w:hAnsi="Calibri" w:cs="Calibri"/>
                <w:sz w:val="16"/>
                <w:szCs w:val="16"/>
              </w:rPr>
            </w:pPr>
            <w:r w:rsidRPr="00595884">
              <w:rPr>
                <w:rFonts w:ascii="Calibri" w:hAnsi="Calibri" w:cs="Calibri"/>
                <w:sz w:val="16"/>
                <w:szCs w:val="16"/>
              </w:rPr>
              <w:t>Was the chosen hypothetical population or subpopulation appropriate for addressing the study research aims?</w:t>
            </w:r>
          </w:p>
        </w:tc>
        <w:tc>
          <w:tcPr>
            <w:tcW w:w="571" w:type="pct"/>
            <w:tcBorders>
              <w:top w:val="nil"/>
              <w:left w:val="nil"/>
              <w:bottom w:val="single" w:sz="8" w:space="0" w:color="B5DDDC"/>
              <w:right w:val="single" w:sz="8" w:space="0" w:color="B5DDDC"/>
            </w:tcBorders>
            <w:shd w:val="clear" w:color="000000" w:fill="70AD47"/>
            <w:vAlign w:val="center"/>
            <w:hideMark/>
          </w:tcPr>
          <w:p w14:paraId="288D3032" w14:textId="77777777" w:rsidR="00823F91" w:rsidRPr="00595884" w:rsidRDefault="00274BC6" w:rsidP="003C0A46">
            <w:pPr>
              <w:spacing w:before="0" w:after="0" w:line="240" w:lineRule="auto"/>
              <w:jc w:val="center"/>
              <w:rPr>
                <w:rFonts w:ascii="Calibri" w:hAnsi="Calibri" w:cs="Calibri"/>
                <w:b/>
                <w:bCs/>
                <w:color w:val="FFFFFF" w:themeColor="background1"/>
                <w:sz w:val="16"/>
                <w:szCs w:val="16"/>
              </w:rPr>
            </w:pPr>
            <w:r w:rsidRPr="00595884">
              <w:rPr>
                <w:rFonts w:ascii="Calibri" w:hAnsi="Calibri" w:cs="Calibri"/>
                <w:b/>
                <w:bCs/>
                <w:color w:val="FFFFFF" w:themeColor="background1"/>
                <w:sz w:val="16"/>
                <w:szCs w:val="16"/>
              </w:rPr>
              <w:t>++</w:t>
            </w:r>
          </w:p>
        </w:tc>
        <w:tc>
          <w:tcPr>
            <w:tcW w:w="571" w:type="pct"/>
            <w:tcBorders>
              <w:top w:val="nil"/>
              <w:left w:val="nil"/>
              <w:bottom w:val="single" w:sz="8" w:space="0" w:color="B5DDDC"/>
              <w:right w:val="single" w:sz="8" w:space="0" w:color="B5DDDC"/>
            </w:tcBorders>
            <w:shd w:val="clear" w:color="000000" w:fill="70AD47"/>
            <w:vAlign w:val="center"/>
            <w:hideMark/>
          </w:tcPr>
          <w:p w14:paraId="4B7EBC3D" w14:textId="77777777" w:rsidR="00823F91" w:rsidRPr="00595884" w:rsidRDefault="00274BC6" w:rsidP="003C0A46">
            <w:pPr>
              <w:spacing w:before="0" w:after="0" w:line="240" w:lineRule="auto"/>
              <w:jc w:val="center"/>
              <w:rPr>
                <w:rFonts w:ascii="Calibri" w:hAnsi="Calibri" w:cs="Calibri"/>
                <w:b/>
                <w:bCs/>
                <w:color w:val="FFFFFF" w:themeColor="background1"/>
                <w:sz w:val="16"/>
                <w:szCs w:val="16"/>
              </w:rPr>
            </w:pPr>
            <w:r w:rsidRPr="00595884">
              <w:rPr>
                <w:rFonts w:ascii="Calibri" w:hAnsi="Calibri" w:cs="Calibri"/>
                <w:b/>
                <w:bCs/>
                <w:color w:val="FFFFFF" w:themeColor="background1"/>
                <w:sz w:val="16"/>
                <w:szCs w:val="16"/>
              </w:rPr>
              <w:t>++</w:t>
            </w:r>
          </w:p>
        </w:tc>
        <w:tc>
          <w:tcPr>
            <w:tcW w:w="571" w:type="pct"/>
            <w:tcBorders>
              <w:top w:val="nil"/>
              <w:left w:val="nil"/>
              <w:bottom w:val="single" w:sz="8" w:space="0" w:color="B5DDDC"/>
              <w:right w:val="single" w:sz="8" w:space="0" w:color="B5DDDC"/>
            </w:tcBorders>
            <w:shd w:val="clear" w:color="000000" w:fill="70AD47"/>
            <w:vAlign w:val="center"/>
            <w:hideMark/>
          </w:tcPr>
          <w:p w14:paraId="58085457" w14:textId="77777777" w:rsidR="00823F91" w:rsidRPr="00595884" w:rsidRDefault="00274BC6" w:rsidP="003C0A46">
            <w:pPr>
              <w:spacing w:before="0" w:after="0" w:line="240" w:lineRule="auto"/>
              <w:jc w:val="center"/>
              <w:rPr>
                <w:rFonts w:ascii="Calibri" w:hAnsi="Calibri" w:cs="Calibri"/>
                <w:b/>
                <w:bCs/>
                <w:color w:val="FFFFFF" w:themeColor="background1"/>
                <w:sz w:val="16"/>
                <w:szCs w:val="16"/>
              </w:rPr>
            </w:pPr>
            <w:r w:rsidRPr="00595884">
              <w:rPr>
                <w:rFonts w:ascii="Calibri" w:hAnsi="Calibri" w:cs="Calibri"/>
                <w:b/>
                <w:bCs/>
                <w:color w:val="FFFFFF" w:themeColor="background1"/>
                <w:sz w:val="16"/>
                <w:szCs w:val="16"/>
              </w:rPr>
              <w:t>++</w:t>
            </w:r>
          </w:p>
        </w:tc>
        <w:tc>
          <w:tcPr>
            <w:tcW w:w="571" w:type="pct"/>
            <w:tcBorders>
              <w:top w:val="nil"/>
              <w:left w:val="nil"/>
              <w:bottom w:val="single" w:sz="8" w:space="0" w:color="B5DDDC"/>
              <w:right w:val="single" w:sz="8" w:space="0" w:color="B5DDDC"/>
            </w:tcBorders>
            <w:shd w:val="clear" w:color="000000" w:fill="70AD47"/>
            <w:vAlign w:val="center"/>
            <w:hideMark/>
          </w:tcPr>
          <w:p w14:paraId="529861D3" w14:textId="77777777" w:rsidR="00823F91" w:rsidRPr="00595884" w:rsidRDefault="00274BC6" w:rsidP="003C0A46">
            <w:pPr>
              <w:spacing w:before="0" w:after="0" w:line="240" w:lineRule="auto"/>
              <w:jc w:val="center"/>
              <w:rPr>
                <w:rFonts w:ascii="Calibri" w:hAnsi="Calibri" w:cs="Calibri"/>
                <w:b/>
                <w:bCs/>
                <w:color w:val="FFFFFF" w:themeColor="background1"/>
                <w:sz w:val="16"/>
                <w:szCs w:val="16"/>
              </w:rPr>
            </w:pPr>
            <w:r w:rsidRPr="00595884">
              <w:rPr>
                <w:rFonts w:ascii="Calibri" w:hAnsi="Calibri" w:cs="Calibri"/>
                <w:b/>
                <w:bCs/>
                <w:color w:val="FFFFFF" w:themeColor="background1"/>
                <w:sz w:val="16"/>
                <w:szCs w:val="16"/>
              </w:rPr>
              <w:t>++</w:t>
            </w:r>
          </w:p>
        </w:tc>
        <w:tc>
          <w:tcPr>
            <w:tcW w:w="571" w:type="pct"/>
            <w:tcBorders>
              <w:top w:val="nil"/>
              <w:left w:val="nil"/>
              <w:bottom w:val="single" w:sz="8" w:space="0" w:color="B5DDDC"/>
              <w:right w:val="single" w:sz="8" w:space="0" w:color="B5DDDC"/>
            </w:tcBorders>
            <w:shd w:val="clear" w:color="000000" w:fill="70AD47"/>
            <w:vAlign w:val="center"/>
            <w:hideMark/>
          </w:tcPr>
          <w:p w14:paraId="3AEDBBC9" w14:textId="77777777" w:rsidR="00823F91" w:rsidRPr="00595884" w:rsidRDefault="00274BC6" w:rsidP="003C0A46">
            <w:pPr>
              <w:spacing w:before="0" w:after="0" w:line="240" w:lineRule="auto"/>
              <w:jc w:val="center"/>
              <w:rPr>
                <w:rFonts w:ascii="Calibri" w:hAnsi="Calibri" w:cs="Calibri"/>
                <w:b/>
                <w:bCs/>
                <w:color w:val="FFFFFF" w:themeColor="background1"/>
                <w:sz w:val="16"/>
                <w:szCs w:val="16"/>
              </w:rPr>
            </w:pPr>
            <w:r w:rsidRPr="00595884">
              <w:rPr>
                <w:rFonts w:ascii="Calibri" w:hAnsi="Calibri" w:cs="Calibri"/>
                <w:b/>
                <w:bCs/>
                <w:color w:val="FFFFFF" w:themeColor="background1"/>
                <w:sz w:val="16"/>
                <w:szCs w:val="16"/>
              </w:rPr>
              <w:t>++</w:t>
            </w:r>
          </w:p>
        </w:tc>
        <w:tc>
          <w:tcPr>
            <w:tcW w:w="571" w:type="pct"/>
            <w:tcBorders>
              <w:top w:val="nil"/>
              <w:left w:val="nil"/>
              <w:bottom w:val="single" w:sz="8" w:space="0" w:color="B5DDDC"/>
              <w:right w:val="single" w:sz="8" w:space="0" w:color="B5DDDC"/>
            </w:tcBorders>
            <w:shd w:val="clear" w:color="auto" w:fill="C2D69B" w:themeFill="accent3" w:themeFillTint="99"/>
            <w:vAlign w:val="center"/>
            <w:hideMark/>
          </w:tcPr>
          <w:p w14:paraId="4D49E995" w14:textId="77777777" w:rsidR="00823F91" w:rsidRPr="00595884" w:rsidRDefault="00274BC6" w:rsidP="003C0A46">
            <w:pPr>
              <w:spacing w:before="0" w:after="0" w:line="240" w:lineRule="auto"/>
              <w:jc w:val="center"/>
              <w:rPr>
                <w:rFonts w:ascii="Calibri" w:hAnsi="Calibri" w:cs="Calibri"/>
                <w:b/>
                <w:bCs/>
                <w:sz w:val="16"/>
                <w:szCs w:val="16"/>
              </w:rPr>
            </w:pPr>
            <w:r w:rsidRPr="00595884">
              <w:rPr>
                <w:rFonts w:ascii="Calibri" w:hAnsi="Calibri" w:cs="Calibri"/>
                <w:b/>
                <w:bCs/>
                <w:sz w:val="16"/>
                <w:szCs w:val="16"/>
              </w:rPr>
              <w:t>+</w:t>
            </w:r>
          </w:p>
        </w:tc>
      </w:tr>
      <w:tr w:rsidR="005B6ACD" w14:paraId="2B463737" w14:textId="77777777" w:rsidTr="00E735E8">
        <w:trPr>
          <w:trHeight w:val="300"/>
        </w:trPr>
        <w:tc>
          <w:tcPr>
            <w:tcW w:w="248" w:type="pct"/>
            <w:tcBorders>
              <w:top w:val="nil"/>
              <w:left w:val="single" w:sz="8" w:space="0" w:color="B5DDDC"/>
              <w:bottom w:val="single" w:sz="8" w:space="0" w:color="B5DDDC"/>
              <w:right w:val="single" w:sz="8" w:space="0" w:color="B5DDDC"/>
            </w:tcBorders>
            <w:vAlign w:val="center"/>
            <w:hideMark/>
          </w:tcPr>
          <w:p w14:paraId="46808818" w14:textId="77777777" w:rsidR="00823F91" w:rsidRPr="00595884" w:rsidRDefault="00274BC6" w:rsidP="003C0A46">
            <w:pPr>
              <w:spacing w:before="0" w:after="0" w:line="240" w:lineRule="auto"/>
              <w:jc w:val="center"/>
              <w:rPr>
                <w:rFonts w:ascii="Calibri" w:hAnsi="Calibri" w:cs="Calibri"/>
                <w:b/>
                <w:bCs/>
                <w:sz w:val="16"/>
                <w:szCs w:val="16"/>
              </w:rPr>
            </w:pPr>
            <w:r w:rsidRPr="00595884">
              <w:rPr>
                <w:rFonts w:ascii="Calibri" w:hAnsi="Calibri" w:cs="Calibri"/>
                <w:b/>
                <w:bCs/>
                <w:sz w:val="16"/>
                <w:szCs w:val="16"/>
              </w:rPr>
              <w:t>5</w:t>
            </w:r>
          </w:p>
        </w:tc>
        <w:tc>
          <w:tcPr>
            <w:tcW w:w="1325" w:type="pct"/>
            <w:tcBorders>
              <w:top w:val="nil"/>
              <w:left w:val="nil"/>
              <w:bottom w:val="single" w:sz="8" w:space="0" w:color="B5DDDC"/>
              <w:right w:val="single" w:sz="8" w:space="0" w:color="B5DDDC"/>
            </w:tcBorders>
            <w:vAlign w:val="center"/>
            <w:hideMark/>
          </w:tcPr>
          <w:p w14:paraId="4BF1D78F" w14:textId="77777777" w:rsidR="00823F91" w:rsidRPr="00595884" w:rsidRDefault="00274BC6" w:rsidP="003C0A46">
            <w:pPr>
              <w:spacing w:before="0" w:after="0" w:line="240" w:lineRule="auto"/>
              <w:rPr>
                <w:rFonts w:ascii="Calibri" w:hAnsi="Calibri" w:cs="Calibri"/>
                <w:sz w:val="16"/>
                <w:szCs w:val="16"/>
              </w:rPr>
            </w:pPr>
            <w:r w:rsidRPr="00595884">
              <w:rPr>
                <w:rFonts w:ascii="Calibri" w:hAnsi="Calibri" w:cs="Calibri"/>
                <w:sz w:val="16"/>
                <w:szCs w:val="16"/>
              </w:rPr>
              <w:t>Was the data collected in a way that addressed the research issue?</w:t>
            </w:r>
          </w:p>
        </w:tc>
        <w:tc>
          <w:tcPr>
            <w:tcW w:w="571" w:type="pct"/>
            <w:tcBorders>
              <w:top w:val="nil"/>
              <w:left w:val="nil"/>
              <w:bottom w:val="single" w:sz="8" w:space="0" w:color="B5DDDC"/>
              <w:right w:val="single" w:sz="8" w:space="0" w:color="B5DDDC"/>
            </w:tcBorders>
            <w:shd w:val="clear" w:color="000000" w:fill="70AD47"/>
            <w:vAlign w:val="center"/>
            <w:hideMark/>
          </w:tcPr>
          <w:p w14:paraId="17E776CC" w14:textId="77777777" w:rsidR="00823F91" w:rsidRPr="00595884" w:rsidRDefault="00274BC6" w:rsidP="003C0A46">
            <w:pPr>
              <w:spacing w:before="0" w:after="0" w:line="240" w:lineRule="auto"/>
              <w:jc w:val="center"/>
              <w:rPr>
                <w:rFonts w:ascii="Calibri" w:hAnsi="Calibri" w:cs="Calibri"/>
                <w:b/>
                <w:bCs/>
                <w:color w:val="FFFFFF" w:themeColor="background1"/>
                <w:sz w:val="16"/>
                <w:szCs w:val="16"/>
              </w:rPr>
            </w:pPr>
            <w:r w:rsidRPr="00595884">
              <w:rPr>
                <w:rFonts w:ascii="Calibri" w:hAnsi="Calibri" w:cs="Calibri"/>
                <w:b/>
                <w:bCs/>
                <w:color w:val="FFFFFF" w:themeColor="background1"/>
                <w:sz w:val="16"/>
                <w:szCs w:val="16"/>
              </w:rPr>
              <w:t>++</w:t>
            </w:r>
          </w:p>
        </w:tc>
        <w:tc>
          <w:tcPr>
            <w:tcW w:w="571" w:type="pct"/>
            <w:tcBorders>
              <w:top w:val="nil"/>
              <w:left w:val="nil"/>
              <w:bottom w:val="single" w:sz="8" w:space="0" w:color="B5DDDC"/>
              <w:right w:val="single" w:sz="8" w:space="0" w:color="B5DDDC"/>
            </w:tcBorders>
            <w:shd w:val="clear" w:color="auto" w:fill="C2D69B" w:themeFill="accent3" w:themeFillTint="99"/>
            <w:vAlign w:val="center"/>
            <w:hideMark/>
          </w:tcPr>
          <w:p w14:paraId="25C52E87" w14:textId="77777777" w:rsidR="00823F91" w:rsidRPr="00595884" w:rsidRDefault="00274BC6" w:rsidP="003C0A46">
            <w:pPr>
              <w:spacing w:before="0" w:after="0" w:line="240" w:lineRule="auto"/>
              <w:jc w:val="center"/>
              <w:rPr>
                <w:rFonts w:ascii="Calibri" w:hAnsi="Calibri" w:cs="Calibri"/>
                <w:b/>
                <w:bCs/>
                <w:sz w:val="16"/>
                <w:szCs w:val="16"/>
              </w:rPr>
            </w:pPr>
            <w:r w:rsidRPr="00595884">
              <w:rPr>
                <w:rFonts w:ascii="Calibri" w:hAnsi="Calibri" w:cs="Calibri"/>
                <w:b/>
                <w:bCs/>
                <w:sz w:val="16"/>
                <w:szCs w:val="16"/>
              </w:rPr>
              <w:t>+</w:t>
            </w:r>
          </w:p>
        </w:tc>
        <w:tc>
          <w:tcPr>
            <w:tcW w:w="571" w:type="pct"/>
            <w:tcBorders>
              <w:top w:val="nil"/>
              <w:left w:val="nil"/>
              <w:bottom w:val="single" w:sz="8" w:space="0" w:color="B5DDDC"/>
              <w:right w:val="single" w:sz="8" w:space="0" w:color="B5DDDC"/>
            </w:tcBorders>
            <w:shd w:val="clear" w:color="000000" w:fill="70AD47"/>
            <w:vAlign w:val="center"/>
            <w:hideMark/>
          </w:tcPr>
          <w:p w14:paraId="1896B049" w14:textId="77777777" w:rsidR="00823F91" w:rsidRPr="00595884" w:rsidRDefault="00274BC6" w:rsidP="003C0A46">
            <w:pPr>
              <w:spacing w:before="0" w:after="0" w:line="240" w:lineRule="auto"/>
              <w:jc w:val="center"/>
              <w:rPr>
                <w:rFonts w:ascii="Calibri" w:hAnsi="Calibri" w:cs="Calibri"/>
                <w:b/>
                <w:bCs/>
                <w:color w:val="FFFFFF" w:themeColor="background1"/>
                <w:sz w:val="16"/>
                <w:szCs w:val="16"/>
              </w:rPr>
            </w:pPr>
            <w:r w:rsidRPr="00595884">
              <w:rPr>
                <w:rFonts w:ascii="Calibri" w:hAnsi="Calibri" w:cs="Calibri"/>
                <w:b/>
                <w:bCs/>
                <w:color w:val="FFFFFF" w:themeColor="background1"/>
                <w:sz w:val="16"/>
                <w:szCs w:val="16"/>
              </w:rPr>
              <w:t>++</w:t>
            </w:r>
          </w:p>
        </w:tc>
        <w:tc>
          <w:tcPr>
            <w:tcW w:w="571" w:type="pct"/>
            <w:tcBorders>
              <w:top w:val="nil"/>
              <w:left w:val="nil"/>
              <w:bottom w:val="single" w:sz="8" w:space="0" w:color="B5DDDC"/>
              <w:right w:val="single" w:sz="8" w:space="0" w:color="B5DDDC"/>
            </w:tcBorders>
            <w:shd w:val="clear" w:color="auto" w:fill="C2D69B" w:themeFill="accent3" w:themeFillTint="99"/>
            <w:vAlign w:val="center"/>
            <w:hideMark/>
          </w:tcPr>
          <w:p w14:paraId="67F59FAF" w14:textId="77777777" w:rsidR="00823F91" w:rsidRPr="00595884" w:rsidRDefault="00274BC6" w:rsidP="003C0A46">
            <w:pPr>
              <w:spacing w:before="0" w:after="0" w:line="240" w:lineRule="auto"/>
              <w:jc w:val="center"/>
              <w:rPr>
                <w:rFonts w:ascii="Calibri" w:hAnsi="Calibri" w:cs="Calibri"/>
                <w:b/>
                <w:bCs/>
                <w:sz w:val="16"/>
                <w:szCs w:val="16"/>
              </w:rPr>
            </w:pPr>
            <w:r w:rsidRPr="00595884">
              <w:rPr>
                <w:rFonts w:ascii="Calibri" w:hAnsi="Calibri" w:cs="Calibri"/>
                <w:b/>
                <w:bCs/>
                <w:sz w:val="16"/>
                <w:szCs w:val="16"/>
              </w:rPr>
              <w:t>+</w:t>
            </w:r>
          </w:p>
        </w:tc>
        <w:tc>
          <w:tcPr>
            <w:tcW w:w="571" w:type="pct"/>
            <w:tcBorders>
              <w:top w:val="nil"/>
              <w:left w:val="nil"/>
              <w:bottom w:val="single" w:sz="8" w:space="0" w:color="B5DDDC"/>
              <w:right w:val="single" w:sz="8" w:space="0" w:color="B5DDDC"/>
            </w:tcBorders>
            <w:shd w:val="clear" w:color="000000" w:fill="70AD47"/>
            <w:vAlign w:val="center"/>
            <w:hideMark/>
          </w:tcPr>
          <w:p w14:paraId="54FBDB22" w14:textId="77777777" w:rsidR="00823F91" w:rsidRPr="00595884" w:rsidRDefault="00274BC6" w:rsidP="003C0A46">
            <w:pPr>
              <w:spacing w:before="0" w:after="0" w:line="240" w:lineRule="auto"/>
              <w:jc w:val="center"/>
              <w:rPr>
                <w:rFonts w:ascii="Calibri" w:hAnsi="Calibri" w:cs="Calibri"/>
                <w:b/>
                <w:bCs/>
                <w:color w:val="FFFFFF" w:themeColor="background1"/>
                <w:sz w:val="16"/>
                <w:szCs w:val="16"/>
              </w:rPr>
            </w:pPr>
            <w:r w:rsidRPr="00595884">
              <w:rPr>
                <w:rFonts w:ascii="Calibri" w:hAnsi="Calibri" w:cs="Calibri"/>
                <w:b/>
                <w:bCs/>
                <w:color w:val="FFFFFF" w:themeColor="background1"/>
                <w:sz w:val="16"/>
                <w:szCs w:val="16"/>
              </w:rPr>
              <w:t>++</w:t>
            </w:r>
          </w:p>
        </w:tc>
        <w:tc>
          <w:tcPr>
            <w:tcW w:w="571" w:type="pct"/>
            <w:tcBorders>
              <w:top w:val="nil"/>
              <w:left w:val="nil"/>
              <w:bottom w:val="single" w:sz="8" w:space="0" w:color="B5DDDC"/>
              <w:right w:val="single" w:sz="8" w:space="0" w:color="B5DDDC"/>
            </w:tcBorders>
            <w:shd w:val="clear" w:color="auto" w:fill="F2DBDB"/>
            <w:vAlign w:val="center"/>
            <w:hideMark/>
          </w:tcPr>
          <w:p w14:paraId="5D128A08" w14:textId="77777777" w:rsidR="00823F91" w:rsidRPr="00595884" w:rsidRDefault="00274BC6" w:rsidP="003C0A46">
            <w:pPr>
              <w:spacing w:before="0" w:after="0" w:line="240" w:lineRule="auto"/>
              <w:jc w:val="center"/>
              <w:rPr>
                <w:rFonts w:ascii="Calibri" w:hAnsi="Calibri" w:cs="Calibri"/>
                <w:b/>
                <w:bCs/>
                <w:sz w:val="16"/>
                <w:szCs w:val="16"/>
              </w:rPr>
            </w:pPr>
            <w:r w:rsidRPr="00595884">
              <w:rPr>
                <w:rFonts w:ascii="Calibri" w:hAnsi="Calibri" w:cs="Calibri"/>
                <w:b/>
                <w:bCs/>
                <w:sz w:val="16"/>
                <w:szCs w:val="16"/>
              </w:rPr>
              <w:t>-</w:t>
            </w:r>
          </w:p>
        </w:tc>
      </w:tr>
      <w:tr w:rsidR="004254E5" w14:paraId="679ED1A8" w14:textId="77777777" w:rsidTr="00E735E8">
        <w:trPr>
          <w:trHeight w:val="420"/>
        </w:trPr>
        <w:tc>
          <w:tcPr>
            <w:tcW w:w="248" w:type="pct"/>
            <w:tcBorders>
              <w:top w:val="nil"/>
              <w:left w:val="single" w:sz="8" w:space="0" w:color="B5DDDC"/>
              <w:bottom w:val="single" w:sz="8" w:space="0" w:color="B5DDDC"/>
              <w:right w:val="single" w:sz="8" w:space="0" w:color="B5DDDC"/>
            </w:tcBorders>
            <w:vAlign w:val="center"/>
            <w:hideMark/>
          </w:tcPr>
          <w:p w14:paraId="3FC0F872" w14:textId="77777777" w:rsidR="00823F91" w:rsidRPr="00595884" w:rsidRDefault="00274BC6" w:rsidP="003C0A46">
            <w:pPr>
              <w:spacing w:before="0" w:after="0" w:line="240" w:lineRule="auto"/>
              <w:jc w:val="center"/>
              <w:rPr>
                <w:rFonts w:ascii="Calibri" w:hAnsi="Calibri" w:cs="Calibri"/>
                <w:b/>
                <w:bCs/>
                <w:sz w:val="16"/>
                <w:szCs w:val="16"/>
              </w:rPr>
            </w:pPr>
            <w:r w:rsidRPr="00595884">
              <w:rPr>
                <w:rFonts w:ascii="Calibri" w:hAnsi="Calibri" w:cs="Calibri"/>
                <w:b/>
                <w:bCs/>
                <w:sz w:val="16"/>
                <w:szCs w:val="16"/>
              </w:rPr>
              <w:t>6</w:t>
            </w:r>
          </w:p>
        </w:tc>
        <w:tc>
          <w:tcPr>
            <w:tcW w:w="1325" w:type="pct"/>
            <w:tcBorders>
              <w:top w:val="nil"/>
              <w:left w:val="nil"/>
              <w:bottom w:val="single" w:sz="8" w:space="0" w:color="B5DDDC"/>
              <w:right w:val="single" w:sz="8" w:space="0" w:color="B5DDDC"/>
            </w:tcBorders>
            <w:vAlign w:val="center"/>
            <w:hideMark/>
          </w:tcPr>
          <w:p w14:paraId="6908017B" w14:textId="77777777" w:rsidR="00823F91" w:rsidRPr="00595884" w:rsidRDefault="00274BC6" w:rsidP="003C0A46">
            <w:pPr>
              <w:spacing w:before="0" w:after="0" w:line="240" w:lineRule="auto"/>
              <w:rPr>
                <w:rFonts w:ascii="Calibri" w:hAnsi="Calibri" w:cs="Calibri"/>
                <w:sz w:val="16"/>
                <w:szCs w:val="16"/>
              </w:rPr>
            </w:pPr>
            <w:r w:rsidRPr="00595884">
              <w:rPr>
                <w:rFonts w:ascii="Calibri" w:hAnsi="Calibri" w:cs="Calibri"/>
                <w:sz w:val="16"/>
                <w:szCs w:val="16"/>
              </w:rPr>
              <w:t>Has the relationship between researcher and participants been adequately considered?</w:t>
            </w:r>
          </w:p>
        </w:tc>
        <w:tc>
          <w:tcPr>
            <w:tcW w:w="571" w:type="pct"/>
            <w:tcBorders>
              <w:top w:val="nil"/>
              <w:left w:val="nil"/>
              <w:bottom w:val="single" w:sz="8" w:space="0" w:color="B5DDDC"/>
              <w:right w:val="single" w:sz="8" w:space="0" w:color="B5DDDC"/>
            </w:tcBorders>
            <w:vAlign w:val="center"/>
            <w:hideMark/>
          </w:tcPr>
          <w:p w14:paraId="732DC43E" w14:textId="77777777" w:rsidR="00823F91" w:rsidRPr="00595884" w:rsidRDefault="00274BC6" w:rsidP="003C0A46">
            <w:pPr>
              <w:spacing w:before="0" w:after="0" w:line="240" w:lineRule="auto"/>
              <w:jc w:val="center"/>
              <w:rPr>
                <w:rFonts w:ascii="Calibri" w:hAnsi="Calibri" w:cs="Calibri"/>
                <w:sz w:val="16"/>
                <w:szCs w:val="16"/>
              </w:rPr>
            </w:pPr>
            <w:r w:rsidRPr="00595884">
              <w:rPr>
                <w:rFonts w:ascii="Calibri" w:hAnsi="Calibri" w:cs="Calibri"/>
                <w:sz w:val="16"/>
                <w:szCs w:val="16"/>
              </w:rPr>
              <w:t>n/a</w:t>
            </w:r>
          </w:p>
        </w:tc>
        <w:tc>
          <w:tcPr>
            <w:tcW w:w="571" w:type="pct"/>
            <w:tcBorders>
              <w:top w:val="nil"/>
              <w:left w:val="nil"/>
              <w:bottom w:val="single" w:sz="8" w:space="0" w:color="B5DDDC"/>
              <w:right w:val="single" w:sz="8" w:space="0" w:color="B5DDDC"/>
            </w:tcBorders>
            <w:vAlign w:val="center"/>
            <w:hideMark/>
          </w:tcPr>
          <w:p w14:paraId="3DCE6254" w14:textId="77777777" w:rsidR="00823F91" w:rsidRPr="00595884" w:rsidRDefault="00274BC6" w:rsidP="003C0A46">
            <w:pPr>
              <w:spacing w:before="0" w:after="0" w:line="240" w:lineRule="auto"/>
              <w:jc w:val="center"/>
              <w:rPr>
                <w:rFonts w:ascii="Calibri" w:hAnsi="Calibri" w:cs="Calibri"/>
                <w:sz w:val="16"/>
                <w:szCs w:val="16"/>
              </w:rPr>
            </w:pPr>
            <w:r w:rsidRPr="00595884">
              <w:rPr>
                <w:rFonts w:ascii="Calibri" w:hAnsi="Calibri" w:cs="Calibri"/>
                <w:sz w:val="16"/>
                <w:szCs w:val="16"/>
              </w:rPr>
              <w:t>n/a</w:t>
            </w:r>
          </w:p>
        </w:tc>
        <w:tc>
          <w:tcPr>
            <w:tcW w:w="571" w:type="pct"/>
            <w:tcBorders>
              <w:top w:val="nil"/>
              <w:left w:val="nil"/>
              <w:bottom w:val="single" w:sz="8" w:space="0" w:color="B5DDDC"/>
              <w:right w:val="single" w:sz="8" w:space="0" w:color="B5DDDC"/>
            </w:tcBorders>
            <w:vAlign w:val="center"/>
            <w:hideMark/>
          </w:tcPr>
          <w:p w14:paraId="319F0842" w14:textId="77777777" w:rsidR="00823F91" w:rsidRPr="00595884" w:rsidRDefault="00274BC6" w:rsidP="003C0A46">
            <w:pPr>
              <w:spacing w:before="0" w:after="0" w:line="240" w:lineRule="auto"/>
              <w:jc w:val="center"/>
              <w:rPr>
                <w:rFonts w:ascii="Calibri" w:hAnsi="Calibri" w:cs="Calibri"/>
                <w:sz w:val="16"/>
                <w:szCs w:val="16"/>
              </w:rPr>
            </w:pPr>
            <w:r w:rsidRPr="00595884">
              <w:rPr>
                <w:rFonts w:ascii="Calibri" w:hAnsi="Calibri" w:cs="Calibri"/>
                <w:sz w:val="16"/>
                <w:szCs w:val="16"/>
              </w:rPr>
              <w:t>n/a</w:t>
            </w:r>
          </w:p>
        </w:tc>
        <w:tc>
          <w:tcPr>
            <w:tcW w:w="571" w:type="pct"/>
            <w:tcBorders>
              <w:top w:val="nil"/>
              <w:left w:val="nil"/>
              <w:bottom w:val="single" w:sz="8" w:space="0" w:color="B5DDDC"/>
              <w:right w:val="single" w:sz="8" w:space="0" w:color="B5DDDC"/>
            </w:tcBorders>
            <w:vAlign w:val="center"/>
            <w:hideMark/>
          </w:tcPr>
          <w:p w14:paraId="3D0C9A5A" w14:textId="77777777" w:rsidR="00823F91" w:rsidRPr="00595884" w:rsidRDefault="00274BC6" w:rsidP="003C0A46">
            <w:pPr>
              <w:spacing w:before="0" w:after="0" w:line="240" w:lineRule="auto"/>
              <w:jc w:val="center"/>
              <w:rPr>
                <w:rFonts w:ascii="Calibri" w:hAnsi="Calibri" w:cs="Calibri"/>
                <w:sz w:val="16"/>
                <w:szCs w:val="16"/>
              </w:rPr>
            </w:pPr>
            <w:r w:rsidRPr="00595884">
              <w:rPr>
                <w:rFonts w:ascii="Calibri" w:hAnsi="Calibri" w:cs="Calibri"/>
                <w:sz w:val="16"/>
                <w:szCs w:val="16"/>
              </w:rPr>
              <w:t>n/a</w:t>
            </w:r>
          </w:p>
        </w:tc>
        <w:tc>
          <w:tcPr>
            <w:tcW w:w="571" w:type="pct"/>
            <w:tcBorders>
              <w:top w:val="nil"/>
              <w:left w:val="nil"/>
              <w:bottom w:val="single" w:sz="8" w:space="0" w:color="B5DDDC"/>
              <w:right w:val="single" w:sz="8" w:space="0" w:color="B5DDDC"/>
            </w:tcBorders>
            <w:vAlign w:val="center"/>
            <w:hideMark/>
          </w:tcPr>
          <w:p w14:paraId="278A4863" w14:textId="77777777" w:rsidR="00823F91" w:rsidRPr="00595884" w:rsidRDefault="00274BC6" w:rsidP="003C0A46">
            <w:pPr>
              <w:spacing w:before="0" w:after="0" w:line="240" w:lineRule="auto"/>
              <w:jc w:val="center"/>
              <w:rPr>
                <w:rFonts w:ascii="Calibri" w:hAnsi="Calibri" w:cs="Calibri"/>
                <w:sz w:val="16"/>
                <w:szCs w:val="16"/>
              </w:rPr>
            </w:pPr>
            <w:r w:rsidRPr="00595884">
              <w:rPr>
                <w:rFonts w:ascii="Calibri" w:hAnsi="Calibri" w:cs="Calibri"/>
                <w:sz w:val="16"/>
                <w:szCs w:val="16"/>
              </w:rPr>
              <w:t>n/a</w:t>
            </w:r>
          </w:p>
        </w:tc>
        <w:tc>
          <w:tcPr>
            <w:tcW w:w="571" w:type="pct"/>
            <w:tcBorders>
              <w:top w:val="nil"/>
              <w:left w:val="nil"/>
              <w:bottom w:val="single" w:sz="8" w:space="0" w:color="B5DDDC"/>
              <w:right w:val="single" w:sz="8" w:space="0" w:color="B5DDDC"/>
            </w:tcBorders>
            <w:vAlign w:val="center"/>
            <w:hideMark/>
          </w:tcPr>
          <w:p w14:paraId="7F07C1B2" w14:textId="77777777" w:rsidR="00823F91" w:rsidRPr="00595884" w:rsidRDefault="00274BC6" w:rsidP="003C0A46">
            <w:pPr>
              <w:spacing w:before="0" w:after="0" w:line="240" w:lineRule="auto"/>
              <w:jc w:val="center"/>
              <w:rPr>
                <w:rFonts w:ascii="Calibri" w:hAnsi="Calibri" w:cs="Calibri"/>
                <w:sz w:val="16"/>
                <w:szCs w:val="16"/>
              </w:rPr>
            </w:pPr>
            <w:r w:rsidRPr="00595884">
              <w:rPr>
                <w:rFonts w:ascii="Calibri" w:hAnsi="Calibri" w:cs="Calibri"/>
                <w:sz w:val="16"/>
                <w:szCs w:val="16"/>
              </w:rPr>
              <w:t>n/a</w:t>
            </w:r>
          </w:p>
        </w:tc>
      </w:tr>
      <w:tr w:rsidR="005B6ACD" w14:paraId="3934AD51" w14:textId="77777777" w:rsidTr="00E735E8">
        <w:trPr>
          <w:trHeight w:val="300"/>
        </w:trPr>
        <w:tc>
          <w:tcPr>
            <w:tcW w:w="248" w:type="pct"/>
            <w:tcBorders>
              <w:top w:val="nil"/>
              <w:left w:val="single" w:sz="8" w:space="0" w:color="B5DDDC"/>
              <w:bottom w:val="single" w:sz="8" w:space="0" w:color="B5DDDC"/>
              <w:right w:val="single" w:sz="8" w:space="0" w:color="B5DDDC"/>
            </w:tcBorders>
            <w:shd w:val="clear" w:color="000000" w:fill="D6EAEB"/>
            <w:vAlign w:val="center"/>
            <w:hideMark/>
          </w:tcPr>
          <w:p w14:paraId="52DE0DF2" w14:textId="77777777" w:rsidR="00823F91" w:rsidRPr="00595884" w:rsidRDefault="00274BC6" w:rsidP="003C0A46">
            <w:pPr>
              <w:spacing w:before="0" w:after="0" w:line="240" w:lineRule="auto"/>
              <w:jc w:val="center"/>
              <w:rPr>
                <w:rFonts w:ascii="Calibri" w:hAnsi="Calibri" w:cs="Calibri"/>
                <w:b/>
                <w:bCs/>
                <w:color w:val="000000"/>
                <w:sz w:val="16"/>
                <w:szCs w:val="16"/>
              </w:rPr>
            </w:pPr>
            <w:r w:rsidRPr="00595884">
              <w:rPr>
                <w:rFonts w:ascii="Calibri" w:hAnsi="Calibri" w:cs="Calibri"/>
                <w:b/>
                <w:bCs/>
                <w:color w:val="000000"/>
                <w:sz w:val="16"/>
                <w:szCs w:val="16"/>
              </w:rPr>
              <w:t> </w:t>
            </w:r>
          </w:p>
        </w:tc>
        <w:tc>
          <w:tcPr>
            <w:tcW w:w="1325" w:type="pct"/>
            <w:tcBorders>
              <w:top w:val="nil"/>
              <w:left w:val="nil"/>
              <w:bottom w:val="single" w:sz="8" w:space="0" w:color="B5DDDC"/>
              <w:right w:val="single" w:sz="8" w:space="0" w:color="B5DDDC"/>
            </w:tcBorders>
            <w:shd w:val="clear" w:color="000000" w:fill="D6EAEB"/>
            <w:vAlign w:val="center"/>
            <w:hideMark/>
          </w:tcPr>
          <w:p w14:paraId="2BC9D6AE" w14:textId="77777777" w:rsidR="00823F91" w:rsidRPr="00595884" w:rsidRDefault="00274BC6" w:rsidP="003C0A46">
            <w:pPr>
              <w:spacing w:before="0" w:after="0" w:line="240" w:lineRule="auto"/>
              <w:rPr>
                <w:rFonts w:ascii="Calibri" w:hAnsi="Calibri" w:cs="Calibri"/>
                <w:b/>
                <w:bCs/>
                <w:color w:val="000000"/>
                <w:sz w:val="16"/>
                <w:szCs w:val="16"/>
              </w:rPr>
            </w:pPr>
            <w:r w:rsidRPr="00595884">
              <w:rPr>
                <w:rFonts w:ascii="Calibri" w:hAnsi="Calibri" w:cs="Calibri"/>
                <w:b/>
                <w:bCs/>
                <w:color w:val="000000"/>
                <w:sz w:val="16"/>
                <w:szCs w:val="16"/>
              </w:rPr>
              <w:t>Section B: What are the results?</w:t>
            </w:r>
          </w:p>
        </w:tc>
        <w:tc>
          <w:tcPr>
            <w:tcW w:w="571" w:type="pct"/>
            <w:tcBorders>
              <w:top w:val="nil"/>
              <w:left w:val="nil"/>
              <w:bottom w:val="single" w:sz="8" w:space="0" w:color="B5DDDC"/>
              <w:right w:val="single" w:sz="8" w:space="0" w:color="B5DDDC"/>
            </w:tcBorders>
            <w:shd w:val="clear" w:color="000000" w:fill="D6EAEB"/>
            <w:vAlign w:val="center"/>
            <w:hideMark/>
          </w:tcPr>
          <w:p w14:paraId="793D9BE9" w14:textId="77777777" w:rsidR="00823F91" w:rsidRPr="00595884" w:rsidRDefault="00274BC6" w:rsidP="003C0A46">
            <w:pPr>
              <w:spacing w:before="0" w:after="0" w:line="240" w:lineRule="auto"/>
              <w:jc w:val="center"/>
              <w:rPr>
                <w:rFonts w:ascii="Calibri" w:hAnsi="Calibri" w:cs="Calibri"/>
                <w:b/>
                <w:bCs/>
                <w:color w:val="000000"/>
                <w:sz w:val="16"/>
                <w:szCs w:val="16"/>
              </w:rPr>
            </w:pPr>
            <w:r w:rsidRPr="00595884">
              <w:rPr>
                <w:rFonts w:ascii="Calibri" w:hAnsi="Calibri" w:cs="Calibri"/>
                <w:b/>
                <w:bCs/>
                <w:color w:val="000000"/>
                <w:sz w:val="16"/>
                <w:szCs w:val="16"/>
              </w:rPr>
              <w:t> </w:t>
            </w:r>
          </w:p>
        </w:tc>
        <w:tc>
          <w:tcPr>
            <w:tcW w:w="571" w:type="pct"/>
            <w:tcBorders>
              <w:top w:val="nil"/>
              <w:left w:val="nil"/>
              <w:bottom w:val="single" w:sz="8" w:space="0" w:color="B5DDDC"/>
              <w:right w:val="single" w:sz="8" w:space="0" w:color="B5DDDC"/>
            </w:tcBorders>
            <w:shd w:val="clear" w:color="000000" w:fill="D6EAEB"/>
            <w:vAlign w:val="center"/>
            <w:hideMark/>
          </w:tcPr>
          <w:p w14:paraId="4B933D85" w14:textId="77777777" w:rsidR="00823F91" w:rsidRPr="00595884" w:rsidRDefault="00274BC6" w:rsidP="003C0A46">
            <w:pPr>
              <w:spacing w:before="0" w:after="0" w:line="240" w:lineRule="auto"/>
              <w:jc w:val="center"/>
              <w:rPr>
                <w:rFonts w:ascii="Calibri" w:hAnsi="Calibri" w:cs="Calibri"/>
                <w:b/>
                <w:bCs/>
                <w:color w:val="000000"/>
                <w:sz w:val="16"/>
                <w:szCs w:val="16"/>
              </w:rPr>
            </w:pPr>
            <w:r w:rsidRPr="00595884">
              <w:rPr>
                <w:rFonts w:ascii="Calibri" w:hAnsi="Calibri" w:cs="Calibri"/>
                <w:b/>
                <w:bCs/>
                <w:color w:val="000000"/>
                <w:sz w:val="16"/>
                <w:szCs w:val="16"/>
              </w:rPr>
              <w:t> </w:t>
            </w:r>
          </w:p>
        </w:tc>
        <w:tc>
          <w:tcPr>
            <w:tcW w:w="571" w:type="pct"/>
            <w:tcBorders>
              <w:top w:val="nil"/>
              <w:left w:val="nil"/>
              <w:bottom w:val="single" w:sz="8" w:space="0" w:color="B5DDDC"/>
              <w:right w:val="single" w:sz="8" w:space="0" w:color="B5DDDC"/>
            </w:tcBorders>
            <w:shd w:val="clear" w:color="000000" w:fill="D6EAEB"/>
            <w:vAlign w:val="center"/>
            <w:hideMark/>
          </w:tcPr>
          <w:p w14:paraId="6AABE52A" w14:textId="77777777" w:rsidR="00823F91" w:rsidRPr="00595884" w:rsidRDefault="00274BC6" w:rsidP="003C0A46">
            <w:pPr>
              <w:spacing w:before="0" w:after="0" w:line="240" w:lineRule="auto"/>
              <w:jc w:val="center"/>
              <w:rPr>
                <w:rFonts w:ascii="Calibri" w:hAnsi="Calibri" w:cs="Calibri"/>
                <w:b/>
                <w:bCs/>
                <w:color w:val="000000"/>
                <w:sz w:val="16"/>
                <w:szCs w:val="16"/>
              </w:rPr>
            </w:pPr>
            <w:r w:rsidRPr="00595884">
              <w:rPr>
                <w:rFonts w:ascii="Calibri" w:hAnsi="Calibri" w:cs="Calibri"/>
                <w:b/>
                <w:bCs/>
                <w:color w:val="000000"/>
                <w:sz w:val="16"/>
                <w:szCs w:val="16"/>
              </w:rPr>
              <w:t> </w:t>
            </w:r>
          </w:p>
        </w:tc>
        <w:tc>
          <w:tcPr>
            <w:tcW w:w="571" w:type="pct"/>
            <w:tcBorders>
              <w:top w:val="nil"/>
              <w:left w:val="nil"/>
              <w:bottom w:val="single" w:sz="8" w:space="0" w:color="B5DDDC"/>
              <w:right w:val="single" w:sz="8" w:space="0" w:color="B5DDDC"/>
            </w:tcBorders>
            <w:shd w:val="clear" w:color="000000" w:fill="D6EAEB"/>
            <w:vAlign w:val="center"/>
            <w:hideMark/>
          </w:tcPr>
          <w:p w14:paraId="5F8371E5" w14:textId="77777777" w:rsidR="00823F91" w:rsidRPr="00595884" w:rsidRDefault="00274BC6" w:rsidP="003C0A46">
            <w:pPr>
              <w:spacing w:before="0" w:after="0" w:line="240" w:lineRule="auto"/>
              <w:jc w:val="center"/>
              <w:rPr>
                <w:rFonts w:ascii="Calibri" w:hAnsi="Calibri" w:cs="Calibri"/>
                <w:b/>
                <w:bCs/>
                <w:color w:val="000000"/>
                <w:sz w:val="16"/>
                <w:szCs w:val="16"/>
              </w:rPr>
            </w:pPr>
            <w:r w:rsidRPr="00595884">
              <w:rPr>
                <w:rFonts w:ascii="Calibri" w:hAnsi="Calibri" w:cs="Calibri"/>
                <w:b/>
                <w:bCs/>
                <w:color w:val="000000"/>
                <w:sz w:val="16"/>
                <w:szCs w:val="16"/>
              </w:rPr>
              <w:t> </w:t>
            </w:r>
          </w:p>
        </w:tc>
        <w:tc>
          <w:tcPr>
            <w:tcW w:w="571" w:type="pct"/>
            <w:tcBorders>
              <w:top w:val="nil"/>
              <w:left w:val="nil"/>
              <w:bottom w:val="single" w:sz="8" w:space="0" w:color="B5DDDC"/>
              <w:right w:val="single" w:sz="8" w:space="0" w:color="B5DDDC"/>
            </w:tcBorders>
            <w:shd w:val="clear" w:color="000000" w:fill="D6EAEB"/>
            <w:vAlign w:val="center"/>
            <w:hideMark/>
          </w:tcPr>
          <w:p w14:paraId="50B53EC6" w14:textId="77777777" w:rsidR="00823F91" w:rsidRPr="00595884" w:rsidRDefault="00274BC6" w:rsidP="003C0A46">
            <w:pPr>
              <w:spacing w:before="0" w:after="0" w:line="240" w:lineRule="auto"/>
              <w:jc w:val="center"/>
              <w:rPr>
                <w:rFonts w:ascii="Calibri" w:hAnsi="Calibri" w:cs="Calibri"/>
                <w:b/>
                <w:bCs/>
                <w:color w:val="000000"/>
                <w:sz w:val="16"/>
                <w:szCs w:val="16"/>
              </w:rPr>
            </w:pPr>
            <w:r w:rsidRPr="00595884">
              <w:rPr>
                <w:rFonts w:ascii="Calibri" w:hAnsi="Calibri" w:cs="Calibri"/>
                <w:b/>
                <w:bCs/>
                <w:color w:val="000000"/>
                <w:sz w:val="16"/>
                <w:szCs w:val="16"/>
              </w:rPr>
              <w:t> </w:t>
            </w:r>
          </w:p>
        </w:tc>
        <w:tc>
          <w:tcPr>
            <w:tcW w:w="571" w:type="pct"/>
            <w:tcBorders>
              <w:top w:val="nil"/>
              <w:left w:val="nil"/>
              <w:bottom w:val="single" w:sz="8" w:space="0" w:color="B5DDDC"/>
              <w:right w:val="single" w:sz="8" w:space="0" w:color="B5DDDC"/>
            </w:tcBorders>
            <w:shd w:val="clear" w:color="000000" w:fill="D6EAEB"/>
            <w:vAlign w:val="center"/>
            <w:hideMark/>
          </w:tcPr>
          <w:p w14:paraId="543610F0" w14:textId="77777777" w:rsidR="00823F91" w:rsidRPr="00595884" w:rsidRDefault="00274BC6" w:rsidP="003C0A46">
            <w:pPr>
              <w:spacing w:before="0" w:after="0" w:line="240" w:lineRule="auto"/>
              <w:jc w:val="center"/>
              <w:rPr>
                <w:rFonts w:ascii="Calibri" w:hAnsi="Calibri" w:cs="Calibri"/>
                <w:b/>
                <w:bCs/>
                <w:color w:val="000000"/>
                <w:sz w:val="16"/>
                <w:szCs w:val="16"/>
              </w:rPr>
            </w:pPr>
            <w:r w:rsidRPr="00595884">
              <w:rPr>
                <w:rFonts w:ascii="Calibri" w:hAnsi="Calibri" w:cs="Calibri"/>
                <w:b/>
                <w:bCs/>
                <w:color w:val="000000"/>
                <w:sz w:val="16"/>
                <w:szCs w:val="16"/>
              </w:rPr>
              <w:t> </w:t>
            </w:r>
          </w:p>
        </w:tc>
      </w:tr>
      <w:tr w:rsidR="004254E5" w14:paraId="14C91B11" w14:textId="77777777" w:rsidTr="00E735E8">
        <w:trPr>
          <w:trHeight w:val="300"/>
        </w:trPr>
        <w:tc>
          <w:tcPr>
            <w:tcW w:w="248" w:type="pct"/>
            <w:tcBorders>
              <w:top w:val="nil"/>
              <w:left w:val="single" w:sz="8" w:space="0" w:color="B5DDDC"/>
              <w:bottom w:val="single" w:sz="8" w:space="0" w:color="B5DDDC"/>
              <w:right w:val="single" w:sz="8" w:space="0" w:color="B5DDDC"/>
            </w:tcBorders>
            <w:vAlign w:val="center"/>
            <w:hideMark/>
          </w:tcPr>
          <w:p w14:paraId="34E9C602" w14:textId="77777777" w:rsidR="00823F91" w:rsidRPr="00595884" w:rsidRDefault="00274BC6" w:rsidP="003C0A46">
            <w:pPr>
              <w:spacing w:before="0" w:after="0" w:line="240" w:lineRule="auto"/>
              <w:jc w:val="center"/>
              <w:rPr>
                <w:rFonts w:ascii="Calibri" w:hAnsi="Calibri" w:cs="Calibri"/>
                <w:b/>
                <w:bCs/>
                <w:sz w:val="16"/>
                <w:szCs w:val="16"/>
              </w:rPr>
            </w:pPr>
            <w:r w:rsidRPr="00595884">
              <w:rPr>
                <w:rFonts w:ascii="Calibri" w:hAnsi="Calibri" w:cs="Calibri"/>
                <w:b/>
                <w:bCs/>
                <w:sz w:val="16"/>
                <w:szCs w:val="16"/>
              </w:rPr>
              <w:t>7</w:t>
            </w:r>
          </w:p>
        </w:tc>
        <w:tc>
          <w:tcPr>
            <w:tcW w:w="1325" w:type="pct"/>
            <w:tcBorders>
              <w:top w:val="nil"/>
              <w:left w:val="nil"/>
              <w:bottom w:val="single" w:sz="8" w:space="0" w:color="B5DDDC"/>
              <w:right w:val="single" w:sz="8" w:space="0" w:color="B5DDDC"/>
            </w:tcBorders>
            <w:vAlign w:val="center"/>
            <w:hideMark/>
          </w:tcPr>
          <w:p w14:paraId="075DFC71" w14:textId="77777777" w:rsidR="00823F91" w:rsidRPr="00595884" w:rsidRDefault="00274BC6" w:rsidP="003C0A46">
            <w:pPr>
              <w:spacing w:before="0" w:after="0" w:line="240" w:lineRule="auto"/>
              <w:rPr>
                <w:rFonts w:ascii="Calibri" w:hAnsi="Calibri" w:cs="Calibri"/>
                <w:sz w:val="16"/>
                <w:szCs w:val="16"/>
              </w:rPr>
            </w:pPr>
            <w:r w:rsidRPr="00595884">
              <w:rPr>
                <w:rFonts w:ascii="Calibri" w:hAnsi="Calibri" w:cs="Calibri"/>
                <w:sz w:val="16"/>
                <w:szCs w:val="16"/>
              </w:rPr>
              <w:t>Have ethical issues been taken into consideration?</w:t>
            </w:r>
          </w:p>
        </w:tc>
        <w:tc>
          <w:tcPr>
            <w:tcW w:w="571" w:type="pct"/>
            <w:tcBorders>
              <w:top w:val="nil"/>
              <w:left w:val="nil"/>
              <w:bottom w:val="single" w:sz="8" w:space="0" w:color="B5DDDC"/>
              <w:right w:val="single" w:sz="8" w:space="0" w:color="B5DDDC"/>
            </w:tcBorders>
            <w:vAlign w:val="center"/>
            <w:hideMark/>
          </w:tcPr>
          <w:p w14:paraId="3BAA39FE" w14:textId="77777777" w:rsidR="00823F91" w:rsidRPr="00595884" w:rsidRDefault="00274BC6" w:rsidP="003C0A46">
            <w:pPr>
              <w:spacing w:before="0" w:after="0" w:line="240" w:lineRule="auto"/>
              <w:jc w:val="center"/>
              <w:rPr>
                <w:rFonts w:ascii="Calibri" w:hAnsi="Calibri" w:cs="Calibri"/>
                <w:sz w:val="16"/>
                <w:szCs w:val="16"/>
              </w:rPr>
            </w:pPr>
            <w:r w:rsidRPr="00595884">
              <w:rPr>
                <w:rFonts w:ascii="Calibri" w:hAnsi="Calibri" w:cs="Calibri"/>
                <w:sz w:val="16"/>
                <w:szCs w:val="16"/>
              </w:rPr>
              <w:t>n/a</w:t>
            </w:r>
          </w:p>
        </w:tc>
        <w:tc>
          <w:tcPr>
            <w:tcW w:w="571" w:type="pct"/>
            <w:tcBorders>
              <w:top w:val="nil"/>
              <w:left w:val="nil"/>
              <w:bottom w:val="single" w:sz="8" w:space="0" w:color="B5DDDC"/>
              <w:right w:val="single" w:sz="8" w:space="0" w:color="B5DDDC"/>
            </w:tcBorders>
            <w:vAlign w:val="center"/>
            <w:hideMark/>
          </w:tcPr>
          <w:p w14:paraId="0C7F8EEE" w14:textId="77777777" w:rsidR="00823F91" w:rsidRPr="00595884" w:rsidRDefault="00274BC6" w:rsidP="003C0A46">
            <w:pPr>
              <w:spacing w:before="0" w:after="0" w:line="240" w:lineRule="auto"/>
              <w:jc w:val="center"/>
              <w:rPr>
                <w:rFonts w:ascii="Calibri" w:hAnsi="Calibri" w:cs="Calibri"/>
                <w:sz w:val="16"/>
                <w:szCs w:val="16"/>
              </w:rPr>
            </w:pPr>
            <w:r w:rsidRPr="00595884">
              <w:rPr>
                <w:rFonts w:ascii="Calibri" w:hAnsi="Calibri" w:cs="Calibri"/>
                <w:sz w:val="16"/>
                <w:szCs w:val="16"/>
              </w:rPr>
              <w:t>n/a</w:t>
            </w:r>
          </w:p>
        </w:tc>
        <w:tc>
          <w:tcPr>
            <w:tcW w:w="571" w:type="pct"/>
            <w:tcBorders>
              <w:top w:val="nil"/>
              <w:left w:val="nil"/>
              <w:bottom w:val="single" w:sz="8" w:space="0" w:color="B5DDDC"/>
              <w:right w:val="single" w:sz="8" w:space="0" w:color="B5DDDC"/>
            </w:tcBorders>
            <w:vAlign w:val="center"/>
            <w:hideMark/>
          </w:tcPr>
          <w:p w14:paraId="149B0925" w14:textId="77777777" w:rsidR="00823F91" w:rsidRPr="00595884" w:rsidRDefault="00274BC6" w:rsidP="003C0A46">
            <w:pPr>
              <w:spacing w:before="0" w:after="0" w:line="240" w:lineRule="auto"/>
              <w:jc w:val="center"/>
              <w:rPr>
                <w:rFonts w:ascii="Calibri" w:hAnsi="Calibri" w:cs="Calibri"/>
                <w:sz w:val="16"/>
                <w:szCs w:val="16"/>
              </w:rPr>
            </w:pPr>
            <w:r w:rsidRPr="00595884">
              <w:rPr>
                <w:rFonts w:ascii="Calibri" w:hAnsi="Calibri" w:cs="Calibri"/>
                <w:sz w:val="16"/>
                <w:szCs w:val="16"/>
              </w:rPr>
              <w:t>n/a</w:t>
            </w:r>
          </w:p>
        </w:tc>
        <w:tc>
          <w:tcPr>
            <w:tcW w:w="571" w:type="pct"/>
            <w:tcBorders>
              <w:top w:val="nil"/>
              <w:left w:val="nil"/>
              <w:bottom w:val="single" w:sz="8" w:space="0" w:color="B5DDDC"/>
              <w:right w:val="single" w:sz="8" w:space="0" w:color="B5DDDC"/>
            </w:tcBorders>
            <w:vAlign w:val="center"/>
            <w:hideMark/>
          </w:tcPr>
          <w:p w14:paraId="1ABA8B43" w14:textId="77777777" w:rsidR="00823F91" w:rsidRPr="00595884" w:rsidRDefault="00274BC6" w:rsidP="003C0A46">
            <w:pPr>
              <w:spacing w:before="0" w:after="0" w:line="240" w:lineRule="auto"/>
              <w:jc w:val="center"/>
              <w:rPr>
                <w:rFonts w:ascii="Calibri" w:hAnsi="Calibri" w:cs="Calibri"/>
                <w:sz w:val="16"/>
                <w:szCs w:val="16"/>
              </w:rPr>
            </w:pPr>
            <w:r w:rsidRPr="00595884">
              <w:rPr>
                <w:rFonts w:ascii="Calibri" w:hAnsi="Calibri" w:cs="Calibri"/>
                <w:sz w:val="16"/>
                <w:szCs w:val="16"/>
              </w:rPr>
              <w:t>n/a</w:t>
            </w:r>
          </w:p>
        </w:tc>
        <w:tc>
          <w:tcPr>
            <w:tcW w:w="571" w:type="pct"/>
            <w:tcBorders>
              <w:top w:val="nil"/>
              <w:left w:val="nil"/>
              <w:bottom w:val="single" w:sz="8" w:space="0" w:color="B5DDDC"/>
              <w:right w:val="single" w:sz="8" w:space="0" w:color="B5DDDC"/>
            </w:tcBorders>
            <w:vAlign w:val="center"/>
            <w:hideMark/>
          </w:tcPr>
          <w:p w14:paraId="017D5360" w14:textId="77777777" w:rsidR="00823F91" w:rsidRPr="00595884" w:rsidRDefault="00274BC6" w:rsidP="003C0A46">
            <w:pPr>
              <w:spacing w:before="0" w:after="0" w:line="240" w:lineRule="auto"/>
              <w:jc w:val="center"/>
              <w:rPr>
                <w:rFonts w:ascii="Calibri" w:hAnsi="Calibri" w:cs="Calibri"/>
                <w:sz w:val="16"/>
                <w:szCs w:val="16"/>
              </w:rPr>
            </w:pPr>
            <w:r w:rsidRPr="00595884">
              <w:rPr>
                <w:rFonts w:ascii="Calibri" w:hAnsi="Calibri" w:cs="Calibri"/>
                <w:sz w:val="16"/>
                <w:szCs w:val="16"/>
              </w:rPr>
              <w:t>n/a</w:t>
            </w:r>
          </w:p>
        </w:tc>
        <w:tc>
          <w:tcPr>
            <w:tcW w:w="571" w:type="pct"/>
            <w:tcBorders>
              <w:top w:val="nil"/>
              <w:left w:val="nil"/>
              <w:bottom w:val="single" w:sz="8" w:space="0" w:color="B5DDDC"/>
              <w:right w:val="single" w:sz="8" w:space="0" w:color="B5DDDC"/>
            </w:tcBorders>
            <w:vAlign w:val="center"/>
            <w:hideMark/>
          </w:tcPr>
          <w:p w14:paraId="3FF428AC" w14:textId="77777777" w:rsidR="00823F91" w:rsidRPr="00595884" w:rsidRDefault="00274BC6" w:rsidP="003C0A46">
            <w:pPr>
              <w:spacing w:before="0" w:after="0" w:line="240" w:lineRule="auto"/>
              <w:jc w:val="center"/>
              <w:rPr>
                <w:rFonts w:ascii="Calibri" w:hAnsi="Calibri" w:cs="Calibri"/>
                <w:sz w:val="16"/>
                <w:szCs w:val="16"/>
              </w:rPr>
            </w:pPr>
            <w:r w:rsidRPr="00595884">
              <w:rPr>
                <w:rFonts w:ascii="Calibri" w:hAnsi="Calibri" w:cs="Calibri"/>
                <w:sz w:val="16"/>
                <w:szCs w:val="16"/>
              </w:rPr>
              <w:t>n/a</w:t>
            </w:r>
          </w:p>
        </w:tc>
      </w:tr>
      <w:tr w:rsidR="005B6ACD" w14:paraId="50488066" w14:textId="77777777" w:rsidTr="00E735E8">
        <w:trPr>
          <w:trHeight w:val="300"/>
        </w:trPr>
        <w:tc>
          <w:tcPr>
            <w:tcW w:w="248" w:type="pct"/>
            <w:tcBorders>
              <w:top w:val="nil"/>
              <w:left w:val="single" w:sz="8" w:space="0" w:color="B5DDDC"/>
              <w:bottom w:val="single" w:sz="8" w:space="0" w:color="B5DDDC"/>
              <w:right w:val="single" w:sz="8" w:space="0" w:color="B5DDDC"/>
            </w:tcBorders>
            <w:vAlign w:val="center"/>
            <w:hideMark/>
          </w:tcPr>
          <w:p w14:paraId="02200C2F" w14:textId="77777777" w:rsidR="00823F91" w:rsidRPr="00595884" w:rsidRDefault="00274BC6" w:rsidP="003C0A46">
            <w:pPr>
              <w:spacing w:before="0" w:after="0" w:line="240" w:lineRule="auto"/>
              <w:jc w:val="center"/>
              <w:rPr>
                <w:rFonts w:ascii="Calibri" w:hAnsi="Calibri" w:cs="Calibri"/>
                <w:b/>
                <w:bCs/>
                <w:sz w:val="16"/>
                <w:szCs w:val="16"/>
              </w:rPr>
            </w:pPr>
            <w:r w:rsidRPr="00595884">
              <w:rPr>
                <w:rFonts w:ascii="Calibri" w:hAnsi="Calibri" w:cs="Calibri"/>
                <w:b/>
                <w:bCs/>
                <w:sz w:val="16"/>
                <w:szCs w:val="16"/>
              </w:rPr>
              <w:t>8</w:t>
            </w:r>
          </w:p>
        </w:tc>
        <w:tc>
          <w:tcPr>
            <w:tcW w:w="1325" w:type="pct"/>
            <w:tcBorders>
              <w:top w:val="single" w:sz="8" w:space="0" w:color="B5DDDC"/>
              <w:left w:val="nil"/>
              <w:bottom w:val="single" w:sz="8" w:space="0" w:color="B5DDDC"/>
              <w:right w:val="single" w:sz="8" w:space="0" w:color="B5DDDC"/>
            </w:tcBorders>
            <w:vAlign w:val="center"/>
            <w:hideMark/>
          </w:tcPr>
          <w:p w14:paraId="2280129C" w14:textId="77777777" w:rsidR="00823F91" w:rsidRPr="00595884" w:rsidRDefault="00274BC6" w:rsidP="003C0A46">
            <w:pPr>
              <w:spacing w:before="0" w:after="0" w:line="240" w:lineRule="auto"/>
              <w:rPr>
                <w:rFonts w:ascii="Calibri" w:hAnsi="Calibri" w:cs="Calibri"/>
                <w:sz w:val="16"/>
                <w:szCs w:val="16"/>
              </w:rPr>
            </w:pPr>
            <w:r w:rsidRPr="00595884">
              <w:rPr>
                <w:rFonts w:ascii="Calibri" w:hAnsi="Calibri" w:cs="Calibri"/>
                <w:sz w:val="16"/>
                <w:szCs w:val="16"/>
              </w:rPr>
              <w:t xml:space="preserve">Was the data analysis sufficiently rigorous? </w:t>
            </w:r>
          </w:p>
        </w:tc>
        <w:tc>
          <w:tcPr>
            <w:tcW w:w="571" w:type="pct"/>
            <w:tcBorders>
              <w:top w:val="nil"/>
              <w:left w:val="nil"/>
              <w:bottom w:val="single" w:sz="8" w:space="0" w:color="B5DDDC"/>
              <w:right w:val="single" w:sz="8" w:space="0" w:color="B5DDDC"/>
            </w:tcBorders>
            <w:shd w:val="clear" w:color="auto" w:fill="70AD47"/>
            <w:vAlign w:val="center"/>
            <w:hideMark/>
          </w:tcPr>
          <w:p w14:paraId="2656B29B" w14:textId="77777777" w:rsidR="00823F91" w:rsidRPr="00595884" w:rsidRDefault="00274BC6" w:rsidP="003C0A46">
            <w:pPr>
              <w:spacing w:before="0" w:after="0" w:line="240" w:lineRule="auto"/>
              <w:jc w:val="center"/>
              <w:rPr>
                <w:rFonts w:ascii="Calibri" w:hAnsi="Calibri" w:cs="Calibri"/>
                <w:b/>
                <w:bCs/>
                <w:color w:val="FFFFFF" w:themeColor="background1"/>
                <w:sz w:val="16"/>
                <w:szCs w:val="16"/>
              </w:rPr>
            </w:pPr>
            <w:r w:rsidRPr="00595884">
              <w:rPr>
                <w:rFonts w:ascii="Calibri" w:hAnsi="Calibri" w:cs="Calibri"/>
                <w:b/>
                <w:bCs/>
                <w:color w:val="FFFFFF" w:themeColor="background1"/>
                <w:sz w:val="16"/>
                <w:szCs w:val="16"/>
              </w:rPr>
              <w:t>++</w:t>
            </w:r>
          </w:p>
        </w:tc>
        <w:tc>
          <w:tcPr>
            <w:tcW w:w="571" w:type="pct"/>
            <w:tcBorders>
              <w:top w:val="nil"/>
              <w:left w:val="nil"/>
              <w:bottom w:val="single" w:sz="8" w:space="0" w:color="B5DDDC"/>
              <w:right w:val="single" w:sz="8" w:space="0" w:color="B5DDDC"/>
            </w:tcBorders>
            <w:shd w:val="clear" w:color="000000" w:fill="70AD47"/>
            <w:vAlign w:val="center"/>
            <w:hideMark/>
          </w:tcPr>
          <w:p w14:paraId="670EBD2C" w14:textId="77777777" w:rsidR="00823F91" w:rsidRPr="00595884" w:rsidRDefault="00274BC6" w:rsidP="003C0A46">
            <w:pPr>
              <w:spacing w:before="0" w:after="0" w:line="240" w:lineRule="auto"/>
              <w:jc w:val="center"/>
              <w:rPr>
                <w:rFonts w:ascii="Calibri" w:hAnsi="Calibri" w:cs="Calibri"/>
                <w:b/>
                <w:bCs/>
                <w:color w:val="FFFFFF" w:themeColor="background1"/>
                <w:sz w:val="16"/>
                <w:szCs w:val="16"/>
              </w:rPr>
            </w:pPr>
            <w:r w:rsidRPr="00595884">
              <w:rPr>
                <w:rFonts w:ascii="Calibri" w:hAnsi="Calibri" w:cs="Calibri"/>
                <w:b/>
                <w:bCs/>
                <w:color w:val="FFFFFF" w:themeColor="background1"/>
                <w:sz w:val="16"/>
                <w:szCs w:val="16"/>
              </w:rPr>
              <w:t>++</w:t>
            </w:r>
          </w:p>
        </w:tc>
        <w:tc>
          <w:tcPr>
            <w:tcW w:w="571" w:type="pct"/>
            <w:tcBorders>
              <w:top w:val="nil"/>
              <w:left w:val="nil"/>
              <w:bottom w:val="single" w:sz="8" w:space="0" w:color="B5DDDC"/>
              <w:right w:val="single" w:sz="8" w:space="0" w:color="B5DDDC"/>
            </w:tcBorders>
            <w:shd w:val="clear" w:color="000000" w:fill="70AD47"/>
            <w:vAlign w:val="center"/>
            <w:hideMark/>
          </w:tcPr>
          <w:p w14:paraId="3B7C2B29" w14:textId="77777777" w:rsidR="00823F91" w:rsidRPr="00595884" w:rsidRDefault="00274BC6" w:rsidP="003C0A46">
            <w:pPr>
              <w:spacing w:before="0" w:after="0" w:line="240" w:lineRule="auto"/>
              <w:jc w:val="center"/>
              <w:rPr>
                <w:rFonts w:ascii="Calibri" w:hAnsi="Calibri" w:cs="Calibri"/>
                <w:b/>
                <w:bCs/>
                <w:color w:val="FFFFFF" w:themeColor="background1"/>
                <w:sz w:val="16"/>
                <w:szCs w:val="16"/>
              </w:rPr>
            </w:pPr>
            <w:r w:rsidRPr="00595884">
              <w:rPr>
                <w:rFonts w:ascii="Calibri" w:hAnsi="Calibri" w:cs="Calibri"/>
                <w:b/>
                <w:bCs/>
                <w:color w:val="FFFFFF" w:themeColor="background1"/>
                <w:sz w:val="16"/>
                <w:szCs w:val="16"/>
              </w:rPr>
              <w:t>++</w:t>
            </w:r>
          </w:p>
        </w:tc>
        <w:tc>
          <w:tcPr>
            <w:tcW w:w="571" w:type="pct"/>
            <w:tcBorders>
              <w:top w:val="nil"/>
              <w:left w:val="nil"/>
              <w:bottom w:val="single" w:sz="8" w:space="0" w:color="B5DDDC"/>
              <w:right w:val="single" w:sz="8" w:space="0" w:color="B5DDDC"/>
            </w:tcBorders>
            <w:shd w:val="clear" w:color="auto" w:fill="C2D69B" w:themeFill="accent3" w:themeFillTint="99"/>
            <w:vAlign w:val="center"/>
            <w:hideMark/>
          </w:tcPr>
          <w:p w14:paraId="25908622" w14:textId="77777777" w:rsidR="00823F91" w:rsidRPr="00595884" w:rsidRDefault="00274BC6" w:rsidP="003C0A46">
            <w:pPr>
              <w:spacing w:before="0" w:after="0" w:line="240" w:lineRule="auto"/>
              <w:jc w:val="center"/>
              <w:rPr>
                <w:rFonts w:ascii="Calibri" w:hAnsi="Calibri" w:cs="Calibri"/>
                <w:b/>
                <w:bCs/>
                <w:sz w:val="16"/>
                <w:szCs w:val="16"/>
              </w:rPr>
            </w:pPr>
            <w:r w:rsidRPr="00595884">
              <w:rPr>
                <w:rFonts w:ascii="Calibri" w:hAnsi="Calibri" w:cs="Calibri"/>
                <w:b/>
                <w:bCs/>
                <w:sz w:val="16"/>
                <w:szCs w:val="16"/>
              </w:rPr>
              <w:t>+</w:t>
            </w:r>
          </w:p>
        </w:tc>
        <w:tc>
          <w:tcPr>
            <w:tcW w:w="571" w:type="pct"/>
            <w:tcBorders>
              <w:top w:val="nil"/>
              <w:left w:val="nil"/>
              <w:bottom w:val="single" w:sz="8" w:space="0" w:color="B5DDDC"/>
              <w:right w:val="single" w:sz="8" w:space="0" w:color="B5DDDC"/>
            </w:tcBorders>
            <w:shd w:val="clear" w:color="000000" w:fill="70AD47"/>
            <w:vAlign w:val="center"/>
            <w:hideMark/>
          </w:tcPr>
          <w:p w14:paraId="34768FB5" w14:textId="77777777" w:rsidR="00823F91" w:rsidRPr="00595884" w:rsidRDefault="00274BC6" w:rsidP="003C0A46">
            <w:pPr>
              <w:spacing w:before="0" w:after="0" w:line="240" w:lineRule="auto"/>
              <w:jc w:val="center"/>
              <w:rPr>
                <w:rFonts w:ascii="Calibri" w:hAnsi="Calibri" w:cs="Calibri"/>
                <w:b/>
                <w:bCs/>
                <w:color w:val="FFFFFF" w:themeColor="background1"/>
                <w:sz w:val="16"/>
                <w:szCs w:val="16"/>
              </w:rPr>
            </w:pPr>
            <w:r w:rsidRPr="00595884">
              <w:rPr>
                <w:rFonts w:ascii="Calibri" w:hAnsi="Calibri" w:cs="Calibri"/>
                <w:b/>
                <w:bCs/>
                <w:color w:val="FFFFFF" w:themeColor="background1"/>
                <w:sz w:val="16"/>
                <w:szCs w:val="16"/>
              </w:rPr>
              <w:t>++</w:t>
            </w:r>
          </w:p>
        </w:tc>
        <w:tc>
          <w:tcPr>
            <w:tcW w:w="571" w:type="pct"/>
            <w:tcBorders>
              <w:top w:val="nil"/>
              <w:left w:val="nil"/>
              <w:bottom w:val="single" w:sz="8" w:space="0" w:color="B5DDDC"/>
              <w:right w:val="single" w:sz="8" w:space="0" w:color="B5DDDC"/>
            </w:tcBorders>
            <w:shd w:val="clear" w:color="auto" w:fill="CC3300"/>
            <w:vAlign w:val="center"/>
            <w:hideMark/>
          </w:tcPr>
          <w:p w14:paraId="4373E5ED" w14:textId="77777777" w:rsidR="00823F91" w:rsidRPr="00595884" w:rsidRDefault="00274BC6" w:rsidP="003C0A46">
            <w:pPr>
              <w:spacing w:before="0" w:after="0" w:line="240" w:lineRule="auto"/>
              <w:jc w:val="center"/>
              <w:rPr>
                <w:rFonts w:ascii="Calibri" w:hAnsi="Calibri" w:cs="Calibri"/>
                <w:b/>
                <w:bCs/>
                <w:color w:val="FFFFFF" w:themeColor="background1"/>
                <w:sz w:val="16"/>
                <w:szCs w:val="16"/>
              </w:rPr>
            </w:pPr>
            <w:r w:rsidRPr="00595884">
              <w:rPr>
                <w:rFonts w:ascii="Calibri" w:hAnsi="Calibri" w:cs="Calibri"/>
                <w:b/>
                <w:bCs/>
                <w:color w:val="FFFFFF" w:themeColor="background1"/>
                <w:sz w:val="16"/>
                <w:szCs w:val="16"/>
              </w:rPr>
              <w:t>--</w:t>
            </w:r>
          </w:p>
        </w:tc>
      </w:tr>
      <w:tr w:rsidR="005B6ACD" w14:paraId="1229ABA3" w14:textId="77777777" w:rsidTr="00E735E8">
        <w:trPr>
          <w:trHeight w:val="300"/>
        </w:trPr>
        <w:tc>
          <w:tcPr>
            <w:tcW w:w="248" w:type="pct"/>
            <w:tcBorders>
              <w:top w:val="nil"/>
              <w:left w:val="single" w:sz="8" w:space="0" w:color="B5DDDC"/>
              <w:bottom w:val="single" w:sz="8" w:space="0" w:color="B5DDDC"/>
              <w:right w:val="single" w:sz="8" w:space="0" w:color="B5DDDC"/>
            </w:tcBorders>
            <w:vAlign w:val="center"/>
            <w:hideMark/>
          </w:tcPr>
          <w:p w14:paraId="0872B7F4" w14:textId="77777777" w:rsidR="00823F91" w:rsidRPr="00595884" w:rsidRDefault="00274BC6" w:rsidP="003C0A46">
            <w:pPr>
              <w:spacing w:before="0" w:after="0" w:line="240" w:lineRule="auto"/>
              <w:jc w:val="center"/>
              <w:rPr>
                <w:rFonts w:ascii="Calibri" w:hAnsi="Calibri" w:cs="Calibri"/>
                <w:b/>
                <w:bCs/>
                <w:sz w:val="16"/>
                <w:szCs w:val="16"/>
              </w:rPr>
            </w:pPr>
            <w:r w:rsidRPr="00595884">
              <w:rPr>
                <w:rFonts w:ascii="Calibri" w:hAnsi="Calibri" w:cs="Calibri"/>
                <w:b/>
                <w:bCs/>
                <w:sz w:val="16"/>
                <w:szCs w:val="16"/>
              </w:rPr>
              <w:t>9</w:t>
            </w:r>
          </w:p>
        </w:tc>
        <w:tc>
          <w:tcPr>
            <w:tcW w:w="1325" w:type="pct"/>
            <w:tcBorders>
              <w:top w:val="nil"/>
              <w:left w:val="nil"/>
              <w:bottom w:val="single" w:sz="8" w:space="0" w:color="B5DDDC"/>
              <w:right w:val="single" w:sz="8" w:space="0" w:color="B5DDDC"/>
            </w:tcBorders>
            <w:vAlign w:val="center"/>
            <w:hideMark/>
          </w:tcPr>
          <w:p w14:paraId="3407B886" w14:textId="77777777" w:rsidR="00823F91" w:rsidRPr="00595884" w:rsidRDefault="00274BC6" w:rsidP="003C0A46">
            <w:pPr>
              <w:spacing w:before="0" w:after="0" w:line="240" w:lineRule="auto"/>
              <w:rPr>
                <w:rFonts w:ascii="Calibri" w:hAnsi="Calibri" w:cs="Calibri"/>
                <w:sz w:val="16"/>
                <w:szCs w:val="16"/>
              </w:rPr>
            </w:pPr>
            <w:r w:rsidRPr="00595884">
              <w:rPr>
                <w:rFonts w:ascii="Calibri" w:hAnsi="Calibri" w:cs="Calibri"/>
                <w:sz w:val="16"/>
                <w:szCs w:val="16"/>
              </w:rPr>
              <w:t>Is there a clear statement of findings?</w:t>
            </w:r>
          </w:p>
        </w:tc>
        <w:tc>
          <w:tcPr>
            <w:tcW w:w="571" w:type="pct"/>
            <w:tcBorders>
              <w:top w:val="nil"/>
              <w:left w:val="nil"/>
              <w:bottom w:val="single" w:sz="8" w:space="0" w:color="B5DDDC"/>
              <w:right w:val="single" w:sz="8" w:space="0" w:color="B5DDDC"/>
            </w:tcBorders>
            <w:shd w:val="clear" w:color="000000" w:fill="70AD47"/>
            <w:vAlign w:val="center"/>
            <w:hideMark/>
          </w:tcPr>
          <w:p w14:paraId="273EBEF4" w14:textId="77777777" w:rsidR="00823F91" w:rsidRPr="00595884" w:rsidRDefault="00274BC6" w:rsidP="003C0A46">
            <w:pPr>
              <w:spacing w:before="0" w:after="0" w:line="240" w:lineRule="auto"/>
              <w:jc w:val="center"/>
              <w:rPr>
                <w:rFonts w:ascii="Calibri" w:hAnsi="Calibri" w:cs="Calibri"/>
                <w:b/>
                <w:bCs/>
                <w:color w:val="FFFFFF" w:themeColor="background1"/>
                <w:sz w:val="16"/>
                <w:szCs w:val="16"/>
              </w:rPr>
            </w:pPr>
            <w:r w:rsidRPr="00595884">
              <w:rPr>
                <w:rFonts w:ascii="Calibri" w:hAnsi="Calibri" w:cs="Calibri"/>
                <w:b/>
                <w:bCs/>
                <w:color w:val="FFFFFF" w:themeColor="background1"/>
                <w:sz w:val="16"/>
                <w:szCs w:val="16"/>
              </w:rPr>
              <w:t>++</w:t>
            </w:r>
          </w:p>
        </w:tc>
        <w:tc>
          <w:tcPr>
            <w:tcW w:w="571" w:type="pct"/>
            <w:tcBorders>
              <w:top w:val="nil"/>
              <w:left w:val="nil"/>
              <w:bottom w:val="single" w:sz="8" w:space="0" w:color="B5DDDC"/>
              <w:right w:val="single" w:sz="8" w:space="0" w:color="B5DDDC"/>
            </w:tcBorders>
            <w:shd w:val="clear" w:color="auto" w:fill="C2D69B" w:themeFill="accent3" w:themeFillTint="99"/>
            <w:vAlign w:val="center"/>
            <w:hideMark/>
          </w:tcPr>
          <w:p w14:paraId="2D305B0D" w14:textId="77777777" w:rsidR="00823F91" w:rsidRPr="00595884" w:rsidRDefault="00274BC6" w:rsidP="003C0A46">
            <w:pPr>
              <w:spacing w:before="0" w:after="0" w:line="240" w:lineRule="auto"/>
              <w:jc w:val="center"/>
              <w:rPr>
                <w:rFonts w:ascii="Calibri" w:hAnsi="Calibri" w:cs="Calibri"/>
                <w:b/>
                <w:bCs/>
                <w:sz w:val="16"/>
                <w:szCs w:val="16"/>
              </w:rPr>
            </w:pPr>
            <w:r w:rsidRPr="00595884">
              <w:rPr>
                <w:rFonts w:ascii="Calibri" w:hAnsi="Calibri" w:cs="Calibri"/>
                <w:b/>
                <w:bCs/>
                <w:sz w:val="16"/>
                <w:szCs w:val="16"/>
              </w:rPr>
              <w:t>+</w:t>
            </w:r>
          </w:p>
        </w:tc>
        <w:tc>
          <w:tcPr>
            <w:tcW w:w="571" w:type="pct"/>
            <w:tcBorders>
              <w:top w:val="nil"/>
              <w:left w:val="nil"/>
              <w:bottom w:val="single" w:sz="8" w:space="0" w:color="B5DDDC"/>
              <w:right w:val="single" w:sz="8" w:space="0" w:color="B5DDDC"/>
            </w:tcBorders>
            <w:shd w:val="clear" w:color="000000" w:fill="70AD47"/>
            <w:vAlign w:val="center"/>
            <w:hideMark/>
          </w:tcPr>
          <w:p w14:paraId="3321D558" w14:textId="77777777" w:rsidR="00823F91" w:rsidRPr="00595884" w:rsidRDefault="00274BC6" w:rsidP="003C0A46">
            <w:pPr>
              <w:spacing w:before="0" w:after="0" w:line="240" w:lineRule="auto"/>
              <w:jc w:val="center"/>
              <w:rPr>
                <w:rFonts w:ascii="Calibri" w:hAnsi="Calibri" w:cs="Calibri"/>
                <w:b/>
                <w:bCs/>
                <w:color w:val="FFFFFF" w:themeColor="background1"/>
                <w:sz w:val="16"/>
                <w:szCs w:val="16"/>
              </w:rPr>
            </w:pPr>
            <w:r w:rsidRPr="00595884">
              <w:rPr>
                <w:rFonts w:ascii="Calibri" w:hAnsi="Calibri" w:cs="Calibri"/>
                <w:b/>
                <w:bCs/>
                <w:color w:val="FFFFFF" w:themeColor="background1"/>
                <w:sz w:val="16"/>
                <w:szCs w:val="16"/>
              </w:rPr>
              <w:t>++</w:t>
            </w:r>
          </w:p>
        </w:tc>
        <w:tc>
          <w:tcPr>
            <w:tcW w:w="571" w:type="pct"/>
            <w:tcBorders>
              <w:top w:val="nil"/>
              <w:left w:val="nil"/>
              <w:bottom w:val="single" w:sz="8" w:space="0" w:color="B5DDDC"/>
              <w:right w:val="single" w:sz="8" w:space="0" w:color="B5DDDC"/>
            </w:tcBorders>
            <w:shd w:val="clear" w:color="000000" w:fill="70AD47"/>
            <w:vAlign w:val="center"/>
            <w:hideMark/>
          </w:tcPr>
          <w:p w14:paraId="34025FB8" w14:textId="77777777" w:rsidR="00823F91" w:rsidRPr="00595884" w:rsidRDefault="00274BC6" w:rsidP="003C0A46">
            <w:pPr>
              <w:spacing w:before="0" w:after="0" w:line="240" w:lineRule="auto"/>
              <w:jc w:val="center"/>
              <w:rPr>
                <w:rFonts w:ascii="Calibri" w:hAnsi="Calibri" w:cs="Calibri"/>
                <w:b/>
                <w:bCs/>
                <w:color w:val="FFFFFF" w:themeColor="background1"/>
                <w:sz w:val="16"/>
                <w:szCs w:val="16"/>
              </w:rPr>
            </w:pPr>
            <w:r w:rsidRPr="00595884">
              <w:rPr>
                <w:rFonts w:ascii="Calibri" w:hAnsi="Calibri" w:cs="Calibri"/>
                <w:b/>
                <w:bCs/>
                <w:color w:val="FFFFFF" w:themeColor="background1"/>
                <w:sz w:val="16"/>
                <w:szCs w:val="16"/>
              </w:rPr>
              <w:t>++</w:t>
            </w:r>
          </w:p>
        </w:tc>
        <w:tc>
          <w:tcPr>
            <w:tcW w:w="571" w:type="pct"/>
            <w:tcBorders>
              <w:top w:val="nil"/>
              <w:left w:val="nil"/>
              <w:bottom w:val="single" w:sz="8" w:space="0" w:color="B5DDDC"/>
              <w:right w:val="single" w:sz="8" w:space="0" w:color="B5DDDC"/>
            </w:tcBorders>
            <w:shd w:val="clear" w:color="000000" w:fill="70AD47"/>
            <w:vAlign w:val="center"/>
            <w:hideMark/>
          </w:tcPr>
          <w:p w14:paraId="5A1EEC03" w14:textId="77777777" w:rsidR="00823F91" w:rsidRPr="00595884" w:rsidRDefault="00274BC6" w:rsidP="003C0A46">
            <w:pPr>
              <w:spacing w:before="0" w:after="0" w:line="240" w:lineRule="auto"/>
              <w:jc w:val="center"/>
              <w:rPr>
                <w:rFonts w:ascii="Calibri" w:hAnsi="Calibri" w:cs="Calibri"/>
                <w:b/>
                <w:bCs/>
                <w:color w:val="FFFFFF" w:themeColor="background1"/>
                <w:sz w:val="16"/>
                <w:szCs w:val="16"/>
              </w:rPr>
            </w:pPr>
            <w:r w:rsidRPr="00595884">
              <w:rPr>
                <w:rFonts w:ascii="Calibri" w:hAnsi="Calibri" w:cs="Calibri"/>
                <w:b/>
                <w:bCs/>
                <w:color w:val="FFFFFF" w:themeColor="background1"/>
                <w:sz w:val="16"/>
                <w:szCs w:val="16"/>
              </w:rPr>
              <w:t>++</w:t>
            </w:r>
          </w:p>
        </w:tc>
        <w:tc>
          <w:tcPr>
            <w:tcW w:w="571" w:type="pct"/>
            <w:tcBorders>
              <w:top w:val="nil"/>
              <w:left w:val="nil"/>
              <w:bottom w:val="single" w:sz="8" w:space="0" w:color="B5DDDC"/>
              <w:right w:val="single" w:sz="8" w:space="0" w:color="B5DDDC"/>
            </w:tcBorders>
            <w:shd w:val="clear" w:color="000000" w:fill="70AD47"/>
            <w:vAlign w:val="center"/>
            <w:hideMark/>
          </w:tcPr>
          <w:p w14:paraId="6F510495" w14:textId="77777777" w:rsidR="00823F91" w:rsidRPr="00595884" w:rsidRDefault="00274BC6" w:rsidP="003C0A46">
            <w:pPr>
              <w:spacing w:before="0" w:after="0" w:line="240" w:lineRule="auto"/>
              <w:jc w:val="center"/>
              <w:rPr>
                <w:rFonts w:ascii="Calibri" w:hAnsi="Calibri" w:cs="Calibri"/>
                <w:b/>
                <w:bCs/>
                <w:color w:val="FFFFFF" w:themeColor="background1"/>
                <w:sz w:val="16"/>
                <w:szCs w:val="16"/>
              </w:rPr>
            </w:pPr>
            <w:r w:rsidRPr="00595884">
              <w:rPr>
                <w:rFonts w:ascii="Calibri" w:hAnsi="Calibri" w:cs="Calibri"/>
                <w:b/>
                <w:bCs/>
                <w:color w:val="FFFFFF" w:themeColor="background1"/>
                <w:sz w:val="16"/>
                <w:szCs w:val="16"/>
              </w:rPr>
              <w:t>++</w:t>
            </w:r>
          </w:p>
        </w:tc>
      </w:tr>
      <w:tr w:rsidR="005B6ACD" w14:paraId="6EE45A51" w14:textId="77777777" w:rsidTr="00E735E8">
        <w:trPr>
          <w:trHeight w:val="300"/>
        </w:trPr>
        <w:tc>
          <w:tcPr>
            <w:tcW w:w="248" w:type="pct"/>
            <w:tcBorders>
              <w:top w:val="nil"/>
              <w:left w:val="single" w:sz="8" w:space="0" w:color="B5DDDC"/>
              <w:bottom w:val="single" w:sz="8" w:space="0" w:color="B5DDDC"/>
              <w:right w:val="single" w:sz="8" w:space="0" w:color="B5DDDC"/>
            </w:tcBorders>
            <w:shd w:val="clear" w:color="000000" w:fill="D6EAEB"/>
            <w:vAlign w:val="center"/>
            <w:hideMark/>
          </w:tcPr>
          <w:p w14:paraId="63AA4815" w14:textId="77777777" w:rsidR="00823F91" w:rsidRPr="00595884" w:rsidRDefault="00274BC6" w:rsidP="003C0A46">
            <w:pPr>
              <w:spacing w:before="0" w:after="0" w:line="240" w:lineRule="auto"/>
              <w:jc w:val="center"/>
              <w:rPr>
                <w:rFonts w:ascii="Calibri" w:hAnsi="Calibri" w:cs="Calibri"/>
                <w:b/>
                <w:bCs/>
                <w:color w:val="000000"/>
                <w:sz w:val="16"/>
                <w:szCs w:val="16"/>
              </w:rPr>
            </w:pPr>
            <w:r w:rsidRPr="00595884">
              <w:rPr>
                <w:rFonts w:ascii="Calibri" w:hAnsi="Calibri" w:cs="Calibri"/>
                <w:b/>
                <w:bCs/>
                <w:color w:val="000000"/>
                <w:sz w:val="16"/>
                <w:szCs w:val="16"/>
              </w:rPr>
              <w:t> </w:t>
            </w:r>
          </w:p>
        </w:tc>
        <w:tc>
          <w:tcPr>
            <w:tcW w:w="1325" w:type="pct"/>
            <w:tcBorders>
              <w:top w:val="nil"/>
              <w:left w:val="nil"/>
              <w:bottom w:val="single" w:sz="8" w:space="0" w:color="B5DDDC"/>
              <w:right w:val="single" w:sz="8" w:space="0" w:color="B5DDDC"/>
            </w:tcBorders>
            <w:shd w:val="clear" w:color="000000" w:fill="D6EAEB"/>
            <w:vAlign w:val="center"/>
            <w:hideMark/>
          </w:tcPr>
          <w:p w14:paraId="169C2C7E" w14:textId="77777777" w:rsidR="00823F91" w:rsidRPr="00595884" w:rsidRDefault="00274BC6" w:rsidP="003C0A46">
            <w:pPr>
              <w:spacing w:before="0" w:after="0" w:line="240" w:lineRule="auto"/>
              <w:rPr>
                <w:rFonts w:ascii="Calibri" w:hAnsi="Calibri" w:cs="Calibri"/>
                <w:b/>
                <w:bCs/>
                <w:color w:val="000000"/>
                <w:sz w:val="16"/>
                <w:szCs w:val="16"/>
              </w:rPr>
            </w:pPr>
            <w:r w:rsidRPr="00595884">
              <w:rPr>
                <w:rFonts w:ascii="Calibri" w:hAnsi="Calibri" w:cs="Calibri"/>
                <w:b/>
                <w:bCs/>
                <w:color w:val="000000"/>
                <w:sz w:val="16"/>
                <w:szCs w:val="16"/>
              </w:rPr>
              <w:t>Section C: Will the results help locally?</w:t>
            </w:r>
          </w:p>
        </w:tc>
        <w:tc>
          <w:tcPr>
            <w:tcW w:w="571" w:type="pct"/>
            <w:tcBorders>
              <w:top w:val="nil"/>
              <w:left w:val="nil"/>
              <w:bottom w:val="single" w:sz="8" w:space="0" w:color="B5DDDC"/>
              <w:right w:val="single" w:sz="8" w:space="0" w:color="B5DDDC"/>
            </w:tcBorders>
            <w:shd w:val="clear" w:color="000000" w:fill="D6EAEB"/>
            <w:vAlign w:val="center"/>
            <w:hideMark/>
          </w:tcPr>
          <w:p w14:paraId="00638F9B" w14:textId="77777777" w:rsidR="00823F91" w:rsidRPr="00595884" w:rsidRDefault="00274BC6" w:rsidP="003C0A46">
            <w:pPr>
              <w:spacing w:before="0" w:after="0" w:line="240" w:lineRule="auto"/>
              <w:jc w:val="center"/>
              <w:rPr>
                <w:rFonts w:ascii="Calibri" w:hAnsi="Calibri" w:cs="Calibri"/>
                <w:b/>
                <w:bCs/>
                <w:color w:val="000000"/>
                <w:sz w:val="16"/>
                <w:szCs w:val="16"/>
              </w:rPr>
            </w:pPr>
            <w:r w:rsidRPr="00595884">
              <w:rPr>
                <w:rFonts w:ascii="Calibri" w:hAnsi="Calibri" w:cs="Calibri"/>
                <w:b/>
                <w:bCs/>
                <w:color w:val="000000"/>
                <w:sz w:val="16"/>
                <w:szCs w:val="16"/>
              </w:rPr>
              <w:t> </w:t>
            </w:r>
          </w:p>
        </w:tc>
        <w:tc>
          <w:tcPr>
            <w:tcW w:w="571" w:type="pct"/>
            <w:tcBorders>
              <w:top w:val="nil"/>
              <w:left w:val="nil"/>
              <w:bottom w:val="single" w:sz="8" w:space="0" w:color="B5DDDC"/>
              <w:right w:val="single" w:sz="8" w:space="0" w:color="B5DDDC"/>
            </w:tcBorders>
            <w:shd w:val="clear" w:color="000000" w:fill="D6EAEB"/>
            <w:vAlign w:val="center"/>
            <w:hideMark/>
          </w:tcPr>
          <w:p w14:paraId="0688D8C5" w14:textId="77777777" w:rsidR="00823F91" w:rsidRPr="00595884" w:rsidRDefault="00274BC6" w:rsidP="003C0A46">
            <w:pPr>
              <w:spacing w:before="0" w:after="0" w:line="240" w:lineRule="auto"/>
              <w:jc w:val="center"/>
              <w:rPr>
                <w:rFonts w:ascii="Calibri" w:hAnsi="Calibri" w:cs="Calibri"/>
                <w:b/>
                <w:bCs/>
                <w:color w:val="000000"/>
                <w:sz w:val="16"/>
                <w:szCs w:val="16"/>
              </w:rPr>
            </w:pPr>
            <w:r w:rsidRPr="00595884">
              <w:rPr>
                <w:rFonts w:ascii="Calibri" w:hAnsi="Calibri" w:cs="Calibri"/>
                <w:b/>
                <w:bCs/>
                <w:color w:val="000000"/>
                <w:sz w:val="16"/>
                <w:szCs w:val="16"/>
              </w:rPr>
              <w:t> </w:t>
            </w:r>
          </w:p>
        </w:tc>
        <w:tc>
          <w:tcPr>
            <w:tcW w:w="571" w:type="pct"/>
            <w:tcBorders>
              <w:top w:val="nil"/>
              <w:left w:val="nil"/>
              <w:bottom w:val="single" w:sz="8" w:space="0" w:color="B5DDDC"/>
              <w:right w:val="single" w:sz="8" w:space="0" w:color="B5DDDC"/>
            </w:tcBorders>
            <w:shd w:val="clear" w:color="000000" w:fill="D6EAEB"/>
            <w:vAlign w:val="center"/>
            <w:hideMark/>
          </w:tcPr>
          <w:p w14:paraId="4AF0BE88" w14:textId="77777777" w:rsidR="00823F91" w:rsidRPr="00595884" w:rsidRDefault="00274BC6" w:rsidP="003C0A46">
            <w:pPr>
              <w:spacing w:before="0" w:after="0" w:line="240" w:lineRule="auto"/>
              <w:jc w:val="center"/>
              <w:rPr>
                <w:rFonts w:ascii="Calibri" w:hAnsi="Calibri" w:cs="Calibri"/>
                <w:b/>
                <w:bCs/>
                <w:color w:val="000000"/>
                <w:sz w:val="16"/>
                <w:szCs w:val="16"/>
              </w:rPr>
            </w:pPr>
            <w:r w:rsidRPr="00595884">
              <w:rPr>
                <w:rFonts w:ascii="Calibri" w:hAnsi="Calibri" w:cs="Calibri"/>
                <w:b/>
                <w:bCs/>
                <w:color w:val="000000"/>
                <w:sz w:val="16"/>
                <w:szCs w:val="16"/>
              </w:rPr>
              <w:t> </w:t>
            </w:r>
          </w:p>
        </w:tc>
        <w:tc>
          <w:tcPr>
            <w:tcW w:w="571" w:type="pct"/>
            <w:tcBorders>
              <w:top w:val="nil"/>
              <w:left w:val="nil"/>
              <w:bottom w:val="single" w:sz="8" w:space="0" w:color="B5DDDC"/>
              <w:right w:val="single" w:sz="8" w:space="0" w:color="B5DDDC"/>
            </w:tcBorders>
            <w:shd w:val="clear" w:color="000000" w:fill="D6EAEB"/>
            <w:vAlign w:val="center"/>
            <w:hideMark/>
          </w:tcPr>
          <w:p w14:paraId="10CA3BC4" w14:textId="77777777" w:rsidR="00823F91" w:rsidRPr="00595884" w:rsidRDefault="00274BC6" w:rsidP="003C0A46">
            <w:pPr>
              <w:spacing w:before="0" w:after="0" w:line="240" w:lineRule="auto"/>
              <w:jc w:val="center"/>
              <w:rPr>
                <w:rFonts w:ascii="Calibri" w:hAnsi="Calibri" w:cs="Calibri"/>
                <w:b/>
                <w:bCs/>
                <w:color w:val="000000"/>
                <w:sz w:val="16"/>
                <w:szCs w:val="16"/>
              </w:rPr>
            </w:pPr>
            <w:r w:rsidRPr="00595884">
              <w:rPr>
                <w:rFonts w:ascii="Calibri" w:hAnsi="Calibri" w:cs="Calibri"/>
                <w:b/>
                <w:bCs/>
                <w:color w:val="000000"/>
                <w:sz w:val="16"/>
                <w:szCs w:val="16"/>
              </w:rPr>
              <w:t> </w:t>
            </w:r>
          </w:p>
        </w:tc>
        <w:tc>
          <w:tcPr>
            <w:tcW w:w="571" w:type="pct"/>
            <w:tcBorders>
              <w:top w:val="nil"/>
              <w:left w:val="nil"/>
              <w:bottom w:val="single" w:sz="8" w:space="0" w:color="B5DDDC"/>
              <w:right w:val="single" w:sz="8" w:space="0" w:color="B5DDDC"/>
            </w:tcBorders>
            <w:shd w:val="clear" w:color="000000" w:fill="D6EAEB"/>
            <w:vAlign w:val="center"/>
            <w:hideMark/>
          </w:tcPr>
          <w:p w14:paraId="39637F0F" w14:textId="77777777" w:rsidR="00823F91" w:rsidRPr="00595884" w:rsidRDefault="00274BC6" w:rsidP="003C0A46">
            <w:pPr>
              <w:spacing w:before="0" w:after="0" w:line="240" w:lineRule="auto"/>
              <w:jc w:val="center"/>
              <w:rPr>
                <w:rFonts w:ascii="Calibri" w:hAnsi="Calibri" w:cs="Calibri"/>
                <w:b/>
                <w:bCs/>
                <w:color w:val="000000"/>
                <w:sz w:val="16"/>
                <w:szCs w:val="16"/>
              </w:rPr>
            </w:pPr>
            <w:r w:rsidRPr="00595884">
              <w:rPr>
                <w:rFonts w:ascii="Calibri" w:hAnsi="Calibri" w:cs="Calibri"/>
                <w:b/>
                <w:bCs/>
                <w:color w:val="000000"/>
                <w:sz w:val="16"/>
                <w:szCs w:val="16"/>
              </w:rPr>
              <w:t> </w:t>
            </w:r>
          </w:p>
        </w:tc>
        <w:tc>
          <w:tcPr>
            <w:tcW w:w="571" w:type="pct"/>
            <w:tcBorders>
              <w:top w:val="nil"/>
              <w:left w:val="nil"/>
              <w:bottom w:val="single" w:sz="8" w:space="0" w:color="B5DDDC"/>
              <w:right w:val="single" w:sz="8" w:space="0" w:color="B5DDDC"/>
            </w:tcBorders>
            <w:shd w:val="clear" w:color="000000" w:fill="D6EAEB"/>
            <w:vAlign w:val="center"/>
            <w:hideMark/>
          </w:tcPr>
          <w:p w14:paraId="390E2669" w14:textId="77777777" w:rsidR="00823F91" w:rsidRPr="00595884" w:rsidRDefault="00274BC6" w:rsidP="003C0A46">
            <w:pPr>
              <w:spacing w:before="0" w:after="0" w:line="240" w:lineRule="auto"/>
              <w:jc w:val="center"/>
              <w:rPr>
                <w:rFonts w:ascii="Calibri" w:hAnsi="Calibri" w:cs="Calibri"/>
                <w:b/>
                <w:bCs/>
                <w:color w:val="000000"/>
                <w:sz w:val="16"/>
                <w:szCs w:val="16"/>
              </w:rPr>
            </w:pPr>
            <w:r w:rsidRPr="00595884">
              <w:rPr>
                <w:rFonts w:ascii="Calibri" w:hAnsi="Calibri" w:cs="Calibri"/>
                <w:b/>
                <w:bCs/>
                <w:color w:val="000000"/>
                <w:sz w:val="16"/>
                <w:szCs w:val="16"/>
              </w:rPr>
              <w:t> </w:t>
            </w:r>
          </w:p>
        </w:tc>
      </w:tr>
      <w:tr w:rsidR="005B6ACD" w14:paraId="13C341B1" w14:textId="77777777" w:rsidTr="00E735E8">
        <w:trPr>
          <w:trHeight w:val="300"/>
        </w:trPr>
        <w:tc>
          <w:tcPr>
            <w:tcW w:w="248" w:type="pct"/>
            <w:tcBorders>
              <w:top w:val="nil"/>
              <w:left w:val="single" w:sz="8" w:space="0" w:color="B5DDDC"/>
              <w:bottom w:val="nil"/>
              <w:right w:val="single" w:sz="8" w:space="0" w:color="B5DDDC"/>
            </w:tcBorders>
            <w:vAlign w:val="center"/>
            <w:hideMark/>
          </w:tcPr>
          <w:p w14:paraId="4969BCE7" w14:textId="77777777" w:rsidR="00823F91" w:rsidRPr="00595884" w:rsidRDefault="00274BC6" w:rsidP="003C0A46">
            <w:pPr>
              <w:spacing w:before="0" w:after="0" w:line="240" w:lineRule="auto"/>
              <w:jc w:val="center"/>
              <w:rPr>
                <w:rFonts w:ascii="Calibri" w:hAnsi="Calibri" w:cs="Calibri"/>
                <w:b/>
                <w:bCs/>
                <w:sz w:val="16"/>
                <w:szCs w:val="16"/>
              </w:rPr>
            </w:pPr>
            <w:r w:rsidRPr="00595884">
              <w:rPr>
                <w:rFonts w:ascii="Calibri" w:hAnsi="Calibri" w:cs="Calibri"/>
                <w:b/>
                <w:bCs/>
                <w:sz w:val="16"/>
                <w:szCs w:val="16"/>
              </w:rPr>
              <w:t>10</w:t>
            </w:r>
          </w:p>
        </w:tc>
        <w:tc>
          <w:tcPr>
            <w:tcW w:w="1325" w:type="pct"/>
            <w:tcBorders>
              <w:top w:val="nil"/>
              <w:left w:val="nil"/>
              <w:bottom w:val="nil"/>
              <w:right w:val="single" w:sz="8" w:space="0" w:color="B5DDDC"/>
            </w:tcBorders>
            <w:vAlign w:val="center"/>
            <w:hideMark/>
          </w:tcPr>
          <w:p w14:paraId="7880BDE9" w14:textId="77777777" w:rsidR="00823F91" w:rsidRPr="00595884" w:rsidRDefault="00274BC6" w:rsidP="003C0A46">
            <w:pPr>
              <w:spacing w:before="0" w:after="0" w:line="240" w:lineRule="auto"/>
              <w:rPr>
                <w:rFonts w:ascii="Calibri" w:hAnsi="Calibri" w:cs="Calibri"/>
                <w:sz w:val="16"/>
                <w:szCs w:val="16"/>
              </w:rPr>
            </w:pPr>
            <w:r w:rsidRPr="00595884">
              <w:rPr>
                <w:rFonts w:ascii="Calibri" w:hAnsi="Calibri" w:cs="Calibri"/>
                <w:sz w:val="16"/>
                <w:szCs w:val="16"/>
              </w:rPr>
              <w:t>How valuable is the research?</w:t>
            </w:r>
          </w:p>
        </w:tc>
        <w:tc>
          <w:tcPr>
            <w:tcW w:w="571" w:type="pct"/>
            <w:tcBorders>
              <w:top w:val="nil"/>
              <w:left w:val="nil"/>
              <w:bottom w:val="nil"/>
              <w:right w:val="single" w:sz="8" w:space="0" w:color="B5DDDC"/>
            </w:tcBorders>
            <w:shd w:val="clear" w:color="auto" w:fill="F2DBDB"/>
            <w:vAlign w:val="center"/>
            <w:hideMark/>
          </w:tcPr>
          <w:p w14:paraId="7E02853B" w14:textId="77777777" w:rsidR="00823F91" w:rsidRPr="00595884" w:rsidRDefault="00274BC6" w:rsidP="003C0A46">
            <w:pPr>
              <w:spacing w:before="0" w:after="0" w:line="240" w:lineRule="auto"/>
              <w:jc w:val="center"/>
              <w:rPr>
                <w:rFonts w:ascii="Calibri" w:hAnsi="Calibri" w:cs="Calibri"/>
                <w:b/>
                <w:bCs/>
                <w:sz w:val="16"/>
                <w:szCs w:val="16"/>
              </w:rPr>
            </w:pPr>
            <w:r w:rsidRPr="00595884">
              <w:rPr>
                <w:rFonts w:ascii="Calibri" w:hAnsi="Calibri" w:cs="Calibri"/>
                <w:b/>
                <w:bCs/>
                <w:sz w:val="16"/>
                <w:szCs w:val="16"/>
              </w:rPr>
              <w:t>-</w:t>
            </w:r>
          </w:p>
        </w:tc>
        <w:tc>
          <w:tcPr>
            <w:tcW w:w="571" w:type="pct"/>
            <w:tcBorders>
              <w:top w:val="nil"/>
              <w:left w:val="nil"/>
              <w:bottom w:val="nil"/>
              <w:right w:val="single" w:sz="8" w:space="0" w:color="B5DDDC"/>
            </w:tcBorders>
            <w:shd w:val="clear" w:color="auto" w:fill="C2D69B" w:themeFill="accent3" w:themeFillTint="99"/>
            <w:vAlign w:val="center"/>
            <w:hideMark/>
          </w:tcPr>
          <w:p w14:paraId="41BE36B9" w14:textId="77777777" w:rsidR="00823F91" w:rsidRPr="00595884" w:rsidRDefault="00274BC6" w:rsidP="003C0A46">
            <w:pPr>
              <w:spacing w:before="0" w:after="0" w:line="240" w:lineRule="auto"/>
              <w:jc w:val="center"/>
              <w:rPr>
                <w:rFonts w:ascii="Calibri" w:hAnsi="Calibri" w:cs="Calibri"/>
                <w:b/>
                <w:bCs/>
                <w:sz w:val="16"/>
                <w:szCs w:val="16"/>
              </w:rPr>
            </w:pPr>
            <w:r w:rsidRPr="00595884">
              <w:rPr>
                <w:rFonts w:ascii="Calibri" w:hAnsi="Calibri" w:cs="Calibri"/>
                <w:b/>
                <w:bCs/>
                <w:sz w:val="16"/>
                <w:szCs w:val="16"/>
              </w:rPr>
              <w:t>+</w:t>
            </w:r>
          </w:p>
        </w:tc>
        <w:tc>
          <w:tcPr>
            <w:tcW w:w="571" w:type="pct"/>
            <w:tcBorders>
              <w:top w:val="nil"/>
              <w:left w:val="nil"/>
              <w:bottom w:val="nil"/>
              <w:right w:val="single" w:sz="8" w:space="0" w:color="B5DDDC"/>
            </w:tcBorders>
            <w:shd w:val="clear" w:color="auto" w:fill="C2D69B" w:themeFill="accent3" w:themeFillTint="99"/>
            <w:vAlign w:val="center"/>
            <w:hideMark/>
          </w:tcPr>
          <w:p w14:paraId="39462EA6" w14:textId="77777777" w:rsidR="00823F91" w:rsidRPr="00595884" w:rsidRDefault="00274BC6" w:rsidP="003C0A46">
            <w:pPr>
              <w:spacing w:before="0" w:after="0" w:line="240" w:lineRule="auto"/>
              <w:jc w:val="center"/>
              <w:rPr>
                <w:rFonts w:ascii="Calibri" w:hAnsi="Calibri" w:cs="Calibri"/>
                <w:b/>
                <w:bCs/>
                <w:sz w:val="16"/>
                <w:szCs w:val="16"/>
              </w:rPr>
            </w:pPr>
            <w:r w:rsidRPr="00595884">
              <w:rPr>
                <w:rFonts w:ascii="Calibri" w:hAnsi="Calibri" w:cs="Calibri"/>
                <w:b/>
                <w:bCs/>
                <w:sz w:val="16"/>
                <w:szCs w:val="16"/>
              </w:rPr>
              <w:t>+</w:t>
            </w:r>
          </w:p>
        </w:tc>
        <w:tc>
          <w:tcPr>
            <w:tcW w:w="571" w:type="pct"/>
            <w:tcBorders>
              <w:top w:val="nil"/>
              <w:left w:val="nil"/>
              <w:bottom w:val="nil"/>
              <w:right w:val="single" w:sz="8" w:space="0" w:color="B5DDDC"/>
            </w:tcBorders>
            <w:shd w:val="clear" w:color="auto" w:fill="F2DBDB"/>
            <w:vAlign w:val="center"/>
            <w:hideMark/>
          </w:tcPr>
          <w:p w14:paraId="54786F2B" w14:textId="77777777" w:rsidR="00823F91" w:rsidRPr="00595884" w:rsidRDefault="00274BC6" w:rsidP="003C0A46">
            <w:pPr>
              <w:spacing w:before="0" w:after="0" w:line="240" w:lineRule="auto"/>
              <w:jc w:val="center"/>
              <w:rPr>
                <w:rFonts w:ascii="Calibri" w:hAnsi="Calibri" w:cs="Calibri"/>
                <w:b/>
                <w:bCs/>
                <w:sz w:val="16"/>
                <w:szCs w:val="16"/>
              </w:rPr>
            </w:pPr>
            <w:r w:rsidRPr="00595884">
              <w:rPr>
                <w:rFonts w:ascii="Calibri" w:hAnsi="Calibri" w:cs="Calibri"/>
                <w:b/>
                <w:bCs/>
                <w:sz w:val="16"/>
                <w:szCs w:val="16"/>
              </w:rPr>
              <w:t>-</w:t>
            </w:r>
          </w:p>
        </w:tc>
        <w:tc>
          <w:tcPr>
            <w:tcW w:w="571" w:type="pct"/>
            <w:tcBorders>
              <w:top w:val="nil"/>
              <w:left w:val="nil"/>
              <w:bottom w:val="nil"/>
              <w:right w:val="single" w:sz="8" w:space="0" w:color="B5DDDC"/>
            </w:tcBorders>
            <w:shd w:val="clear" w:color="auto" w:fill="C2D69B" w:themeFill="accent3" w:themeFillTint="99"/>
            <w:vAlign w:val="center"/>
            <w:hideMark/>
          </w:tcPr>
          <w:p w14:paraId="2B4DAECC" w14:textId="77777777" w:rsidR="00823F91" w:rsidRPr="00595884" w:rsidRDefault="00274BC6" w:rsidP="003C0A46">
            <w:pPr>
              <w:spacing w:before="0" w:after="0" w:line="240" w:lineRule="auto"/>
              <w:jc w:val="center"/>
              <w:rPr>
                <w:rFonts w:ascii="Calibri" w:hAnsi="Calibri" w:cs="Calibri"/>
                <w:b/>
                <w:bCs/>
                <w:sz w:val="16"/>
                <w:szCs w:val="16"/>
              </w:rPr>
            </w:pPr>
            <w:r w:rsidRPr="00595884">
              <w:rPr>
                <w:rFonts w:ascii="Calibri" w:hAnsi="Calibri" w:cs="Calibri"/>
                <w:b/>
                <w:bCs/>
                <w:sz w:val="16"/>
                <w:szCs w:val="16"/>
              </w:rPr>
              <w:t>+</w:t>
            </w:r>
          </w:p>
        </w:tc>
        <w:tc>
          <w:tcPr>
            <w:tcW w:w="571" w:type="pct"/>
            <w:tcBorders>
              <w:top w:val="nil"/>
              <w:left w:val="nil"/>
              <w:bottom w:val="nil"/>
              <w:right w:val="single" w:sz="8" w:space="0" w:color="B5DDDC"/>
            </w:tcBorders>
            <w:shd w:val="clear" w:color="auto" w:fill="F2DBDB"/>
            <w:vAlign w:val="center"/>
            <w:hideMark/>
          </w:tcPr>
          <w:p w14:paraId="5E378A58" w14:textId="77777777" w:rsidR="00823F91" w:rsidRPr="00595884" w:rsidRDefault="00274BC6" w:rsidP="003C0A46">
            <w:pPr>
              <w:spacing w:before="0" w:after="0" w:line="240" w:lineRule="auto"/>
              <w:jc w:val="center"/>
              <w:rPr>
                <w:rFonts w:ascii="Calibri" w:hAnsi="Calibri" w:cs="Calibri"/>
                <w:b/>
                <w:bCs/>
                <w:sz w:val="16"/>
                <w:szCs w:val="16"/>
              </w:rPr>
            </w:pPr>
            <w:r w:rsidRPr="00595884">
              <w:rPr>
                <w:rFonts w:ascii="Calibri" w:hAnsi="Calibri" w:cs="Calibri"/>
                <w:b/>
                <w:bCs/>
                <w:sz w:val="16"/>
                <w:szCs w:val="16"/>
              </w:rPr>
              <w:t>-</w:t>
            </w:r>
          </w:p>
        </w:tc>
      </w:tr>
      <w:tr w:rsidR="005B6ACD" w14:paraId="7147DB91" w14:textId="77777777" w:rsidTr="00E735E8">
        <w:trPr>
          <w:trHeight w:val="300"/>
        </w:trPr>
        <w:tc>
          <w:tcPr>
            <w:tcW w:w="248" w:type="pct"/>
            <w:tcBorders>
              <w:top w:val="single" w:sz="8" w:space="0" w:color="008000"/>
              <w:left w:val="single" w:sz="8" w:space="0" w:color="008000"/>
              <w:bottom w:val="single" w:sz="8" w:space="0" w:color="008000"/>
              <w:right w:val="single" w:sz="4" w:space="0" w:color="B5DDDC"/>
            </w:tcBorders>
            <w:shd w:val="clear" w:color="000000" w:fill="D6EAEB"/>
            <w:vAlign w:val="center"/>
            <w:hideMark/>
          </w:tcPr>
          <w:p w14:paraId="44BBD01C" w14:textId="77777777" w:rsidR="00823F91" w:rsidRPr="00595884" w:rsidRDefault="00274BC6" w:rsidP="003C0A46">
            <w:pPr>
              <w:spacing w:before="0" w:after="0" w:line="240" w:lineRule="auto"/>
              <w:rPr>
                <w:rFonts w:ascii="Calibri" w:hAnsi="Calibri" w:cs="Calibri"/>
                <w:b/>
                <w:bCs/>
                <w:color w:val="000000"/>
                <w:sz w:val="16"/>
                <w:szCs w:val="16"/>
              </w:rPr>
            </w:pPr>
            <w:r w:rsidRPr="00595884">
              <w:rPr>
                <w:rFonts w:ascii="Calibri" w:hAnsi="Calibri" w:cs="Calibri"/>
                <w:b/>
                <w:bCs/>
                <w:color w:val="000000"/>
                <w:sz w:val="16"/>
                <w:szCs w:val="16"/>
              </w:rPr>
              <w:t> </w:t>
            </w:r>
          </w:p>
        </w:tc>
        <w:tc>
          <w:tcPr>
            <w:tcW w:w="1325" w:type="pct"/>
            <w:tcBorders>
              <w:top w:val="single" w:sz="8" w:space="0" w:color="008000"/>
              <w:left w:val="nil"/>
              <w:bottom w:val="single" w:sz="8" w:space="0" w:color="008000"/>
              <w:right w:val="single" w:sz="4" w:space="0" w:color="B5DDDC"/>
            </w:tcBorders>
            <w:shd w:val="clear" w:color="000000" w:fill="D6EAEB"/>
            <w:vAlign w:val="center"/>
            <w:hideMark/>
          </w:tcPr>
          <w:p w14:paraId="742B8D79" w14:textId="77777777" w:rsidR="00823F91" w:rsidRPr="00595884" w:rsidRDefault="00274BC6" w:rsidP="003C0A46">
            <w:pPr>
              <w:spacing w:before="0" w:after="0" w:line="240" w:lineRule="auto"/>
              <w:rPr>
                <w:rFonts w:ascii="Calibri" w:hAnsi="Calibri" w:cs="Calibri"/>
                <w:b/>
                <w:bCs/>
                <w:color w:val="000000"/>
                <w:sz w:val="16"/>
                <w:szCs w:val="16"/>
              </w:rPr>
            </w:pPr>
            <w:r w:rsidRPr="00595884">
              <w:rPr>
                <w:rFonts w:ascii="Calibri" w:hAnsi="Calibri" w:cs="Calibri"/>
                <w:b/>
                <w:bCs/>
                <w:color w:val="000000"/>
                <w:sz w:val="16"/>
                <w:szCs w:val="16"/>
              </w:rPr>
              <w:t>Overall risk of bias rating</w:t>
            </w:r>
          </w:p>
        </w:tc>
        <w:tc>
          <w:tcPr>
            <w:tcW w:w="571" w:type="pct"/>
            <w:tcBorders>
              <w:top w:val="single" w:sz="8" w:space="0" w:color="008000"/>
              <w:left w:val="nil"/>
              <w:bottom w:val="single" w:sz="8" w:space="0" w:color="008000"/>
              <w:right w:val="single" w:sz="4" w:space="0" w:color="B5DDDC"/>
            </w:tcBorders>
            <w:shd w:val="clear" w:color="auto" w:fill="F2DBDB"/>
            <w:vAlign w:val="center"/>
            <w:hideMark/>
          </w:tcPr>
          <w:p w14:paraId="45DF49DA" w14:textId="77777777" w:rsidR="00823F91" w:rsidRPr="00595884" w:rsidRDefault="00274BC6" w:rsidP="003C0A46">
            <w:pPr>
              <w:spacing w:before="0" w:after="0" w:line="240" w:lineRule="auto"/>
              <w:jc w:val="center"/>
              <w:rPr>
                <w:rFonts w:ascii="Calibri" w:hAnsi="Calibri" w:cs="Calibri"/>
                <w:b/>
                <w:bCs/>
                <w:sz w:val="16"/>
                <w:szCs w:val="16"/>
              </w:rPr>
            </w:pPr>
            <w:r w:rsidRPr="00595884">
              <w:rPr>
                <w:rFonts w:ascii="Calibri" w:hAnsi="Calibri" w:cs="Calibri"/>
                <w:b/>
                <w:bCs/>
                <w:sz w:val="16"/>
                <w:szCs w:val="16"/>
              </w:rPr>
              <w:t>-</w:t>
            </w:r>
          </w:p>
        </w:tc>
        <w:tc>
          <w:tcPr>
            <w:tcW w:w="571" w:type="pct"/>
            <w:tcBorders>
              <w:top w:val="single" w:sz="8" w:space="0" w:color="008000"/>
              <w:left w:val="nil"/>
              <w:bottom w:val="single" w:sz="8" w:space="0" w:color="008000"/>
              <w:right w:val="single" w:sz="4" w:space="0" w:color="B5DDDC"/>
            </w:tcBorders>
            <w:shd w:val="clear" w:color="auto" w:fill="C2D69B" w:themeFill="accent3" w:themeFillTint="99"/>
            <w:vAlign w:val="center"/>
            <w:hideMark/>
          </w:tcPr>
          <w:p w14:paraId="22210371" w14:textId="77777777" w:rsidR="00823F91" w:rsidRPr="00595884" w:rsidRDefault="00274BC6" w:rsidP="003C0A46">
            <w:pPr>
              <w:spacing w:before="0" w:after="0" w:line="240" w:lineRule="auto"/>
              <w:jc w:val="center"/>
              <w:rPr>
                <w:rFonts w:ascii="Calibri" w:hAnsi="Calibri" w:cs="Calibri"/>
                <w:b/>
                <w:bCs/>
                <w:sz w:val="16"/>
                <w:szCs w:val="16"/>
              </w:rPr>
            </w:pPr>
            <w:r w:rsidRPr="00595884">
              <w:rPr>
                <w:rFonts w:ascii="Calibri" w:hAnsi="Calibri" w:cs="Calibri"/>
                <w:b/>
                <w:bCs/>
                <w:sz w:val="16"/>
                <w:szCs w:val="16"/>
              </w:rPr>
              <w:t>+</w:t>
            </w:r>
          </w:p>
        </w:tc>
        <w:tc>
          <w:tcPr>
            <w:tcW w:w="571" w:type="pct"/>
            <w:tcBorders>
              <w:top w:val="single" w:sz="8" w:space="0" w:color="008000"/>
              <w:left w:val="nil"/>
              <w:bottom w:val="single" w:sz="8" w:space="0" w:color="008000"/>
              <w:right w:val="single" w:sz="4" w:space="0" w:color="B5DDDC"/>
            </w:tcBorders>
            <w:shd w:val="clear" w:color="auto" w:fill="C2D69B" w:themeFill="accent3" w:themeFillTint="99"/>
            <w:vAlign w:val="center"/>
            <w:hideMark/>
          </w:tcPr>
          <w:p w14:paraId="678DD852" w14:textId="77777777" w:rsidR="00823F91" w:rsidRPr="00595884" w:rsidRDefault="00274BC6" w:rsidP="003C0A46">
            <w:pPr>
              <w:spacing w:before="0" w:after="0" w:line="240" w:lineRule="auto"/>
              <w:jc w:val="center"/>
              <w:rPr>
                <w:rFonts w:ascii="Calibri" w:hAnsi="Calibri" w:cs="Calibri"/>
                <w:b/>
                <w:bCs/>
                <w:sz w:val="16"/>
                <w:szCs w:val="16"/>
              </w:rPr>
            </w:pPr>
            <w:r w:rsidRPr="00595884">
              <w:rPr>
                <w:rFonts w:ascii="Calibri" w:hAnsi="Calibri" w:cs="Calibri"/>
                <w:b/>
                <w:bCs/>
                <w:sz w:val="16"/>
                <w:szCs w:val="16"/>
              </w:rPr>
              <w:t>+</w:t>
            </w:r>
          </w:p>
        </w:tc>
        <w:tc>
          <w:tcPr>
            <w:tcW w:w="571" w:type="pct"/>
            <w:tcBorders>
              <w:top w:val="single" w:sz="8" w:space="0" w:color="008000"/>
              <w:left w:val="nil"/>
              <w:bottom w:val="single" w:sz="8" w:space="0" w:color="008000"/>
              <w:right w:val="single" w:sz="4" w:space="0" w:color="B5DDDC"/>
            </w:tcBorders>
            <w:shd w:val="clear" w:color="auto" w:fill="F2DBDB"/>
            <w:vAlign w:val="center"/>
            <w:hideMark/>
          </w:tcPr>
          <w:p w14:paraId="47B0AC90" w14:textId="77777777" w:rsidR="00823F91" w:rsidRPr="00595884" w:rsidRDefault="00274BC6" w:rsidP="003C0A46">
            <w:pPr>
              <w:spacing w:before="0" w:after="0" w:line="240" w:lineRule="auto"/>
              <w:jc w:val="center"/>
              <w:rPr>
                <w:rFonts w:ascii="Calibri" w:hAnsi="Calibri" w:cs="Calibri"/>
                <w:b/>
                <w:bCs/>
                <w:sz w:val="16"/>
                <w:szCs w:val="16"/>
              </w:rPr>
            </w:pPr>
            <w:r w:rsidRPr="00595884">
              <w:rPr>
                <w:rFonts w:ascii="Calibri" w:hAnsi="Calibri" w:cs="Calibri"/>
                <w:b/>
                <w:bCs/>
                <w:sz w:val="16"/>
                <w:szCs w:val="16"/>
              </w:rPr>
              <w:t>-</w:t>
            </w:r>
          </w:p>
        </w:tc>
        <w:tc>
          <w:tcPr>
            <w:tcW w:w="571" w:type="pct"/>
            <w:tcBorders>
              <w:top w:val="single" w:sz="8" w:space="0" w:color="008000"/>
              <w:left w:val="nil"/>
              <w:bottom w:val="single" w:sz="8" w:space="0" w:color="008000"/>
              <w:right w:val="single" w:sz="4" w:space="0" w:color="B5DDDC"/>
            </w:tcBorders>
            <w:shd w:val="clear" w:color="auto" w:fill="C2D69B" w:themeFill="accent3" w:themeFillTint="99"/>
            <w:vAlign w:val="center"/>
            <w:hideMark/>
          </w:tcPr>
          <w:p w14:paraId="5FD8E3EE" w14:textId="77777777" w:rsidR="00823F91" w:rsidRPr="00595884" w:rsidRDefault="00274BC6" w:rsidP="003C0A46">
            <w:pPr>
              <w:spacing w:before="0" w:after="0" w:line="240" w:lineRule="auto"/>
              <w:jc w:val="center"/>
              <w:rPr>
                <w:rFonts w:ascii="Calibri" w:hAnsi="Calibri" w:cs="Calibri"/>
                <w:b/>
                <w:bCs/>
                <w:sz w:val="16"/>
                <w:szCs w:val="16"/>
              </w:rPr>
            </w:pPr>
            <w:r w:rsidRPr="00595884">
              <w:rPr>
                <w:rFonts w:ascii="Calibri" w:hAnsi="Calibri" w:cs="Calibri"/>
                <w:b/>
                <w:bCs/>
                <w:sz w:val="16"/>
                <w:szCs w:val="16"/>
              </w:rPr>
              <w:t>+</w:t>
            </w:r>
          </w:p>
        </w:tc>
        <w:tc>
          <w:tcPr>
            <w:tcW w:w="571" w:type="pct"/>
            <w:tcBorders>
              <w:top w:val="single" w:sz="8" w:space="0" w:color="008000"/>
              <w:left w:val="nil"/>
              <w:bottom w:val="single" w:sz="8" w:space="0" w:color="008000"/>
              <w:right w:val="single" w:sz="8" w:space="0" w:color="008000"/>
            </w:tcBorders>
            <w:shd w:val="clear" w:color="auto" w:fill="CC3300"/>
            <w:vAlign w:val="center"/>
            <w:hideMark/>
          </w:tcPr>
          <w:p w14:paraId="1EAD1694" w14:textId="77777777" w:rsidR="00823F91" w:rsidRPr="00595884" w:rsidRDefault="00274BC6" w:rsidP="003C0A46">
            <w:pPr>
              <w:spacing w:before="0" w:after="0" w:line="240" w:lineRule="auto"/>
              <w:jc w:val="center"/>
              <w:rPr>
                <w:rFonts w:ascii="Calibri" w:hAnsi="Calibri" w:cs="Calibri"/>
                <w:b/>
                <w:bCs/>
                <w:color w:val="FFFFFF" w:themeColor="background1"/>
                <w:sz w:val="16"/>
                <w:szCs w:val="16"/>
              </w:rPr>
            </w:pPr>
            <w:r w:rsidRPr="00595884">
              <w:rPr>
                <w:rFonts w:ascii="Calibri" w:hAnsi="Calibri" w:cs="Calibri"/>
                <w:b/>
                <w:bCs/>
                <w:color w:val="FFFFFF" w:themeColor="background1"/>
                <w:sz w:val="16"/>
                <w:szCs w:val="16"/>
              </w:rPr>
              <w:t>--</w:t>
            </w:r>
          </w:p>
        </w:tc>
      </w:tr>
    </w:tbl>
    <w:p w14:paraId="6CBF4588" w14:textId="1F81DB82" w:rsidR="00823F91" w:rsidRPr="00595884" w:rsidRDefault="00823F91" w:rsidP="00282A69">
      <w:pPr>
        <w:spacing w:before="0" w:after="0" w:line="240" w:lineRule="auto"/>
      </w:pPr>
    </w:p>
    <w:tbl>
      <w:tblPr>
        <w:tblStyle w:val="TableGrid"/>
        <w:tblW w:w="0" w:type="auto"/>
        <w:tblBorders>
          <w:top w:val="single" w:sz="8" w:space="0" w:color="B5DDDC"/>
          <w:left w:val="single" w:sz="8" w:space="0" w:color="B5DDDC"/>
          <w:bottom w:val="single" w:sz="8" w:space="0" w:color="B5DDDC"/>
          <w:right w:val="single" w:sz="8" w:space="0" w:color="B5DDDC"/>
          <w:insideH w:val="single" w:sz="8" w:space="0" w:color="B5DDDC"/>
          <w:insideV w:val="single" w:sz="8" w:space="0" w:color="B5DDDC"/>
        </w:tblBorders>
        <w:tblLook w:val="04A0" w:firstRow="1" w:lastRow="0" w:firstColumn="1" w:lastColumn="0" w:noHBand="0" w:noVBand="1"/>
      </w:tblPr>
      <w:tblGrid>
        <w:gridCol w:w="953"/>
        <w:gridCol w:w="953"/>
        <w:gridCol w:w="954"/>
        <w:gridCol w:w="954"/>
        <w:gridCol w:w="954"/>
        <w:gridCol w:w="955"/>
        <w:gridCol w:w="955"/>
        <w:gridCol w:w="955"/>
      </w:tblGrid>
      <w:tr w:rsidR="004254E5" w14:paraId="32778C83" w14:textId="77777777" w:rsidTr="00977F14">
        <w:tc>
          <w:tcPr>
            <w:tcW w:w="953" w:type="dxa"/>
            <w:shd w:val="clear" w:color="auto" w:fill="70AD47"/>
            <w:vAlign w:val="center"/>
          </w:tcPr>
          <w:p w14:paraId="305BEC5A" w14:textId="5BA59A9F" w:rsidR="00EF72A4" w:rsidRPr="00595884" w:rsidRDefault="00274BC6" w:rsidP="00282A69">
            <w:pPr>
              <w:spacing w:before="0" w:after="0" w:line="240" w:lineRule="auto"/>
              <w:jc w:val="center"/>
              <w:rPr>
                <w:rFonts w:ascii="Calibri" w:hAnsi="Calibri" w:cs="Calibri"/>
                <w:sz w:val="16"/>
                <w:szCs w:val="16"/>
              </w:rPr>
            </w:pPr>
            <w:r w:rsidRPr="00595884">
              <w:rPr>
                <w:rFonts w:asciiTheme="minorHAnsi" w:hAnsiTheme="minorHAnsi" w:cstheme="minorHAnsi"/>
                <w:b/>
                <w:bCs/>
                <w:noProof/>
                <w:color w:val="FFFFFF" w:themeColor="background1"/>
                <w:sz w:val="32"/>
                <w:szCs w:val="32"/>
              </w:rPr>
              <w:t>++</w:t>
            </w:r>
          </w:p>
        </w:tc>
        <w:tc>
          <w:tcPr>
            <w:tcW w:w="953" w:type="dxa"/>
          </w:tcPr>
          <w:p w14:paraId="51871216" w14:textId="3A192A04" w:rsidR="00EF72A4" w:rsidRPr="00595884" w:rsidRDefault="00274BC6" w:rsidP="00282A69">
            <w:pPr>
              <w:spacing w:before="0" w:after="0" w:line="240" w:lineRule="auto"/>
              <w:jc w:val="center"/>
              <w:rPr>
                <w:rFonts w:ascii="Calibri" w:hAnsi="Calibri" w:cs="Calibri"/>
                <w:sz w:val="16"/>
                <w:szCs w:val="16"/>
              </w:rPr>
            </w:pPr>
            <w:proofErr w:type="gramStart"/>
            <w:r w:rsidRPr="00595884">
              <w:rPr>
                <w:rFonts w:asciiTheme="minorHAnsi" w:hAnsiTheme="minorHAnsi" w:cstheme="minorHAnsi"/>
                <w:b/>
                <w:i/>
                <w:sz w:val="16"/>
                <w:szCs w:val="22"/>
                <w:lang w:bidi="en-US"/>
              </w:rPr>
              <w:t>Definitely Low</w:t>
            </w:r>
            <w:proofErr w:type="gramEnd"/>
            <w:r w:rsidRPr="00595884">
              <w:rPr>
                <w:rFonts w:asciiTheme="minorHAnsi" w:hAnsiTheme="minorHAnsi" w:cstheme="minorHAnsi"/>
                <w:b/>
                <w:i/>
                <w:sz w:val="16"/>
                <w:szCs w:val="22"/>
                <w:lang w:bidi="en-US"/>
              </w:rPr>
              <w:t xml:space="preserve"> </w:t>
            </w:r>
            <w:r w:rsidRPr="00595884">
              <w:rPr>
                <w:rFonts w:asciiTheme="minorHAnsi" w:hAnsiTheme="minorHAnsi" w:cstheme="minorHAnsi"/>
                <w:i/>
                <w:sz w:val="16"/>
                <w:szCs w:val="22"/>
                <w:lang w:bidi="en-US"/>
              </w:rPr>
              <w:t>risk of bias</w:t>
            </w:r>
            <w:r w:rsidRPr="00595884">
              <w:rPr>
                <w:rFonts w:asciiTheme="minorHAnsi" w:hAnsiTheme="minorHAnsi" w:cstheme="minorHAnsi"/>
                <w:sz w:val="16"/>
                <w:szCs w:val="22"/>
                <w:lang w:bidi="en-US"/>
              </w:rPr>
              <w:t>:</w:t>
            </w:r>
          </w:p>
        </w:tc>
        <w:tc>
          <w:tcPr>
            <w:tcW w:w="954" w:type="dxa"/>
            <w:shd w:val="clear" w:color="auto" w:fill="C2D69B" w:themeFill="accent3" w:themeFillTint="99"/>
            <w:vAlign w:val="center"/>
          </w:tcPr>
          <w:p w14:paraId="45CDA438" w14:textId="2D524C48" w:rsidR="00EF72A4" w:rsidRPr="00595884" w:rsidRDefault="00274BC6" w:rsidP="00282A69">
            <w:pPr>
              <w:spacing w:before="0" w:after="0" w:line="240" w:lineRule="auto"/>
              <w:jc w:val="center"/>
              <w:rPr>
                <w:rFonts w:ascii="Calibri" w:hAnsi="Calibri" w:cs="Calibri"/>
                <w:sz w:val="16"/>
                <w:szCs w:val="16"/>
              </w:rPr>
            </w:pPr>
            <w:r w:rsidRPr="00595884">
              <w:rPr>
                <w:rFonts w:asciiTheme="minorHAnsi" w:hAnsiTheme="minorHAnsi" w:cstheme="minorHAnsi"/>
                <w:b/>
                <w:sz w:val="32"/>
                <w:szCs w:val="32"/>
                <w:lang w:bidi="en-US"/>
              </w:rPr>
              <w:t>+</w:t>
            </w:r>
          </w:p>
        </w:tc>
        <w:tc>
          <w:tcPr>
            <w:tcW w:w="954" w:type="dxa"/>
          </w:tcPr>
          <w:p w14:paraId="7D21C418" w14:textId="27EE3AEE" w:rsidR="00EF72A4" w:rsidRPr="00595884" w:rsidRDefault="00274BC6" w:rsidP="00282A69">
            <w:pPr>
              <w:spacing w:before="0" w:after="0" w:line="240" w:lineRule="auto"/>
              <w:jc w:val="center"/>
              <w:rPr>
                <w:rFonts w:ascii="Calibri" w:hAnsi="Calibri" w:cs="Calibri"/>
                <w:sz w:val="16"/>
                <w:szCs w:val="16"/>
              </w:rPr>
            </w:pPr>
            <w:r w:rsidRPr="00595884">
              <w:rPr>
                <w:rFonts w:asciiTheme="minorHAnsi" w:hAnsiTheme="minorHAnsi" w:cstheme="minorHAnsi"/>
                <w:b/>
                <w:i/>
                <w:sz w:val="16"/>
                <w:szCs w:val="22"/>
                <w:lang w:bidi="en-US"/>
              </w:rPr>
              <w:t xml:space="preserve">Probably Low </w:t>
            </w:r>
            <w:r w:rsidRPr="00595884">
              <w:rPr>
                <w:rFonts w:asciiTheme="minorHAnsi" w:hAnsiTheme="minorHAnsi" w:cstheme="minorHAnsi"/>
                <w:i/>
                <w:sz w:val="16"/>
                <w:szCs w:val="22"/>
                <w:lang w:bidi="en-US"/>
              </w:rPr>
              <w:t>risk of bias</w:t>
            </w:r>
          </w:p>
        </w:tc>
        <w:tc>
          <w:tcPr>
            <w:tcW w:w="954" w:type="dxa"/>
            <w:shd w:val="clear" w:color="auto" w:fill="F2DBDB"/>
            <w:vAlign w:val="center"/>
          </w:tcPr>
          <w:p w14:paraId="136CBF10" w14:textId="0116C530" w:rsidR="00EF72A4" w:rsidRPr="00595884" w:rsidRDefault="00274BC6" w:rsidP="00282A69">
            <w:pPr>
              <w:spacing w:before="0" w:after="0" w:line="240" w:lineRule="auto"/>
              <w:jc w:val="center"/>
              <w:rPr>
                <w:rFonts w:ascii="Calibri" w:hAnsi="Calibri" w:cs="Calibri"/>
                <w:sz w:val="16"/>
                <w:szCs w:val="16"/>
              </w:rPr>
            </w:pPr>
            <w:r w:rsidRPr="00595884">
              <w:rPr>
                <w:rFonts w:asciiTheme="minorHAnsi" w:hAnsiTheme="minorHAnsi" w:cstheme="minorHAnsi"/>
                <w:b/>
                <w:sz w:val="32"/>
                <w:szCs w:val="32"/>
                <w:lang w:bidi="en-US"/>
              </w:rPr>
              <w:t>-</w:t>
            </w:r>
          </w:p>
        </w:tc>
        <w:tc>
          <w:tcPr>
            <w:tcW w:w="955" w:type="dxa"/>
          </w:tcPr>
          <w:p w14:paraId="4DEA837B" w14:textId="1FAC9F2A" w:rsidR="00EF72A4" w:rsidRPr="00595884" w:rsidRDefault="00274BC6" w:rsidP="00282A69">
            <w:pPr>
              <w:spacing w:before="0" w:after="0" w:line="240" w:lineRule="auto"/>
              <w:jc w:val="center"/>
              <w:rPr>
                <w:rFonts w:ascii="Calibri" w:hAnsi="Calibri" w:cs="Calibri"/>
                <w:sz w:val="16"/>
                <w:szCs w:val="16"/>
              </w:rPr>
            </w:pPr>
            <w:r w:rsidRPr="00595884">
              <w:rPr>
                <w:rFonts w:asciiTheme="minorHAnsi" w:hAnsiTheme="minorHAnsi" w:cstheme="minorHAnsi"/>
                <w:b/>
                <w:i/>
                <w:sz w:val="16"/>
                <w:szCs w:val="22"/>
                <w:lang w:bidi="en-US"/>
              </w:rPr>
              <w:t xml:space="preserve">Probably High </w:t>
            </w:r>
            <w:r w:rsidRPr="00595884">
              <w:rPr>
                <w:rFonts w:asciiTheme="minorHAnsi" w:hAnsiTheme="minorHAnsi" w:cstheme="minorHAnsi"/>
                <w:i/>
                <w:sz w:val="16"/>
                <w:szCs w:val="22"/>
                <w:lang w:bidi="en-US"/>
              </w:rPr>
              <w:t>risk of bias</w:t>
            </w:r>
            <w:r w:rsidRPr="00595884">
              <w:rPr>
                <w:rFonts w:asciiTheme="minorHAnsi" w:hAnsiTheme="minorHAnsi" w:cstheme="minorHAnsi"/>
                <w:sz w:val="16"/>
                <w:szCs w:val="22"/>
                <w:lang w:bidi="en-US"/>
              </w:rPr>
              <w:t>:</w:t>
            </w:r>
          </w:p>
        </w:tc>
        <w:tc>
          <w:tcPr>
            <w:tcW w:w="955" w:type="dxa"/>
            <w:shd w:val="clear" w:color="auto" w:fill="CC3300"/>
            <w:vAlign w:val="center"/>
          </w:tcPr>
          <w:p w14:paraId="38C2E824" w14:textId="0E60F09A" w:rsidR="00EF72A4" w:rsidRPr="00595884" w:rsidRDefault="00274BC6" w:rsidP="00282A69">
            <w:pPr>
              <w:spacing w:before="0" w:after="0" w:line="240" w:lineRule="auto"/>
              <w:jc w:val="center"/>
              <w:rPr>
                <w:rFonts w:ascii="Calibri" w:hAnsi="Calibri" w:cs="Calibri"/>
                <w:sz w:val="16"/>
                <w:szCs w:val="16"/>
              </w:rPr>
            </w:pPr>
            <w:r w:rsidRPr="00595884">
              <w:rPr>
                <w:rFonts w:asciiTheme="minorHAnsi" w:hAnsiTheme="minorHAnsi" w:cstheme="minorHAnsi"/>
                <w:noProof/>
                <w:color w:val="FFFFFF" w:themeColor="background1"/>
                <w:sz w:val="32"/>
                <w:szCs w:val="32"/>
              </w:rPr>
              <w:t>--</w:t>
            </w:r>
          </w:p>
        </w:tc>
        <w:tc>
          <w:tcPr>
            <w:tcW w:w="955" w:type="dxa"/>
          </w:tcPr>
          <w:p w14:paraId="28507A7B" w14:textId="5D663A19" w:rsidR="00EF72A4" w:rsidRPr="00595884" w:rsidRDefault="00274BC6" w:rsidP="00282A69">
            <w:pPr>
              <w:spacing w:before="0" w:after="0" w:line="240" w:lineRule="auto"/>
              <w:jc w:val="center"/>
              <w:rPr>
                <w:rFonts w:ascii="Calibri" w:hAnsi="Calibri" w:cs="Calibri"/>
                <w:sz w:val="16"/>
                <w:szCs w:val="16"/>
              </w:rPr>
            </w:pPr>
            <w:proofErr w:type="gramStart"/>
            <w:r w:rsidRPr="00595884">
              <w:rPr>
                <w:rFonts w:asciiTheme="minorHAnsi" w:hAnsiTheme="minorHAnsi" w:cstheme="minorHAnsi"/>
                <w:b/>
                <w:i/>
                <w:sz w:val="16"/>
                <w:szCs w:val="22"/>
                <w:lang w:bidi="en-US"/>
              </w:rPr>
              <w:t>Definitely High</w:t>
            </w:r>
            <w:proofErr w:type="gramEnd"/>
            <w:r w:rsidRPr="00595884">
              <w:rPr>
                <w:rFonts w:asciiTheme="minorHAnsi" w:hAnsiTheme="minorHAnsi" w:cstheme="minorHAnsi"/>
                <w:b/>
                <w:i/>
                <w:sz w:val="16"/>
                <w:szCs w:val="22"/>
                <w:lang w:bidi="en-US"/>
              </w:rPr>
              <w:t xml:space="preserve"> </w:t>
            </w:r>
            <w:r w:rsidRPr="00595884">
              <w:rPr>
                <w:rFonts w:asciiTheme="minorHAnsi" w:hAnsiTheme="minorHAnsi" w:cstheme="minorHAnsi"/>
                <w:i/>
                <w:sz w:val="16"/>
                <w:szCs w:val="22"/>
                <w:lang w:bidi="en-US"/>
              </w:rPr>
              <w:t>risk of bias</w:t>
            </w:r>
            <w:r w:rsidRPr="00595884">
              <w:rPr>
                <w:rFonts w:asciiTheme="minorHAnsi" w:hAnsiTheme="minorHAnsi" w:cstheme="minorHAnsi"/>
                <w:sz w:val="16"/>
                <w:szCs w:val="22"/>
                <w:lang w:bidi="en-US"/>
              </w:rPr>
              <w:t>:</w:t>
            </w:r>
          </w:p>
        </w:tc>
      </w:tr>
    </w:tbl>
    <w:p w14:paraId="53CED3E1" w14:textId="6FE829BC" w:rsidR="00EF72A4" w:rsidRPr="00A50CEE" w:rsidRDefault="00274BC6" w:rsidP="00A50CEE">
      <w:pPr>
        <w:spacing w:before="0" w:after="0" w:line="240" w:lineRule="auto"/>
        <w:rPr>
          <w:rFonts w:asciiTheme="minorHAnsi" w:hAnsiTheme="minorHAnsi" w:cstheme="minorHAnsi"/>
          <w:sz w:val="16"/>
          <w:szCs w:val="16"/>
        </w:rPr>
      </w:pPr>
      <w:r w:rsidRPr="00A50CEE">
        <w:rPr>
          <w:rFonts w:asciiTheme="minorHAnsi" w:hAnsiTheme="minorHAnsi" w:cstheme="minorHAnsi"/>
          <w:sz w:val="16"/>
          <w:szCs w:val="16"/>
        </w:rPr>
        <w:t>J1</w:t>
      </w:r>
      <w:bookmarkStart w:id="309" w:name="_Hlk77079987"/>
      <w:r w:rsidRPr="00A50CEE">
        <w:rPr>
          <w:rFonts w:asciiTheme="minorHAnsi" w:hAnsiTheme="minorHAnsi" w:cstheme="minorHAnsi"/>
          <w:sz w:val="16"/>
          <w:szCs w:val="16"/>
        </w:rPr>
        <w:t xml:space="preserve">: </w:t>
      </w:r>
      <w:bookmarkStart w:id="310" w:name="_Hlk77079971"/>
      <w:r w:rsidR="00191148" w:rsidRPr="00A50CEE">
        <w:rPr>
          <w:rFonts w:asciiTheme="minorHAnsi" w:hAnsiTheme="minorHAnsi" w:cstheme="minorHAnsi"/>
          <w:sz w:val="16"/>
          <w:szCs w:val="16"/>
        </w:rPr>
        <w:fldChar w:fldCharType="begin"/>
      </w:r>
      <w:r w:rsidR="00191148" w:rsidRPr="00A50CEE">
        <w:rPr>
          <w:rFonts w:asciiTheme="minorHAnsi" w:hAnsiTheme="minorHAnsi" w:cstheme="minorHAnsi"/>
          <w:sz w:val="16"/>
          <w:szCs w:val="16"/>
        </w:rPr>
        <w:instrText xml:space="preserve"> ADDIN ZOTERO_ITEM CSL_CITATION {"citationID":"nTMeZ4Xm","properties":{"custom":"Black, Welday, et al. (2016)","formattedCitation":"Black, Welday, et al. (2016)","plainCitation":"Black, Welday, et al. (2016)","noteIndex":0},"citationItems":[{"id":15287,"uris":["http://zotero.org/users/148142/items/6C9A4T94"],"uri":["http://zotero.org/users/148142/items/6C9A4T94"],"itemData":{"id":15287,"type":"article-journal","abstract":"Due to changes in the drilling industry, oil spills are impacting large expanses of coastlines, thereby increasing the potential for people to come in contact with oil spill chemicals. The objective of this manuscript was to evaluate the health risk to children who potentially contact beach sands impacted by oil spill chemicals from the Deepwater Horizon disaster. To identify chemicals of concern, the U.S. Environmental Protection Agency's (EPA's) monitoring data collected during and immediately after the spill were evaluated. This dataset was supplemented with measurements from beach sands and tar balls collected five years after the spill. Of interest is that metals in the sediments were observed at similar levels between the two sampling periods; some differences were observed for metals levels in tar balls. Although PAHs were not observed five years later, there is evidence of weathered-oil oxidative by-products. Comparing chemical concentration data to baseline soil risk levels, three metals (As, Ba, and V) and four PAHs (benzo[a]pyrene, benz[a]anthracene, benzo[b]fluoranthene, and dibenz[a,h]anthracene) were found to exceed guideline levels prompting a risk assessment. For acute or sub-chronic exposures, hazard quotients, computed by estimating average expected contact behavior, showed no adverse potential health effects. For cancer, computations using 95% upper confidence limits for contaminant concentrations showed extremely low increased risk in the 10(-6) range for oral and dermal exposure from arsenic in sediments and from dermal exposure from benzo[a]pyrene and benz[a]anthracene in weathered oil. Overall, results suggest that health risks are extremely low, given the limitations of available data. Limitations of this study are associated with the lack of toxicological data for dispersants and oil-spill degradation products. We also recommend studies to collect quantitative information about children's beach play habits, which are necessary to more accurately assess exposure scenarios and health risks.","container-title":"International Journal of Environmental Research and Public Health","DOI":"10.3390/ijerph13090853","ISSN":"1660-4601","issue":"9","journalAbbreviation":"Int J Environ Res Public Health","language":"eng","source":"PubMed","title":"Risk Assessment for Children Exposed to Beach Sands Impacted by Oil Spill Chemicals","URL":"http://www.ncbi.nlm.nih.gov/pubmed/27618904","volume":"13","author":[{"family":"Black","given":"Jennifer C."},{"family":"Welday","given":"Jennifer N."},{"family":"Buckley","given":"Brian"},{"family":"Ferguson","given":"Alesia"},{"family":"Gurian","given":"Patrick L."},{"family":"Mena","given":"Kristina D."},{"family":"Yang","given":"Ill"},{"family":"McCandlish","given":"Elizabeth"},{"family":"Solo-Gabriele","given":"Helena M."}],"issued":{"date-parts":[["2016"]]}}}],"schema":"https://github.com/citation-style-language/schema/raw/master/csl-citation.json"} </w:instrText>
      </w:r>
      <w:r w:rsidR="00191148" w:rsidRPr="00A50CEE">
        <w:rPr>
          <w:rFonts w:asciiTheme="minorHAnsi" w:hAnsiTheme="minorHAnsi" w:cstheme="minorHAnsi"/>
          <w:sz w:val="16"/>
          <w:szCs w:val="16"/>
        </w:rPr>
        <w:fldChar w:fldCharType="separate"/>
      </w:r>
      <w:r w:rsidR="00191148" w:rsidRPr="00A50CEE">
        <w:rPr>
          <w:rFonts w:asciiTheme="minorHAnsi" w:hAnsiTheme="minorHAnsi" w:cstheme="minorHAnsi"/>
          <w:sz w:val="16"/>
          <w:szCs w:val="16"/>
        </w:rPr>
        <w:t>Black, Welday, et al. (2016)</w:t>
      </w:r>
      <w:r w:rsidR="00191148" w:rsidRPr="00A50CEE">
        <w:rPr>
          <w:rFonts w:asciiTheme="minorHAnsi" w:hAnsiTheme="minorHAnsi" w:cstheme="minorHAnsi"/>
          <w:sz w:val="16"/>
          <w:szCs w:val="16"/>
        </w:rPr>
        <w:fldChar w:fldCharType="end"/>
      </w:r>
      <w:r w:rsidR="00191148" w:rsidRPr="00A50CEE">
        <w:rPr>
          <w:rFonts w:asciiTheme="minorHAnsi" w:hAnsiTheme="minorHAnsi" w:cstheme="minorHAnsi"/>
          <w:sz w:val="16"/>
          <w:szCs w:val="16"/>
        </w:rPr>
        <w:t xml:space="preserve">, </w:t>
      </w:r>
      <w:bookmarkEnd w:id="310"/>
      <w:r w:rsidR="00191148" w:rsidRPr="00ED1370">
        <w:rPr>
          <w:rFonts w:asciiTheme="minorHAnsi" w:hAnsiTheme="minorHAnsi" w:cstheme="minorHAnsi"/>
          <w:i/>
          <w:sz w:val="16"/>
          <w:szCs w:val="16"/>
        </w:rPr>
        <w:t>Risk Assessment for Children Exposed to Beach Sands Impacted by Oil Spill Chemicals</w:t>
      </w:r>
      <w:bookmarkEnd w:id="309"/>
      <w:r w:rsidR="00513CF6">
        <w:rPr>
          <w:rFonts w:asciiTheme="minorHAnsi" w:hAnsiTheme="minorHAnsi" w:cstheme="minorHAnsi"/>
          <w:sz w:val="16"/>
          <w:szCs w:val="16"/>
        </w:rPr>
        <w:t>.</w:t>
      </w:r>
    </w:p>
    <w:p w14:paraId="67D26638" w14:textId="38961360" w:rsidR="005D3D0D" w:rsidRPr="00A50CEE" w:rsidRDefault="00274BC6" w:rsidP="00A50CEE">
      <w:pPr>
        <w:spacing w:before="0" w:after="0" w:line="240" w:lineRule="auto"/>
        <w:rPr>
          <w:rFonts w:asciiTheme="minorHAnsi" w:hAnsiTheme="minorHAnsi" w:cstheme="minorHAnsi"/>
          <w:sz w:val="16"/>
          <w:szCs w:val="16"/>
        </w:rPr>
      </w:pPr>
      <w:r w:rsidRPr="00A50CEE">
        <w:rPr>
          <w:rFonts w:asciiTheme="minorHAnsi" w:hAnsiTheme="minorHAnsi" w:cstheme="minorHAnsi"/>
          <w:sz w:val="16"/>
          <w:szCs w:val="16"/>
        </w:rPr>
        <w:t xml:space="preserve">J2: </w:t>
      </w:r>
      <w:r w:rsidR="00191148" w:rsidRPr="00A50CEE">
        <w:rPr>
          <w:rFonts w:asciiTheme="minorHAnsi" w:hAnsiTheme="minorHAnsi" w:cstheme="minorHAnsi"/>
          <w:sz w:val="16"/>
          <w:szCs w:val="16"/>
        </w:rPr>
        <w:fldChar w:fldCharType="begin"/>
      </w:r>
      <w:r w:rsidR="00191148" w:rsidRPr="00A50CEE">
        <w:rPr>
          <w:rFonts w:asciiTheme="minorHAnsi" w:hAnsiTheme="minorHAnsi" w:cstheme="minorHAnsi"/>
          <w:sz w:val="16"/>
          <w:szCs w:val="16"/>
        </w:rPr>
        <w:instrText xml:space="preserve"> ADDIN ZOTERO_ITEM CSL_CITATION {"citationID":"SwA0pIIU","properties":{"custom":"Canpolat, Varol, et al. (2020)","formattedCitation":"Canpolat, Varol, et al. (2020)","plainCitation":"Canpolat, Varol, et al. (2020)","noteIndex":0},"citationItems":[{"id":14174,"uris":["http://zotero.org/users/148142/items/U5DF2A2Y"],"uri":["http://zotero.org/users/148142/items/U5DF2A2Y"],"itemData":{"id":14174,"type":"article-journal","abstract":"Keban Dam Lake (KDL) is the second largest dam lake in Turkey. There have been some reports on the trace element (TE) levels in surface water of the KDL, but its deep water has been never studied. We measured 17 TEs (Pb, Hg, Cd, As, Cr, Ni, Co, Mn, Cu, Fe, Al, Sr, U, V, Zn, Zr and Ba) in surface and deep water samples and assessed their health risks for residential and recreational receptors. Copper, Zn, Ba, Ni, Mn and Pb levels in deep water were higher than those in surface water. Total TE level in deep water was higher in wet season, whereas that in surface water was higher in dry season. TE levels in both surface and deep water were much lower than the guideline values for drinking water and the protection of freshwater aquatic life, indicating that TEs in the KDL originate from natural sources. All HQ (hazard quotient) and HI (hazard index) values were below the risk threshold of unity. HI values for child were higher than those for adult, indicating that the health of children is at dramatically higher risk than adults. Arsenic and U for water ingestion were the primary contributors to total risk (HI), while V and Cr for dermal pathway. The presence of U and V, among the TEs which are major contributors to total health risk, reveals the necessity of monitoring of such less-studied elements in the surface water bodies. Carcinogenic risk values of As and Cr in surface and deep water were below the target risk of 1 x 10(-4). These findings indicated that TEs in surface and deep water of the KDL do not pose health risks to residential and recreational users. Thus this study may serve as a model for similar studies assessing health risks of multielements in freshwater bodies in future.","container-title":"Environmental Research","DOI":"10.1016/j.envres.2020.110012","ISSN":"0013-9351","journalAbbreviation":"Environ. Res.","language":"English","page":"110012","source":"Web of Science","title":"A comparison of trace element concentrations in surface and deep water of the Keban Dam Lake (Turkey) and associated health risk assessment","volume":"190","author":[{"family":"Canpolat","given":"Ozgur"},{"family":"Varol","given":"Memet"},{"family":"Okan","given":"Ozlem Oztekin"},{"family":"Eris","given":"Kursad Kadir"},{"family":"Caglar","given":"Metin"}],"issued":{"date-parts":[["2020",11]]}}}],"schema":"https://github.com/citation-style-language/schema/raw/master/csl-citation.json"} </w:instrText>
      </w:r>
      <w:r w:rsidR="00191148" w:rsidRPr="00A50CEE">
        <w:rPr>
          <w:rFonts w:asciiTheme="minorHAnsi" w:hAnsiTheme="minorHAnsi" w:cstheme="minorHAnsi"/>
          <w:sz w:val="16"/>
          <w:szCs w:val="16"/>
        </w:rPr>
        <w:fldChar w:fldCharType="separate"/>
      </w:r>
      <w:r w:rsidR="00191148" w:rsidRPr="00A50CEE">
        <w:rPr>
          <w:rFonts w:asciiTheme="minorHAnsi" w:hAnsiTheme="minorHAnsi" w:cstheme="minorHAnsi"/>
          <w:sz w:val="16"/>
          <w:szCs w:val="16"/>
        </w:rPr>
        <w:t>Canpolat, Varol, et al. (2020)</w:t>
      </w:r>
      <w:r w:rsidR="00191148" w:rsidRPr="00A50CEE">
        <w:rPr>
          <w:rFonts w:asciiTheme="minorHAnsi" w:hAnsiTheme="minorHAnsi" w:cstheme="minorHAnsi"/>
          <w:sz w:val="16"/>
          <w:szCs w:val="16"/>
        </w:rPr>
        <w:fldChar w:fldCharType="end"/>
      </w:r>
      <w:r w:rsidR="00A50CEE">
        <w:rPr>
          <w:rFonts w:asciiTheme="minorHAnsi" w:hAnsiTheme="minorHAnsi" w:cstheme="minorHAnsi"/>
          <w:sz w:val="16"/>
          <w:szCs w:val="16"/>
        </w:rPr>
        <w:t xml:space="preserve">, </w:t>
      </w:r>
      <w:r w:rsidR="00191148" w:rsidRPr="00ED1370">
        <w:rPr>
          <w:rFonts w:asciiTheme="minorHAnsi" w:hAnsiTheme="minorHAnsi" w:cstheme="minorHAnsi"/>
          <w:i/>
          <w:sz w:val="16"/>
          <w:szCs w:val="16"/>
        </w:rPr>
        <w:t xml:space="preserve">A comparison of trace element concentrations in surface and deep water of the </w:t>
      </w:r>
      <w:proofErr w:type="spellStart"/>
      <w:r w:rsidR="00191148" w:rsidRPr="00ED1370">
        <w:rPr>
          <w:rFonts w:asciiTheme="minorHAnsi" w:hAnsiTheme="minorHAnsi" w:cstheme="minorHAnsi"/>
          <w:i/>
          <w:sz w:val="16"/>
          <w:szCs w:val="16"/>
        </w:rPr>
        <w:t>Keban</w:t>
      </w:r>
      <w:proofErr w:type="spellEnd"/>
      <w:r w:rsidR="00191148" w:rsidRPr="00ED1370">
        <w:rPr>
          <w:rFonts w:asciiTheme="minorHAnsi" w:hAnsiTheme="minorHAnsi" w:cstheme="minorHAnsi"/>
          <w:i/>
          <w:sz w:val="16"/>
          <w:szCs w:val="16"/>
        </w:rPr>
        <w:t xml:space="preserve"> Dam Lake (Turkey) and associated health risk assessment</w:t>
      </w:r>
      <w:r w:rsidR="00513CF6">
        <w:rPr>
          <w:rFonts w:asciiTheme="minorHAnsi" w:hAnsiTheme="minorHAnsi" w:cstheme="minorHAnsi"/>
          <w:sz w:val="16"/>
          <w:szCs w:val="16"/>
        </w:rPr>
        <w:t>.</w:t>
      </w:r>
    </w:p>
    <w:p w14:paraId="7251A602" w14:textId="707209F0" w:rsidR="005D3D0D" w:rsidRPr="00A50CEE" w:rsidRDefault="00274BC6" w:rsidP="00A50CEE">
      <w:pPr>
        <w:spacing w:before="0" w:after="0" w:line="240" w:lineRule="auto"/>
        <w:rPr>
          <w:rFonts w:asciiTheme="minorHAnsi" w:hAnsiTheme="minorHAnsi" w:cstheme="minorHAnsi"/>
          <w:sz w:val="16"/>
          <w:szCs w:val="16"/>
        </w:rPr>
      </w:pPr>
      <w:r w:rsidRPr="00A50CEE">
        <w:rPr>
          <w:rFonts w:asciiTheme="minorHAnsi" w:hAnsiTheme="minorHAnsi" w:cstheme="minorHAnsi"/>
          <w:sz w:val="16"/>
          <w:szCs w:val="16"/>
        </w:rPr>
        <w:t xml:space="preserve">J3: </w:t>
      </w:r>
      <w:r w:rsidR="00191148" w:rsidRPr="00A50CEE">
        <w:rPr>
          <w:rFonts w:asciiTheme="minorHAnsi" w:hAnsiTheme="minorHAnsi" w:cstheme="minorHAnsi"/>
          <w:sz w:val="16"/>
          <w:szCs w:val="16"/>
        </w:rPr>
        <w:fldChar w:fldCharType="begin"/>
      </w:r>
      <w:r w:rsidR="00191148" w:rsidRPr="00A50CEE">
        <w:rPr>
          <w:rFonts w:asciiTheme="minorHAnsi" w:hAnsiTheme="minorHAnsi" w:cstheme="minorHAnsi"/>
          <w:sz w:val="16"/>
          <w:szCs w:val="16"/>
        </w:rPr>
        <w:instrText xml:space="preserve"> ADDIN ZOTERO_ITEM CSL_CITATION {"citationID":"obKSYy6B","properties":{"custom":"Dor, Bonnard, et al. (2003)","formattedCitation":"Dor, Bonnard, et al. (2003)","plainCitation":"Dor, Bonnard, et al. (2003)","noteIndex":0},"citationItems":[{"id":14618,"uris":["http://zotero.org/users/148142/items/FESFDP2K"],"uri":["http://zotero.org/users/148142/items/FESFDP2K"],"itemData":{"id":14618,"type":"article-journal","abstract":"Following the wreck of the oil tanker ERIKA off the north-west coast of France in December 1999, cleaning up of the beaches involved considerable work, which in any case could not be perfect. This raised the question of the short- and long-term health risks for the future bathers related to the toxicity of the remaining oil polycyclic aromatic hydrocarbons (PAHs). This risk assessment study was conducted to help health authorities plan risk management policies and inform the public. Thirty-six beaches were selected, representing a sample of the most frequently encountered topographic and beach usage situations; seven \"control\" beaches, unspoiled by ERIKA, were also investigated. Samples of water and sand were taken from each site, as well as from the surface of rocks. The 16 PAHs selected by the U.S. EPA were quantified in each environment. Several scenarios of exposure were contemplated: (1) a child between 2 and 4 years accidentally ingesting a small ball of fuel, (2) a child daily exposed throughout his holiday-time stay, (3) an adult (including a pregnant woman) spending his/her holidays on the coast, (4) an adult working on the beach, (5) and an adult practicing water sports. Among the available and significant toxicological values, the most conservative ones were selected for computing risks. The sand and water, after decontamination, were slightly polluted (respectively, 7.8 mug/kg and 23.3 ng/l of total 16 PAHs), with values similar to those found in the control beaches. By contrast, the rocky areas in some places were still highly polluted (up to 23 mg/kg on the surface layer). No lethal risk was found for a young child who had accidentally ingested a small ball of fuel. The life-long excess risks for skin cancer and for all other cancers were about 10(-5) in scenarios including contact with the polluted rocks. In all other cases, excess risks were considerably lower. The hazard quotient for teratogenic effects was very small, except in scenarios where pregnant women would walk among rocks containing high pollution levels. In conclusion, exposure was mainly associated with polluted water among children, and with spoiled rocks for adults. Despite uncertainties, mainly dealing with the prediction of long-term risks following a short-term exposure, this study showed that beaches where pollution was no longer visible after decontamination did not entail any significant health risks and could be opened to the public.","container-title":"Risk Analysis","DOI":"10.1111/j.0272-4332.2003.00394.x","ISSN":"0272-4332","issue":"6","journalAbbreviation":"Risk Anal.","language":"English","page":"1199-1208","source":"Web of Science","title":"Health risk assessment after decontamination of the beaches polluted by the wrecked ERIKA tanker","volume":"23","author":[{"family":"Dor","given":"F."},{"family":"Bonnard","given":"R."},{"family":"Gourier-Frery","given":"C."},{"family":"Cicolella","given":"A."},{"family":"Dujardin","given":"R."},{"family":"Zmirou","given":"D."}],"issued":{"date-parts":[["2003",12]]}}}],"schema":"https://github.com/citation-style-language/schema/raw/master/csl-citation.json"} </w:instrText>
      </w:r>
      <w:r w:rsidR="00191148" w:rsidRPr="00A50CEE">
        <w:rPr>
          <w:rFonts w:asciiTheme="minorHAnsi" w:hAnsiTheme="minorHAnsi" w:cstheme="minorHAnsi"/>
          <w:sz w:val="16"/>
          <w:szCs w:val="16"/>
        </w:rPr>
        <w:fldChar w:fldCharType="separate"/>
      </w:r>
      <w:r w:rsidR="00191148" w:rsidRPr="00A50CEE">
        <w:rPr>
          <w:rFonts w:asciiTheme="minorHAnsi" w:hAnsiTheme="minorHAnsi" w:cstheme="minorHAnsi"/>
          <w:sz w:val="16"/>
          <w:szCs w:val="16"/>
        </w:rPr>
        <w:t>Dor, Bonnard, et al. (2003)</w:t>
      </w:r>
      <w:r w:rsidR="00191148" w:rsidRPr="00A50CEE">
        <w:rPr>
          <w:rFonts w:asciiTheme="minorHAnsi" w:hAnsiTheme="minorHAnsi" w:cstheme="minorHAnsi"/>
          <w:sz w:val="16"/>
          <w:szCs w:val="16"/>
        </w:rPr>
        <w:fldChar w:fldCharType="end"/>
      </w:r>
      <w:r w:rsidR="00A50CEE">
        <w:rPr>
          <w:rFonts w:asciiTheme="minorHAnsi" w:hAnsiTheme="minorHAnsi" w:cstheme="minorHAnsi"/>
          <w:sz w:val="16"/>
          <w:szCs w:val="16"/>
        </w:rPr>
        <w:t xml:space="preserve">, </w:t>
      </w:r>
      <w:r w:rsidR="00191148" w:rsidRPr="00ED1370">
        <w:rPr>
          <w:rFonts w:asciiTheme="minorHAnsi" w:hAnsiTheme="minorHAnsi" w:cstheme="minorHAnsi"/>
          <w:i/>
          <w:sz w:val="16"/>
          <w:szCs w:val="16"/>
        </w:rPr>
        <w:t>Health risk assessment after decontamination of the beaches polluted by the wrecked ERIKA tanker</w:t>
      </w:r>
      <w:r w:rsidR="00513CF6">
        <w:rPr>
          <w:rFonts w:asciiTheme="minorHAnsi" w:hAnsiTheme="minorHAnsi" w:cstheme="minorHAnsi"/>
          <w:sz w:val="16"/>
          <w:szCs w:val="16"/>
        </w:rPr>
        <w:t>.</w:t>
      </w:r>
    </w:p>
    <w:p w14:paraId="0984F201" w14:textId="61F421A4" w:rsidR="005D3D0D" w:rsidRPr="00A50CEE" w:rsidRDefault="00274BC6" w:rsidP="00A50CEE">
      <w:pPr>
        <w:spacing w:before="0" w:after="0" w:line="240" w:lineRule="auto"/>
        <w:rPr>
          <w:rFonts w:asciiTheme="minorHAnsi" w:hAnsiTheme="minorHAnsi" w:cstheme="minorHAnsi"/>
          <w:sz w:val="16"/>
          <w:szCs w:val="16"/>
        </w:rPr>
      </w:pPr>
      <w:r w:rsidRPr="00A50CEE">
        <w:rPr>
          <w:rFonts w:asciiTheme="minorHAnsi" w:hAnsiTheme="minorHAnsi" w:cstheme="minorHAnsi"/>
          <w:sz w:val="16"/>
          <w:szCs w:val="16"/>
        </w:rPr>
        <w:t xml:space="preserve">J4: </w:t>
      </w:r>
      <w:r w:rsidR="00191148" w:rsidRPr="00A50CEE">
        <w:rPr>
          <w:rFonts w:asciiTheme="minorHAnsi" w:hAnsiTheme="minorHAnsi" w:cstheme="minorHAnsi"/>
          <w:sz w:val="16"/>
          <w:szCs w:val="16"/>
        </w:rPr>
        <w:t xml:space="preserve"> </w:t>
      </w:r>
      <w:r w:rsidR="00A50CEE" w:rsidRPr="00A50CEE">
        <w:rPr>
          <w:rFonts w:asciiTheme="minorHAnsi" w:hAnsiTheme="minorHAnsi" w:cstheme="minorHAnsi"/>
          <w:sz w:val="16"/>
          <w:szCs w:val="16"/>
        </w:rPr>
        <w:fldChar w:fldCharType="begin"/>
      </w:r>
      <w:r w:rsidR="00A50CEE" w:rsidRPr="00A50CEE">
        <w:rPr>
          <w:rFonts w:asciiTheme="minorHAnsi" w:hAnsiTheme="minorHAnsi" w:cstheme="minorHAnsi"/>
          <w:sz w:val="16"/>
          <w:szCs w:val="16"/>
        </w:rPr>
        <w:instrText xml:space="preserve"> ADDIN ZOTERO_ITEM CSL_CITATION {"citationID":"X1uboXul","properties":{"custom":"Li, Feng, et al. (2017)","formattedCitation":"Li, Feng, et al. (2017)","plainCitation":"Li, Feng, et al. (2017)","noteIndex":0},"citationItems":[{"id":15426,"uris":["http://zotero.org/users/148142/items/DRKUENNS"],"uri":["http://zotero.org/users/148142/items/DRKUENNS"],"itemData":{"id":15426,"type":"article-journal","abstract":"Shahu Lake is a well-known tourist lake in Ningxia, northwest China. This study analyzed the general hydrochemical characteristics of the lake water to determine the spatiotemporal variability of contaminants and to assess the potential health risk associated with the surface water. Lake water was monitored at three stations each month throughout 2013. Samples were analyzed for pH, total dissolved solids, temperature, EC, major ions (Na+, K+, Ca2+, Mg2+, SO42-, Cl-, HCO3 (-), and CO3 (2-)), ammonia nitrogen (NH4-N), fluoride (F-), phenol, and heavy metals (As, Hg, and Cr6+). The results suggest that Na+ is the dominant cation in the lake water, and Cl- and SO4 (2-) are the dominant anions, resulting in a primary water type of Cl center dot SO4-Na. Contaminant levels (NH4-N, F-, As, Hg, Cr6+, and phenol) vary through time and space (spatiotemporal variations). As and F- are high in the summer season; Cr6+ and Hg do not significantly change over the year; and the NH4-N and phenol concentrations also remain relatively stable. Concentrations of all these substances are within the acceptable limits for recreational water use (1.5, 1.5, 0.1, 0.001, 0.05, and 0.01 mg/L for NH4-N, F-, As, Hg, Cr6+, and phenol, respectively). An assessment model recommended by the Ministry of Environmental Protection of the P.R. China was used in the study to conduct the health risk assessment. While workers do experience higher non-carcinogenic and carcinogenic risks than tourists, the risks are low and negligible. As and Cr6+ contribute the most to total carcinogenic and non-carcinogenic risks.","container-title":"Exposure and Health","DOI":"10.1007/s12403-016-0237-3","ISSN":"2451-9766","issue":"3","journalAbbreviation":"Expo. Health","language":"English","page":"213-225","source":"Web of Science","title":"Spatiotemporal Variability of Contaminants in Lake Water and Their Risks to Human Health: A Case Study of the Shahu Lake Tourist Area, Northwest China","title-short":"Spatiotemporal Variability of Contaminants in Lake Water and Their Risks to Human Health","volume":"9","author":[{"family":"Li","given":"Peiyue"},{"family":"Feng","given":"Wei"},{"family":"Xue","given":"Chenyang"},{"family":"Tian","given":"Rui"},{"family":"Wang","given":"Siting"}],"issued":{"date-parts":[["2017",9]]}}}],"schema":"https://github.com/citation-style-language/schema/raw/master/csl-citation.json"} </w:instrText>
      </w:r>
      <w:r w:rsidR="00A50CEE" w:rsidRPr="00A50CEE">
        <w:rPr>
          <w:rFonts w:asciiTheme="minorHAnsi" w:hAnsiTheme="minorHAnsi" w:cstheme="minorHAnsi"/>
          <w:sz w:val="16"/>
          <w:szCs w:val="16"/>
        </w:rPr>
        <w:fldChar w:fldCharType="separate"/>
      </w:r>
      <w:r w:rsidR="00A50CEE" w:rsidRPr="00A50CEE">
        <w:rPr>
          <w:rFonts w:asciiTheme="minorHAnsi" w:hAnsiTheme="minorHAnsi" w:cstheme="minorHAnsi"/>
          <w:sz w:val="16"/>
          <w:szCs w:val="16"/>
        </w:rPr>
        <w:t>Li, Feng, et al. (2017)</w:t>
      </w:r>
      <w:r w:rsidR="00A50CEE" w:rsidRPr="00A50CEE">
        <w:rPr>
          <w:rFonts w:asciiTheme="minorHAnsi" w:hAnsiTheme="minorHAnsi" w:cstheme="minorHAnsi"/>
          <w:sz w:val="16"/>
          <w:szCs w:val="16"/>
        </w:rPr>
        <w:fldChar w:fldCharType="end"/>
      </w:r>
      <w:r w:rsidR="00A50CEE">
        <w:rPr>
          <w:rFonts w:asciiTheme="minorHAnsi" w:hAnsiTheme="minorHAnsi" w:cstheme="minorHAnsi"/>
          <w:sz w:val="16"/>
          <w:szCs w:val="16"/>
        </w:rPr>
        <w:t xml:space="preserve">, </w:t>
      </w:r>
      <w:r w:rsidR="00191148" w:rsidRPr="00ED1370">
        <w:rPr>
          <w:rFonts w:asciiTheme="minorHAnsi" w:hAnsiTheme="minorHAnsi" w:cstheme="minorHAnsi"/>
          <w:i/>
          <w:sz w:val="16"/>
          <w:szCs w:val="16"/>
        </w:rPr>
        <w:t>Spatiotemporal Variability of Contaminants in Lake Water and Their Risks to Human Health: A Case Study of the Shahu Lake Tourist Area, Northwest China</w:t>
      </w:r>
      <w:r w:rsidR="00513CF6">
        <w:rPr>
          <w:rFonts w:asciiTheme="minorHAnsi" w:hAnsiTheme="minorHAnsi" w:cstheme="minorHAnsi"/>
          <w:sz w:val="16"/>
          <w:szCs w:val="16"/>
        </w:rPr>
        <w:t>.</w:t>
      </w:r>
    </w:p>
    <w:p w14:paraId="13334EEE" w14:textId="6DBB6851" w:rsidR="005D3D0D" w:rsidRPr="00A50CEE" w:rsidRDefault="00274BC6" w:rsidP="00A50CEE">
      <w:pPr>
        <w:spacing w:before="0" w:after="0" w:line="240" w:lineRule="auto"/>
        <w:rPr>
          <w:rFonts w:asciiTheme="minorHAnsi" w:hAnsiTheme="minorHAnsi" w:cstheme="minorHAnsi"/>
          <w:sz w:val="16"/>
          <w:szCs w:val="16"/>
        </w:rPr>
      </w:pPr>
      <w:r w:rsidRPr="00A50CEE">
        <w:rPr>
          <w:rFonts w:asciiTheme="minorHAnsi" w:hAnsiTheme="minorHAnsi" w:cstheme="minorHAnsi"/>
          <w:sz w:val="16"/>
          <w:szCs w:val="16"/>
        </w:rPr>
        <w:t xml:space="preserve">J5: </w:t>
      </w:r>
      <w:r w:rsidR="00A50CEE" w:rsidRPr="00A50CEE">
        <w:rPr>
          <w:rFonts w:asciiTheme="minorHAnsi" w:hAnsiTheme="minorHAnsi" w:cstheme="minorHAnsi"/>
          <w:sz w:val="16"/>
          <w:szCs w:val="16"/>
        </w:rPr>
        <w:fldChar w:fldCharType="begin"/>
      </w:r>
      <w:r w:rsidR="00A50CEE" w:rsidRPr="00A50CEE">
        <w:rPr>
          <w:rFonts w:asciiTheme="minorHAnsi" w:hAnsiTheme="minorHAnsi" w:cstheme="minorHAnsi"/>
          <w:sz w:val="16"/>
          <w:szCs w:val="16"/>
        </w:rPr>
        <w:instrText xml:space="preserve"> ADDIN ZOTERO_ITEM CSL_CITATION {"citationID":"5hd2RFUG","properties":{"custom":"Swartjes and Janssen (2016)","formattedCitation":"Swartjes and Janssen (2016)","plainCitation":"Swartjes and Janssen (2016)","noteIndex":0},"citationItems":[{"id":13978,"uris":["http://zotero.org/users/148142/items/JSXBVMWV"],"uri":["http://zotero.org/users/148142/items/JSXBVMWV"],"itemData":{"id":13978,"type":"article-journal","abstract":"In 2011, an artificial hook-shaped peninsula of 128ha beach area was created along the Dutch coast, containing thousands of iron ore lumps, which include arsenic from natural origin. Elemental arsenic and inorganic arsenic induce a range of toxicological effects and has been classified as proven human carcinogens. The combination of easy access to the beach and the presence of arsenic raised concern about possible human health effects by the local authorities. The objective of this study is therefore to investigate human health risks from the presence of arsenic-containing iron ore lumps in a beach setting. The exposure scenarios underlying the human health-based risk limits for contaminated land in The Netherlands, based on soil material ingestion and a residential setting, are not appropriate. Two specific exposure scenarios related to the playing with iron ore lumps on the beach ('sandcastle building') are developed on the basis of expert judgement, relating to children in the age of 2 to 12years, i.e., a worst case exposure scenario and a precautionary scenario. Subsequently, exposure is calculated by the quantification of the following factors: hand loading, soil-mouth transfer effectivity, hand-mouth contact frequency, contact surface, body weight and the relative oral bioavailability factor. By lack of consensus on a universal reference dose for arsenic for use in the stage of risk characterization, three different types of assessments have been evaluated: on the basis of the current Provisional Tolerable Daily Intake (PTWI), on the basis of the Benchmark Dose Lower limit (BMDL), and by a comparison of exposure from the iron ore lumps with background exposure. It is concluded, certainly from the perspective of the conservative exposure assessment, that unacceptable human health risks due to exposure to arsenic from the iron ore lumps are unlikely and there is no need for risk management actions.","container-title":"The Science of the Total Environment","DOI":"10.1016/j.scitotenv.2016.04.100","ISSN":"1879-1026","journalAbbreviation":"Sci Total Environ","language":"eng","page":"405-412","source":"PubMed","title":"Assessment of health risks due to arsenic from iron ore lumps in a beach setting","volume":"563-564","author":[{"family":"Swartjes","given":"Frank A."},{"family":"Janssen","given":"Paul J. C. M."}],"issued":{"date-parts":[["2016",9,1]]}}}],"schema":"https://github.com/citation-style-language/schema/raw/master/csl-citation.json"} </w:instrText>
      </w:r>
      <w:r w:rsidR="00A50CEE" w:rsidRPr="00A50CEE">
        <w:rPr>
          <w:rFonts w:asciiTheme="minorHAnsi" w:hAnsiTheme="minorHAnsi" w:cstheme="minorHAnsi"/>
          <w:sz w:val="16"/>
          <w:szCs w:val="16"/>
        </w:rPr>
        <w:fldChar w:fldCharType="separate"/>
      </w:r>
      <w:r w:rsidR="00A50CEE" w:rsidRPr="00A50CEE">
        <w:rPr>
          <w:rFonts w:asciiTheme="minorHAnsi" w:hAnsiTheme="minorHAnsi" w:cstheme="minorHAnsi"/>
          <w:sz w:val="16"/>
          <w:szCs w:val="16"/>
        </w:rPr>
        <w:t>Swartjes and Janssen (2016)</w:t>
      </w:r>
      <w:r w:rsidR="00A50CEE" w:rsidRPr="00A50CEE">
        <w:rPr>
          <w:rFonts w:asciiTheme="minorHAnsi" w:hAnsiTheme="minorHAnsi" w:cstheme="minorHAnsi"/>
          <w:sz w:val="16"/>
          <w:szCs w:val="16"/>
        </w:rPr>
        <w:fldChar w:fldCharType="end"/>
      </w:r>
      <w:r w:rsidR="00A50CEE">
        <w:rPr>
          <w:rFonts w:asciiTheme="minorHAnsi" w:hAnsiTheme="minorHAnsi" w:cstheme="minorHAnsi"/>
          <w:sz w:val="16"/>
          <w:szCs w:val="16"/>
        </w:rPr>
        <w:t xml:space="preserve">, </w:t>
      </w:r>
      <w:r w:rsidR="00191148" w:rsidRPr="00ED1370">
        <w:rPr>
          <w:rFonts w:asciiTheme="minorHAnsi" w:hAnsiTheme="minorHAnsi" w:cstheme="minorHAnsi"/>
          <w:i/>
          <w:sz w:val="16"/>
          <w:szCs w:val="16"/>
        </w:rPr>
        <w:t>Assessment of health risks due to arsenic from iron ore lumps in a beach setting</w:t>
      </w:r>
      <w:r w:rsidR="00513CF6">
        <w:rPr>
          <w:rFonts w:asciiTheme="minorHAnsi" w:hAnsiTheme="minorHAnsi" w:cstheme="minorHAnsi"/>
          <w:sz w:val="16"/>
          <w:szCs w:val="16"/>
        </w:rPr>
        <w:t>.</w:t>
      </w:r>
    </w:p>
    <w:p w14:paraId="5433332E" w14:textId="499DE02A" w:rsidR="005D3D0D" w:rsidRPr="00A50CEE" w:rsidRDefault="00274BC6" w:rsidP="00A50CEE">
      <w:pPr>
        <w:spacing w:before="0" w:after="0" w:line="240" w:lineRule="auto"/>
        <w:rPr>
          <w:rFonts w:asciiTheme="minorHAnsi" w:hAnsiTheme="minorHAnsi" w:cstheme="minorHAnsi"/>
          <w:sz w:val="16"/>
          <w:szCs w:val="16"/>
        </w:rPr>
      </w:pPr>
      <w:r w:rsidRPr="00A50CEE">
        <w:rPr>
          <w:rFonts w:asciiTheme="minorHAnsi" w:hAnsiTheme="minorHAnsi" w:cstheme="minorHAnsi"/>
          <w:sz w:val="16"/>
          <w:szCs w:val="16"/>
        </w:rPr>
        <w:t xml:space="preserve">J6: </w:t>
      </w:r>
      <w:r w:rsidR="00A50CEE" w:rsidRPr="00A50CEE">
        <w:rPr>
          <w:rFonts w:asciiTheme="minorHAnsi" w:hAnsiTheme="minorHAnsi" w:cstheme="minorHAnsi"/>
          <w:sz w:val="16"/>
          <w:szCs w:val="16"/>
        </w:rPr>
        <w:fldChar w:fldCharType="begin"/>
      </w:r>
      <w:r w:rsidR="00A50CEE" w:rsidRPr="00A50CEE">
        <w:rPr>
          <w:rFonts w:asciiTheme="minorHAnsi" w:hAnsiTheme="minorHAnsi" w:cstheme="minorHAnsi"/>
          <w:sz w:val="16"/>
          <w:szCs w:val="16"/>
        </w:rPr>
        <w:instrText xml:space="preserve"> ADDIN ZOTERO_ITEM CSL_CITATION {"citationID":"gaYAPhqd","properties":{"custom":"Bj\\uc0\\u246{}rklund, Bondelind, et al. (2018)","formattedCitation":"Bj\\uc0\\u246{}rklund, Bondelind, et al. (2018)","plainCitation":"Björklund, Bondelind, et al. (2018)","noteIndex":0},"citationItems":[{"id":15785,"uris":["http://zotero.org/users/148142/items/X2Y9Q6PN"],"uri":["http://zotero.org/users/148142/items/X2Y9Q6PN"],"itemData":{"id":15785,"type":"article-journal","abstract":"The risk from chemical substances in surface waters is often increased during wet weather, due to surface runoff, combined sewer overflows (CSOs) and erosion of contaminated land. There are strong incentives to improve the quality of surface waters affected by human activities, not only from ecotoxicity and ecosystem health perspectives, but also for drinking water and recreational purposes. The aim of this study is to investigate the influence of urban stormwater discharges and CSOs on receiving water in the context of chemical health risks and recreational water quality. Transport of copper (Cu) and benzo[a]pyrene (BaP) in the Göta River (Sweden) was simulated using a hydrodynamic model. Within the 16 km modelled section, 35 CSO and 16 urban stormwater point discharges, as well as the effluent from a major wastewater treatment plant, were included. Pollutant concentrations in the river were simulated for two rain events and investigated at 13 suggested bathing sites. The simulations indicate that water quality guideline values for Cu are exceeded at several sites, and that stormwater discharges generally give rise to higher Cu and BaP concentrations than CSOs. Due to the location of point discharges and the river current inhibiting lateral mixing, the north shore of the river is better suited for bathing. Peak concentrations have a short duration; increased concentrations of the pollutants may however be present for several days after a rain event. Monitoring of river water quality indicates that simulated Cu and BaP concentrations are in the same order of magnitude as measured concentrations. It is concluded that hydrodynamic modelling is a useful tool for identifying suitable bathing sites in urban surface waters and areas of concern where mitigation measures should be implemented to improve water quality.","container-title":"Journal of Environmental Management","DOI":"10.1016/j.jenvman.2017.11.014","ISSN":"0301-4797","journalAbbreviation":"Journal of Environmental Management","language":"en","page":"32-42","source":"ScienceDirect","title":"Hydrodynamic modelling of the influence of stormwater and combined sewer overflows on receiving water quality: Benzo(a)pyrene and copper risks to recreational water","title-short":"Hydrodynamic modelling of the influence of stormwater and combined sewer overflows on receiving water quality","volume":"207","author":[{"family":"Björklund","given":"Karin"},{"family":"Bondelind","given":"Mia"},{"family":"Karlsson","given":"Anna"},{"family":"Karlsson","given":"Dick"},{"family":"Sokolova","given":"Ekaterina"}],"issued":{"date-parts":[["2018",2,1]]}}}],"schema":"https://github.com/citation-style-language/schema/raw/master/csl-citation.json"} </w:instrText>
      </w:r>
      <w:r w:rsidR="00A50CEE" w:rsidRPr="00A50CEE">
        <w:rPr>
          <w:rFonts w:asciiTheme="minorHAnsi" w:hAnsiTheme="minorHAnsi" w:cstheme="minorHAnsi"/>
          <w:sz w:val="16"/>
          <w:szCs w:val="16"/>
        </w:rPr>
        <w:fldChar w:fldCharType="separate"/>
      </w:r>
      <w:r w:rsidR="00A50CEE" w:rsidRPr="00A50CEE">
        <w:rPr>
          <w:rFonts w:asciiTheme="minorHAnsi" w:hAnsiTheme="minorHAnsi" w:cstheme="minorHAnsi"/>
          <w:sz w:val="16"/>
          <w:szCs w:val="16"/>
        </w:rPr>
        <w:t>Björklund, Bondelind, et al. (2018)</w:t>
      </w:r>
      <w:r w:rsidR="00A50CEE" w:rsidRPr="00A50CEE">
        <w:rPr>
          <w:rFonts w:asciiTheme="minorHAnsi" w:hAnsiTheme="minorHAnsi" w:cstheme="minorHAnsi"/>
          <w:sz w:val="16"/>
          <w:szCs w:val="16"/>
        </w:rPr>
        <w:fldChar w:fldCharType="end"/>
      </w:r>
      <w:r w:rsidR="00A50CEE">
        <w:rPr>
          <w:rFonts w:asciiTheme="minorHAnsi" w:hAnsiTheme="minorHAnsi" w:cstheme="minorHAnsi"/>
          <w:sz w:val="16"/>
          <w:szCs w:val="16"/>
        </w:rPr>
        <w:t xml:space="preserve">, </w:t>
      </w:r>
      <w:r w:rsidR="00191148" w:rsidRPr="00ED1370">
        <w:rPr>
          <w:rFonts w:asciiTheme="minorHAnsi" w:hAnsiTheme="minorHAnsi" w:cstheme="minorHAnsi"/>
          <w:i/>
          <w:sz w:val="16"/>
          <w:szCs w:val="16"/>
        </w:rPr>
        <w:t>Hydrodynamic modelling of the influence of stormwater and combined sewer overflows on receiving water quality: Benzo(a)pyrene and copper risks to recreational water</w:t>
      </w:r>
      <w:r w:rsidR="00513CF6">
        <w:rPr>
          <w:rFonts w:asciiTheme="minorHAnsi" w:hAnsiTheme="minorHAnsi" w:cstheme="minorHAnsi"/>
          <w:sz w:val="16"/>
          <w:szCs w:val="16"/>
        </w:rPr>
        <w:t>.</w:t>
      </w:r>
    </w:p>
    <w:p w14:paraId="4B962CE7" w14:textId="62FF7D04" w:rsidR="004179B6" w:rsidRPr="00595884" w:rsidRDefault="00274BC6" w:rsidP="005B36E3">
      <w:pPr>
        <w:pStyle w:val="Heading1"/>
      </w:pPr>
      <w:bookmarkStart w:id="311" w:name="_Toc106811137"/>
      <w:r w:rsidRPr="00595884">
        <w:t>Full list of included studies</w:t>
      </w:r>
      <w:bookmarkEnd w:id="311"/>
    </w:p>
    <w:p w14:paraId="1DB8785E" w14:textId="6637E359" w:rsidR="00036D07" w:rsidRPr="00595884" w:rsidRDefault="00274BC6" w:rsidP="00D95B6A">
      <w:pPr>
        <w:pStyle w:val="Heading2"/>
      </w:pPr>
      <w:bookmarkStart w:id="312" w:name="_Ref70947357"/>
      <w:bookmarkStart w:id="313" w:name="_Ref70949326"/>
      <w:bookmarkStart w:id="314" w:name="_Toc106811138"/>
      <w:r>
        <w:t>Existing g</w:t>
      </w:r>
      <w:r w:rsidRPr="00595884">
        <w:t>uidelines</w:t>
      </w:r>
      <w:bookmarkEnd w:id="312"/>
      <w:bookmarkEnd w:id="313"/>
      <w:bookmarkEnd w:id="314"/>
    </w:p>
    <w:p w14:paraId="0620B8C6" w14:textId="18E85DE0" w:rsidR="006B157C" w:rsidRPr="00595884" w:rsidRDefault="00274BC6" w:rsidP="00833AA5">
      <w:r w:rsidRPr="00595884">
        <w:t xml:space="preserve">The seven guideline documents </w:t>
      </w:r>
      <w:r w:rsidR="005F4662" w:rsidRPr="005F4662">
        <w:t xml:space="preserve">included </w:t>
      </w:r>
      <w:r w:rsidRPr="00595884">
        <w:t>after screening and quality assessment consisted of Australian, US and Canadian guidelines and one international (WHO) guideline</w:t>
      </w:r>
      <w:r w:rsidR="001B4B78" w:rsidRPr="00595884">
        <w:t xml:space="preserve"> (</w:t>
      </w:r>
      <w:r w:rsidR="001B4B78" w:rsidRPr="00595884">
        <w:fldChar w:fldCharType="begin"/>
      </w:r>
      <w:r w:rsidR="001B4B78" w:rsidRPr="00595884">
        <w:instrText xml:space="preserve"> REF _Ref70947379 \h </w:instrText>
      </w:r>
      <w:r w:rsidR="001B4B78" w:rsidRPr="00595884">
        <w:fldChar w:fldCharType="separate"/>
      </w:r>
      <w:r w:rsidR="003132AF" w:rsidRPr="00595884">
        <w:t xml:space="preserve">Table </w:t>
      </w:r>
      <w:r w:rsidR="003132AF">
        <w:rPr>
          <w:noProof/>
        </w:rPr>
        <w:t>5</w:t>
      </w:r>
      <w:r w:rsidR="003132AF">
        <w:noBreakHyphen/>
      </w:r>
      <w:r w:rsidR="003132AF">
        <w:rPr>
          <w:noProof/>
        </w:rPr>
        <w:t>1</w:t>
      </w:r>
      <w:r w:rsidR="001B4B78" w:rsidRPr="00595884">
        <w:fldChar w:fldCharType="end"/>
      </w:r>
      <w:r w:rsidR="001B4B78" w:rsidRPr="00595884">
        <w:t>)</w:t>
      </w:r>
      <w:r w:rsidRPr="00595884">
        <w:t xml:space="preserve">.  Only the </w:t>
      </w:r>
      <w:r w:rsidRPr="00ED1370">
        <w:rPr>
          <w:i/>
        </w:rPr>
        <w:t>Guidelines for Canadian Recreational Water Quality</w:t>
      </w:r>
      <w:r w:rsidRPr="00595884">
        <w:t xml:space="preserve"> </w:t>
      </w:r>
      <w:r w:rsidRPr="00595884">
        <w:fldChar w:fldCharType="begin"/>
      </w:r>
      <w:r w:rsidRPr="00595884">
        <w:instrText xml:space="preserve"> ADDIN ZOTERO_ITEM CSL_CITATION {"citationID":"4EElKncN","properties":{"formattedCitation":"(Health Canada, 2012)","plainCitation":"(Health Canada, 2012)","noteIndex":0},"citationItems":[{"id":11730,"uris":["http://zotero.org/users/148142/items/YA8HPAF3"],"uri":["http://zotero.org/users/148142/items/YA8HPAF3"],"itemData":{"id":11730,"type":"book","event-place":"Ottawa","ISBN":"978-1-100-20892-3","language":"English","note":"OCLC: 819133628","number-of-pages":"161","publisher":"Health Canada","publisher-place":"Ottawa","source":"Open WorldCat","title":"Guidelines for Canadian recreational water quality. Third Edition. Prepared by the Federal-Provincial-Territorial Working Group on Recreational Water Quality of the Federal-Provincial-Territorial Committee on Health and the Environment,","URL":"https://central.bac-lac.gc.ca/.item?id=H129-15-2012-eng&amp;op=pdf&amp;app=Library","author":[{"literal":"Health Canada"}],"accessed":{"date-parts":[["2020",6,23]]},"issued":{"date-parts":[["2012"]]}}}],"schema":"https://github.com/citation-style-language/schema/raw/master/csl-citation.json"} </w:instrText>
      </w:r>
      <w:r w:rsidRPr="00595884">
        <w:fldChar w:fldCharType="separate"/>
      </w:r>
      <w:r w:rsidRPr="00595884">
        <w:rPr>
          <w:rFonts w:cs="Arial"/>
        </w:rPr>
        <w:t>(Health Canada, 2012)</w:t>
      </w:r>
      <w:r w:rsidRPr="00595884">
        <w:fldChar w:fldCharType="end"/>
      </w:r>
      <w:r w:rsidRPr="00595884">
        <w:t xml:space="preserve"> addresse</w:t>
      </w:r>
      <w:r w:rsidR="005F4662">
        <w:t>d</w:t>
      </w:r>
      <w:r w:rsidRPr="00595884">
        <w:t xml:space="preserve"> the spectrum of chemical hazards in recreational water quality</w:t>
      </w:r>
      <w:r w:rsidR="005F4662">
        <w:t>,</w:t>
      </w:r>
      <w:r w:rsidR="00EF2B46" w:rsidRPr="00595884">
        <w:t xml:space="preserve"> albeit at a high level</w:t>
      </w:r>
      <w:r w:rsidR="005F4662">
        <w:t>.</w:t>
      </w:r>
      <w:r w:rsidRPr="00595884">
        <w:t xml:space="preserve"> </w:t>
      </w:r>
      <w:r w:rsidR="005F4662">
        <w:t>T</w:t>
      </w:r>
      <w:r w:rsidRPr="00595884">
        <w:t>he remaining documents either addressed single groups of substances (e.g.</w:t>
      </w:r>
      <w:r w:rsidR="00EF2B46" w:rsidRPr="00595884">
        <w:t xml:space="preserve"> PFAS in</w:t>
      </w:r>
      <w:r w:rsidRPr="00595884">
        <w:t xml:space="preserve"> </w:t>
      </w:r>
      <w:r w:rsidRPr="00595884">
        <w:fldChar w:fldCharType="begin"/>
      </w:r>
      <w:r w:rsidRPr="00595884">
        <w:instrText xml:space="preserve"> ADDIN ZOTERO_ITEM CSL_CITATION {"citationID":"CeEqh6Il","properties":{"custom":"NHMRC, 2019)","formattedCitation":"NHMRC, 2019)","plainCitation":"NHMRC, 2019)","noteIndex":0},"citationItems":[{"id":17312,"uris":["http://zotero.org/users/148142/items/6NV45AKL"],"uri":["http://zotero.org/users/148142/items/6NV45AKL"],"itemData":{"id":17312,"type":"report","event-place":"Canberra, A.C.T.","language":"English","publisher":"National Health and Medical Research Council","publisher-place":"Canberra, A.C.T.","title":"Guidance on Per and Polyfluoroalkyl (PFAS) in Recreational Water","URL":"https://www.nhmrc.gov.au/sites/default/files/documents/attachments/guidance-on-PFAS-in-recreational-water.pdf","author":[{"literal":"NHMRC"}],"accessed":{"date-parts":[["2020",10,18]]},"issued":{"date-parts":[["2019"]]}},"label":"page"}],"schema":"https://github.com/citation-style-language/schema/raw/master/csl-citation.json"} </w:instrText>
      </w:r>
      <w:r w:rsidRPr="00595884">
        <w:fldChar w:fldCharType="separate"/>
      </w:r>
      <w:r w:rsidRPr="00595884">
        <w:rPr>
          <w:rFonts w:cs="Arial"/>
        </w:rPr>
        <w:t>NHMRC, 2019)</w:t>
      </w:r>
      <w:r w:rsidRPr="00595884">
        <w:fldChar w:fldCharType="end"/>
      </w:r>
      <w:r w:rsidR="00EF2B46" w:rsidRPr="00595884">
        <w:t xml:space="preserve">, or were developed for other purposes but </w:t>
      </w:r>
      <w:r w:rsidR="005F4662">
        <w:t xml:space="preserve">did </w:t>
      </w:r>
      <w:r w:rsidR="00EF2B46" w:rsidRPr="00595884">
        <w:t>contain some useful material of relevance to the management of chemical hazards in the context of recreational water quality.</w:t>
      </w:r>
    </w:p>
    <w:p w14:paraId="7C8329D6" w14:textId="0C2548A2" w:rsidR="00B56AD2" w:rsidRPr="00595884" w:rsidRDefault="00274BC6" w:rsidP="00B56AD2">
      <w:pPr>
        <w:pStyle w:val="Caption"/>
      </w:pPr>
      <w:bookmarkStart w:id="315" w:name="_Ref70947379"/>
      <w:bookmarkStart w:id="316" w:name="_Toc106811173"/>
      <w:r w:rsidRPr="00595884">
        <w:t xml:space="preserve">Table </w:t>
      </w:r>
      <w:r w:rsidR="003132AF">
        <w:fldChar w:fldCharType="begin"/>
      </w:r>
      <w:r w:rsidR="003132AF">
        <w:instrText xml:space="preserve"> STYLEREF 1 \s </w:instrText>
      </w:r>
      <w:r w:rsidR="003132AF">
        <w:fldChar w:fldCharType="separate"/>
      </w:r>
      <w:r w:rsidR="003132AF">
        <w:rPr>
          <w:noProof/>
        </w:rPr>
        <w:t>5</w:t>
      </w:r>
      <w:r w:rsidR="003132AF">
        <w:rPr>
          <w:noProof/>
        </w:rPr>
        <w:fldChar w:fldCharType="end"/>
      </w:r>
      <w:r w:rsidR="00CE064A">
        <w:noBreakHyphen/>
      </w:r>
      <w:r w:rsidR="003132AF">
        <w:fldChar w:fldCharType="begin"/>
      </w:r>
      <w:r w:rsidR="003132AF">
        <w:instrText xml:space="preserve"> SEQ Table \* ARABIC \s 1 </w:instrText>
      </w:r>
      <w:r w:rsidR="003132AF">
        <w:fldChar w:fldCharType="separate"/>
      </w:r>
      <w:r w:rsidR="003132AF">
        <w:rPr>
          <w:noProof/>
        </w:rPr>
        <w:t>1</w:t>
      </w:r>
      <w:r w:rsidR="003132AF">
        <w:rPr>
          <w:noProof/>
        </w:rPr>
        <w:fldChar w:fldCharType="end"/>
      </w:r>
      <w:bookmarkEnd w:id="315"/>
      <w:r w:rsidRPr="00595884">
        <w:t xml:space="preserve">. List of guidelines </w:t>
      </w:r>
      <w:r w:rsidR="005F4662" w:rsidRPr="005F4662">
        <w:t xml:space="preserve">included </w:t>
      </w:r>
      <w:r w:rsidRPr="00595884">
        <w:t>after screening</w:t>
      </w:r>
      <w:r w:rsidR="00967381" w:rsidRPr="00595884">
        <w:t xml:space="preserve"> and quality assessment</w:t>
      </w:r>
      <w:bookmarkEnd w:id="316"/>
    </w:p>
    <w:tbl>
      <w:tblPr>
        <w:tblStyle w:val="EcosleftTableStyle"/>
        <w:tblW w:w="5100" w:type="pct"/>
        <w:tblInd w:w="-5" w:type="dxa"/>
        <w:tblLayout w:type="fixed"/>
        <w:tblLook w:val="04A0" w:firstRow="1" w:lastRow="0" w:firstColumn="1" w:lastColumn="0" w:noHBand="0" w:noVBand="1"/>
      </w:tblPr>
      <w:tblGrid>
        <w:gridCol w:w="1275"/>
        <w:gridCol w:w="6521"/>
      </w:tblGrid>
      <w:tr w:rsidR="004254E5" w14:paraId="4BC31061" w14:textId="77777777" w:rsidTr="004254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hideMark/>
          </w:tcPr>
          <w:p w14:paraId="3E9A93C9" w14:textId="748F33A7" w:rsidR="00EA5181" w:rsidRPr="00595884" w:rsidRDefault="00274BC6" w:rsidP="00C93A9C">
            <w:pPr>
              <w:rPr>
                <w:rFonts w:asciiTheme="minorHAnsi" w:hAnsiTheme="minorHAnsi"/>
                <w:bCs/>
              </w:rPr>
            </w:pPr>
            <w:bookmarkStart w:id="317" w:name="_Hlk70522609"/>
            <w:r w:rsidRPr="00595884">
              <w:rPr>
                <w:rFonts w:asciiTheme="minorHAnsi" w:hAnsiTheme="minorHAnsi"/>
                <w:b w:val="0"/>
                <w:bCs/>
              </w:rPr>
              <w:t>ID</w:t>
            </w:r>
          </w:p>
        </w:tc>
        <w:tc>
          <w:tcPr>
            <w:tcW w:w="4182" w:type="pct"/>
            <w:hideMark/>
          </w:tcPr>
          <w:p w14:paraId="4B244B8E" w14:textId="77777777" w:rsidR="00EA5181" w:rsidRPr="00595884" w:rsidRDefault="00274BC6" w:rsidP="00C93A9C">
            <w:pPr>
              <w:spacing w:before="0" w:after="0" w:line="240" w:lineRule="auto"/>
              <w:cnfStyle w:val="100000000000" w:firstRow="1" w:lastRow="0" w:firstColumn="0" w:lastColumn="0" w:oddVBand="0" w:evenVBand="0" w:oddHBand="0" w:evenHBand="0" w:firstRowFirstColumn="0" w:firstRowLastColumn="0" w:lastRowFirstColumn="0" w:lastRowLastColumn="0"/>
              <w:rPr>
                <w:rFonts w:ascii="Calibri" w:hAnsi="Calibri"/>
                <w:bCs/>
                <w:szCs w:val="16"/>
              </w:rPr>
            </w:pPr>
            <w:r w:rsidRPr="00595884">
              <w:rPr>
                <w:rFonts w:ascii="Calibri" w:hAnsi="Calibri"/>
                <w:b w:val="0"/>
                <w:bCs/>
                <w:szCs w:val="16"/>
              </w:rPr>
              <w:t>Title</w:t>
            </w:r>
          </w:p>
        </w:tc>
      </w:tr>
      <w:tr w:rsidR="004254E5" w14:paraId="53AF9134" w14:textId="77777777" w:rsidTr="004254E5">
        <w:tc>
          <w:tcPr>
            <w:cnfStyle w:val="001000000000" w:firstRow="0" w:lastRow="0" w:firstColumn="1" w:lastColumn="0" w:oddVBand="0" w:evenVBand="0" w:oddHBand="0" w:evenHBand="0" w:firstRowFirstColumn="0" w:firstRowLastColumn="0" w:lastRowFirstColumn="0" w:lastRowLastColumn="0"/>
            <w:tcW w:w="818" w:type="pct"/>
            <w:hideMark/>
          </w:tcPr>
          <w:p w14:paraId="27404C16" w14:textId="18691D52" w:rsidR="00EA5181" w:rsidRPr="00595884" w:rsidRDefault="00274BC6" w:rsidP="00C93A9C">
            <w:pPr>
              <w:spacing w:before="40" w:after="40" w:line="240" w:lineRule="auto"/>
              <w:rPr>
                <w:rFonts w:ascii="Calibri" w:hAnsi="Calibri"/>
                <w:bCs/>
                <w:color w:val="000000"/>
                <w:szCs w:val="16"/>
              </w:rPr>
            </w:pPr>
            <w:r w:rsidRPr="00595884">
              <w:rPr>
                <w:rFonts w:ascii="Calibri" w:hAnsi="Calibri"/>
                <w:b/>
                <w:color w:val="000000"/>
                <w:szCs w:val="16"/>
              </w:rPr>
              <w:t>G2</w:t>
            </w:r>
            <w:r w:rsidRPr="00595884">
              <w:rPr>
                <w:rFonts w:ascii="Calibri" w:hAnsi="Calibri"/>
                <w:bCs/>
                <w:color w:val="000000"/>
                <w:szCs w:val="16"/>
              </w:rPr>
              <w:t xml:space="preserve">: Health Canada (2012) </w:t>
            </w:r>
          </w:p>
        </w:tc>
        <w:tc>
          <w:tcPr>
            <w:tcW w:w="4182" w:type="pct"/>
            <w:hideMark/>
          </w:tcPr>
          <w:p w14:paraId="68B3BD8F" w14:textId="6AE2A1EC" w:rsidR="00EA5181" w:rsidRPr="00595884" w:rsidRDefault="00274BC6" w:rsidP="00C93A9C">
            <w:pPr>
              <w:spacing w:before="0" w:after="0" w:line="240" w:lineRule="auto"/>
              <w:ind w:left="720" w:hanging="720"/>
              <w:cnfStyle w:val="000000000000" w:firstRow="0" w:lastRow="0" w:firstColumn="0" w:lastColumn="0" w:oddVBand="0" w:evenVBand="0" w:oddHBand="0" w:evenHBand="0" w:firstRowFirstColumn="0" w:firstRowLastColumn="0" w:lastRowFirstColumn="0" w:lastRowLastColumn="0"/>
              <w:rPr>
                <w:rFonts w:ascii="Calibri" w:hAnsi="Calibri"/>
                <w:bCs/>
                <w:color w:val="000000"/>
                <w:szCs w:val="16"/>
              </w:rPr>
            </w:pPr>
            <w:r w:rsidRPr="00595884">
              <w:rPr>
                <w:rFonts w:ascii="Calibri" w:hAnsi="Calibri"/>
                <w:bCs/>
                <w:color w:val="000000"/>
                <w:szCs w:val="16"/>
              </w:rPr>
              <w:t xml:space="preserve">Health Canada (2012) </w:t>
            </w:r>
            <w:r w:rsidRPr="005B6ACD">
              <w:rPr>
                <w:rFonts w:ascii="Calibri" w:hAnsi="Calibri"/>
                <w:bCs/>
                <w:iCs/>
                <w:color w:val="000000"/>
                <w:szCs w:val="16"/>
              </w:rPr>
              <w:t xml:space="preserve">Guidelines for Canadian </w:t>
            </w:r>
            <w:r w:rsidR="00A33727" w:rsidRPr="005B6ACD">
              <w:rPr>
                <w:rFonts w:ascii="Calibri" w:hAnsi="Calibri"/>
                <w:bCs/>
                <w:iCs/>
                <w:color w:val="000000"/>
                <w:szCs w:val="16"/>
              </w:rPr>
              <w:t>Recreational Water Quality</w:t>
            </w:r>
            <w:r w:rsidRPr="005B6ACD">
              <w:rPr>
                <w:rFonts w:ascii="Calibri" w:hAnsi="Calibri"/>
                <w:bCs/>
                <w:iCs/>
                <w:color w:val="000000"/>
                <w:szCs w:val="16"/>
              </w:rPr>
              <w:t>. Third Edition</w:t>
            </w:r>
            <w:r w:rsidRPr="00170EF6">
              <w:rPr>
                <w:rFonts w:ascii="Calibri" w:hAnsi="Calibri"/>
                <w:bCs/>
                <w:color w:val="000000"/>
                <w:szCs w:val="16"/>
              </w:rPr>
              <w:t xml:space="preserve">, </w:t>
            </w:r>
            <w:r w:rsidRPr="00595884">
              <w:rPr>
                <w:rFonts w:ascii="Calibri" w:hAnsi="Calibri"/>
                <w:bCs/>
                <w:color w:val="000000"/>
                <w:szCs w:val="16"/>
              </w:rPr>
              <w:t xml:space="preserve">Ottawa, Health Canada. [online] </w:t>
            </w:r>
            <w:hyperlink r:id="rId25" w:history="1">
              <w:r w:rsidRPr="00595884">
                <w:rPr>
                  <w:rStyle w:val="Hyperlink"/>
                  <w:rFonts w:ascii="Calibri" w:hAnsi="Calibri"/>
                  <w:bCs/>
                  <w:szCs w:val="16"/>
                </w:rPr>
                <w:t>https://central.bac-lac.gc.ca/.item?id=H129-15-2012-eng&amp;op=pdf&amp;app=Library</w:t>
              </w:r>
            </w:hyperlink>
            <w:r w:rsidRPr="00595884">
              <w:rPr>
                <w:rFonts w:ascii="Calibri" w:hAnsi="Calibri"/>
                <w:bCs/>
                <w:color w:val="000000"/>
                <w:szCs w:val="16"/>
              </w:rPr>
              <w:t xml:space="preserve"> (Accessed December 17, 2020).</w:t>
            </w:r>
          </w:p>
        </w:tc>
      </w:tr>
      <w:tr w:rsidR="004254E5" w14:paraId="3AA22747" w14:textId="77777777" w:rsidTr="004254E5">
        <w:tc>
          <w:tcPr>
            <w:cnfStyle w:val="001000000000" w:firstRow="0" w:lastRow="0" w:firstColumn="1" w:lastColumn="0" w:oddVBand="0" w:evenVBand="0" w:oddHBand="0" w:evenHBand="0" w:firstRowFirstColumn="0" w:firstRowLastColumn="0" w:lastRowFirstColumn="0" w:lastRowLastColumn="0"/>
            <w:tcW w:w="818" w:type="pct"/>
            <w:hideMark/>
          </w:tcPr>
          <w:p w14:paraId="11624CA3" w14:textId="52EF2EB3" w:rsidR="00EA5181" w:rsidRPr="00595884" w:rsidRDefault="00274BC6" w:rsidP="00C93A9C">
            <w:pPr>
              <w:spacing w:before="40" w:after="40" w:line="240" w:lineRule="auto"/>
              <w:rPr>
                <w:rFonts w:ascii="Calibri" w:hAnsi="Calibri"/>
                <w:bCs/>
                <w:color w:val="000000"/>
                <w:szCs w:val="16"/>
              </w:rPr>
            </w:pPr>
            <w:r w:rsidRPr="00595884">
              <w:rPr>
                <w:rFonts w:ascii="Calibri" w:hAnsi="Calibri"/>
                <w:b/>
                <w:color w:val="000000"/>
                <w:szCs w:val="16"/>
              </w:rPr>
              <w:t>G3</w:t>
            </w:r>
            <w:r w:rsidRPr="00595884">
              <w:rPr>
                <w:rFonts w:ascii="Calibri" w:hAnsi="Calibri"/>
                <w:bCs/>
                <w:color w:val="000000"/>
                <w:szCs w:val="16"/>
              </w:rPr>
              <w:t xml:space="preserve">: HEPA (2020) </w:t>
            </w:r>
          </w:p>
        </w:tc>
        <w:tc>
          <w:tcPr>
            <w:tcW w:w="4182" w:type="pct"/>
            <w:hideMark/>
          </w:tcPr>
          <w:p w14:paraId="0322CD67" w14:textId="136AC8E2" w:rsidR="00EA5181" w:rsidRPr="00595884" w:rsidRDefault="00274BC6" w:rsidP="00C93A9C">
            <w:pPr>
              <w:spacing w:before="0" w:after="0" w:line="240" w:lineRule="auto"/>
              <w:ind w:left="720" w:hanging="720"/>
              <w:cnfStyle w:val="000000000000" w:firstRow="0" w:lastRow="0" w:firstColumn="0" w:lastColumn="0" w:oddVBand="0" w:evenVBand="0" w:oddHBand="0" w:evenHBand="0" w:firstRowFirstColumn="0" w:firstRowLastColumn="0" w:lastRowFirstColumn="0" w:lastRowLastColumn="0"/>
              <w:rPr>
                <w:rFonts w:ascii="Calibri" w:hAnsi="Calibri"/>
                <w:bCs/>
                <w:color w:val="000000"/>
                <w:szCs w:val="16"/>
              </w:rPr>
            </w:pPr>
            <w:r w:rsidRPr="00595884">
              <w:rPr>
                <w:rFonts w:ascii="Calibri" w:hAnsi="Calibri"/>
                <w:bCs/>
                <w:color w:val="000000"/>
                <w:szCs w:val="16"/>
              </w:rPr>
              <w:t xml:space="preserve">HEPA (2020) </w:t>
            </w:r>
            <w:r w:rsidRPr="005B6ACD">
              <w:rPr>
                <w:rFonts w:ascii="Calibri" w:hAnsi="Calibri"/>
                <w:bCs/>
                <w:iCs/>
                <w:color w:val="000000"/>
                <w:szCs w:val="16"/>
              </w:rPr>
              <w:t>PFAS National Environmental Management Plan Version 2.0’, Heads of EPA Australia and New Zealand (HEPA)</w:t>
            </w:r>
            <w:r w:rsidRPr="00170EF6">
              <w:rPr>
                <w:rFonts w:ascii="Calibri" w:hAnsi="Calibri"/>
                <w:bCs/>
                <w:color w:val="000000"/>
                <w:szCs w:val="16"/>
              </w:rPr>
              <w:t>,</w:t>
            </w:r>
            <w:r w:rsidRPr="00595884">
              <w:rPr>
                <w:rFonts w:ascii="Calibri" w:hAnsi="Calibri"/>
                <w:bCs/>
                <w:color w:val="000000"/>
                <w:szCs w:val="16"/>
              </w:rPr>
              <w:t xml:space="preserve"> [online] </w:t>
            </w:r>
            <w:hyperlink r:id="rId26" w:history="1">
              <w:r w:rsidRPr="00595884">
                <w:rPr>
                  <w:rStyle w:val="Hyperlink"/>
                  <w:rFonts w:ascii="Calibri" w:hAnsi="Calibri"/>
                  <w:bCs/>
                  <w:szCs w:val="16"/>
                </w:rPr>
                <w:t>https://www.environment.gov.au/system/files/resources/2fadf1bc-b0b6-44cb-a192-78c522d5ec3f/files/pfas-nemp-2.pdf</w:t>
              </w:r>
            </w:hyperlink>
            <w:r w:rsidRPr="00595884">
              <w:rPr>
                <w:rFonts w:ascii="Calibri" w:hAnsi="Calibri"/>
                <w:bCs/>
                <w:color w:val="000000"/>
                <w:szCs w:val="16"/>
              </w:rPr>
              <w:t>.</w:t>
            </w:r>
          </w:p>
        </w:tc>
      </w:tr>
      <w:tr w:rsidR="004254E5" w14:paraId="6A580786" w14:textId="77777777" w:rsidTr="004254E5">
        <w:tc>
          <w:tcPr>
            <w:cnfStyle w:val="001000000000" w:firstRow="0" w:lastRow="0" w:firstColumn="1" w:lastColumn="0" w:oddVBand="0" w:evenVBand="0" w:oddHBand="0" w:evenHBand="0" w:firstRowFirstColumn="0" w:firstRowLastColumn="0" w:lastRowFirstColumn="0" w:lastRowLastColumn="0"/>
            <w:tcW w:w="818" w:type="pct"/>
            <w:hideMark/>
          </w:tcPr>
          <w:p w14:paraId="35D7DC47" w14:textId="39DDFBD1" w:rsidR="00EA5181" w:rsidRPr="00595884" w:rsidRDefault="00274BC6" w:rsidP="00C93A9C">
            <w:pPr>
              <w:spacing w:before="40" w:after="40" w:line="240" w:lineRule="auto"/>
              <w:rPr>
                <w:rFonts w:ascii="Calibri" w:hAnsi="Calibri"/>
                <w:bCs/>
                <w:color w:val="000000"/>
                <w:szCs w:val="16"/>
              </w:rPr>
            </w:pPr>
            <w:r w:rsidRPr="00595884">
              <w:rPr>
                <w:rFonts w:ascii="Calibri" w:hAnsi="Calibri"/>
                <w:b/>
                <w:color w:val="000000"/>
                <w:szCs w:val="16"/>
              </w:rPr>
              <w:t>G5</w:t>
            </w:r>
            <w:r w:rsidRPr="00595884">
              <w:rPr>
                <w:rFonts w:ascii="Calibri" w:hAnsi="Calibri"/>
                <w:bCs/>
                <w:color w:val="000000"/>
                <w:szCs w:val="16"/>
              </w:rPr>
              <w:t xml:space="preserve">: NRMMC, EPHC, and AHMC (2006) </w:t>
            </w:r>
          </w:p>
        </w:tc>
        <w:tc>
          <w:tcPr>
            <w:tcW w:w="4182" w:type="pct"/>
            <w:hideMark/>
          </w:tcPr>
          <w:p w14:paraId="352A6DFB" w14:textId="02A93A2E" w:rsidR="00EA5181" w:rsidRPr="00595884" w:rsidRDefault="00274BC6" w:rsidP="00C93A9C">
            <w:pPr>
              <w:spacing w:before="0" w:after="0" w:line="240" w:lineRule="auto"/>
              <w:ind w:left="720" w:hanging="720"/>
              <w:cnfStyle w:val="000000000000" w:firstRow="0" w:lastRow="0" w:firstColumn="0" w:lastColumn="0" w:oddVBand="0" w:evenVBand="0" w:oddHBand="0" w:evenHBand="0" w:firstRowFirstColumn="0" w:firstRowLastColumn="0" w:lastRowFirstColumn="0" w:lastRowLastColumn="0"/>
              <w:rPr>
                <w:rFonts w:ascii="Calibri" w:hAnsi="Calibri"/>
                <w:bCs/>
                <w:color w:val="000000"/>
                <w:szCs w:val="16"/>
              </w:rPr>
            </w:pPr>
            <w:r w:rsidRPr="00595884">
              <w:rPr>
                <w:rFonts w:ascii="Calibri" w:hAnsi="Calibri"/>
                <w:bCs/>
                <w:color w:val="000000"/>
                <w:szCs w:val="16"/>
              </w:rPr>
              <w:t xml:space="preserve">NRMMC, EPHC, and AHMC (2006) </w:t>
            </w:r>
            <w:r w:rsidRPr="005B6ACD">
              <w:rPr>
                <w:rFonts w:ascii="Calibri" w:hAnsi="Calibri"/>
                <w:bCs/>
                <w:iCs/>
                <w:color w:val="000000"/>
                <w:szCs w:val="16"/>
              </w:rPr>
              <w:t>Australian Guidelines for Water Recycling: Managing Health and Environmental Risks (Phase 1)</w:t>
            </w:r>
            <w:r w:rsidRPr="00170EF6">
              <w:rPr>
                <w:rFonts w:ascii="Calibri" w:hAnsi="Calibri"/>
                <w:bCs/>
                <w:color w:val="000000"/>
                <w:szCs w:val="16"/>
              </w:rPr>
              <w:t>,</w:t>
            </w:r>
            <w:r w:rsidRPr="00595884">
              <w:rPr>
                <w:rFonts w:ascii="Calibri" w:hAnsi="Calibri"/>
                <w:bCs/>
                <w:color w:val="000000"/>
                <w:szCs w:val="16"/>
              </w:rPr>
              <w:t xml:space="preserve"> Canberra, Australia, Natural Resource Management Ministerial Council. Environment Protection and Heritage Council Australian Health Ministers’ Conference. [online] </w:t>
            </w:r>
            <w:hyperlink r:id="rId27" w:history="1">
              <w:r w:rsidRPr="00595884">
                <w:rPr>
                  <w:rStyle w:val="Hyperlink"/>
                  <w:rFonts w:ascii="Calibri" w:hAnsi="Calibri"/>
                  <w:bCs/>
                  <w:szCs w:val="16"/>
                </w:rPr>
                <w:t>https://www.nhmrc.gov.au/about-us/publications/australian-guidelines-water-recycling</w:t>
              </w:r>
            </w:hyperlink>
            <w:r w:rsidRPr="00595884">
              <w:rPr>
                <w:rFonts w:ascii="Calibri" w:hAnsi="Calibri"/>
                <w:bCs/>
                <w:color w:val="000000"/>
                <w:szCs w:val="16"/>
              </w:rPr>
              <w:t>.</w:t>
            </w:r>
          </w:p>
        </w:tc>
      </w:tr>
      <w:tr w:rsidR="004254E5" w14:paraId="0335F396" w14:textId="77777777" w:rsidTr="004254E5">
        <w:tc>
          <w:tcPr>
            <w:cnfStyle w:val="001000000000" w:firstRow="0" w:lastRow="0" w:firstColumn="1" w:lastColumn="0" w:oddVBand="0" w:evenVBand="0" w:oddHBand="0" w:evenHBand="0" w:firstRowFirstColumn="0" w:firstRowLastColumn="0" w:lastRowFirstColumn="0" w:lastRowLastColumn="0"/>
            <w:tcW w:w="818" w:type="pct"/>
            <w:hideMark/>
          </w:tcPr>
          <w:p w14:paraId="4E25855B" w14:textId="4ADE70A6" w:rsidR="00EA5181" w:rsidRPr="00595884" w:rsidRDefault="00274BC6" w:rsidP="00C93A9C">
            <w:pPr>
              <w:spacing w:before="40" w:after="40" w:line="240" w:lineRule="auto"/>
              <w:rPr>
                <w:rFonts w:ascii="Calibri" w:hAnsi="Calibri"/>
                <w:bCs/>
                <w:color w:val="000000"/>
                <w:szCs w:val="16"/>
              </w:rPr>
            </w:pPr>
            <w:r w:rsidRPr="00595884">
              <w:rPr>
                <w:rFonts w:ascii="Calibri" w:hAnsi="Calibri"/>
                <w:b/>
                <w:color w:val="000000"/>
                <w:szCs w:val="16"/>
              </w:rPr>
              <w:t>G6</w:t>
            </w:r>
            <w:r w:rsidRPr="00595884">
              <w:rPr>
                <w:rFonts w:ascii="Calibri" w:hAnsi="Calibri"/>
                <w:bCs/>
                <w:color w:val="000000"/>
                <w:szCs w:val="16"/>
              </w:rPr>
              <w:t xml:space="preserve">: NRMMC, EPHC, and NHMRC (2008) </w:t>
            </w:r>
          </w:p>
        </w:tc>
        <w:tc>
          <w:tcPr>
            <w:tcW w:w="4182" w:type="pct"/>
            <w:hideMark/>
          </w:tcPr>
          <w:p w14:paraId="1079E08F" w14:textId="3129B367" w:rsidR="00FB3126" w:rsidRPr="00595884" w:rsidRDefault="00274BC6" w:rsidP="00FB3126">
            <w:pPr>
              <w:spacing w:before="0" w:after="0" w:line="240" w:lineRule="auto"/>
              <w:ind w:left="720" w:hanging="720"/>
              <w:cnfStyle w:val="000000000000" w:firstRow="0" w:lastRow="0" w:firstColumn="0" w:lastColumn="0" w:oddVBand="0" w:evenVBand="0" w:oddHBand="0" w:evenHBand="0" w:firstRowFirstColumn="0" w:firstRowLastColumn="0" w:lastRowFirstColumn="0" w:lastRowLastColumn="0"/>
              <w:rPr>
                <w:rFonts w:ascii="Calibri" w:hAnsi="Calibri"/>
                <w:bCs/>
                <w:color w:val="000000"/>
                <w:szCs w:val="16"/>
              </w:rPr>
            </w:pPr>
            <w:r w:rsidRPr="00595884">
              <w:rPr>
                <w:rFonts w:ascii="Calibri" w:hAnsi="Calibri"/>
                <w:bCs/>
                <w:color w:val="000000"/>
                <w:szCs w:val="16"/>
              </w:rPr>
              <w:t xml:space="preserve">NRMMC, EPHC, and NHMRC (2008) </w:t>
            </w:r>
            <w:r w:rsidRPr="005B6ACD">
              <w:rPr>
                <w:rFonts w:ascii="Calibri" w:hAnsi="Calibri"/>
                <w:bCs/>
                <w:iCs/>
                <w:color w:val="000000"/>
                <w:szCs w:val="16"/>
              </w:rPr>
              <w:t>Australian Guidelines for Water Recycling (Phase 2): Augmentation of Drinking Water Supplies</w:t>
            </w:r>
            <w:r w:rsidRPr="00170EF6">
              <w:rPr>
                <w:rFonts w:ascii="Calibri" w:hAnsi="Calibri"/>
                <w:bCs/>
                <w:color w:val="000000"/>
                <w:szCs w:val="16"/>
              </w:rPr>
              <w:t>,</w:t>
            </w:r>
            <w:r w:rsidRPr="00595884">
              <w:rPr>
                <w:rFonts w:ascii="Calibri" w:hAnsi="Calibri"/>
                <w:bCs/>
                <w:color w:val="000000"/>
                <w:szCs w:val="16"/>
              </w:rPr>
              <w:t xml:space="preserve"> Canberra, Australia., Natural Resource Management Ministerial Council, Environmental Protection and Heritage Council and National Health and Medical Research Council.</w:t>
            </w:r>
            <w:r>
              <w:rPr>
                <w:rFonts w:ascii="Calibri" w:hAnsi="Calibri"/>
                <w:bCs/>
                <w:color w:val="000000"/>
                <w:szCs w:val="16"/>
              </w:rPr>
              <w:t xml:space="preserve"> </w:t>
            </w:r>
            <w:hyperlink r:id="rId28" w:history="1">
              <w:r w:rsidRPr="00200AE4">
                <w:rPr>
                  <w:rStyle w:val="Hyperlink"/>
                  <w:rFonts w:ascii="Calibri" w:hAnsi="Calibri"/>
                  <w:bCs/>
                  <w:szCs w:val="16"/>
                </w:rPr>
                <w:t>https://www.nhmrc.gov.au/about-us/publications/australian-guidelines-water-recycling</w:t>
              </w:r>
            </w:hyperlink>
          </w:p>
        </w:tc>
      </w:tr>
      <w:tr w:rsidR="004254E5" w14:paraId="3AB696A3" w14:textId="77777777" w:rsidTr="004254E5">
        <w:tc>
          <w:tcPr>
            <w:cnfStyle w:val="001000000000" w:firstRow="0" w:lastRow="0" w:firstColumn="1" w:lastColumn="0" w:oddVBand="0" w:evenVBand="0" w:oddHBand="0" w:evenHBand="0" w:firstRowFirstColumn="0" w:firstRowLastColumn="0" w:lastRowFirstColumn="0" w:lastRowLastColumn="0"/>
            <w:tcW w:w="818" w:type="pct"/>
            <w:hideMark/>
          </w:tcPr>
          <w:p w14:paraId="5C887E9B" w14:textId="444229B7" w:rsidR="00EA5181" w:rsidRPr="00595884" w:rsidRDefault="00274BC6" w:rsidP="00C93A9C">
            <w:pPr>
              <w:spacing w:before="40" w:after="40" w:line="240" w:lineRule="auto"/>
              <w:rPr>
                <w:rFonts w:ascii="Calibri" w:hAnsi="Calibri"/>
                <w:bCs/>
                <w:color w:val="000000"/>
                <w:szCs w:val="16"/>
              </w:rPr>
            </w:pPr>
            <w:r w:rsidRPr="00595884">
              <w:rPr>
                <w:rFonts w:ascii="Calibri" w:hAnsi="Calibri"/>
                <w:b/>
                <w:color w:val="000000"/>
                <w:szCs w:val="16"/>
              </w:rPr>
              <w:t>G9</w:t>
            </w:r>
            <w:r w:rsidRPr="00595884">
              <w:rPr>
                <w:rFonts w:ascii="Calibri" w:hAnsi="Calibri"/>
                <w:bCs/>
                <w:color w:val="000000"/>
                <w:szCs w:val="16"/>
              </w:rPr>
              <w:t>: US EPA (2019)</w:t>
            </w:r>
          </w:p>
        </w:tc>
        <w:tc>
          <w:tcPr>
            <w:tcW w:w="4182" w:type="pct"/>
            <w:hideMark/>
          </w:tcPr>
          <w:p w14:paraId="7B6DE921" w14:textId="27D45535" w:rsidR="00EA5181" w:rsidRPr="00595884" w:rsidRDefault="00274BC6" w:rsidP="00A01E63">
            <w:pPr>
              <w:spacing w:before="0" w:after="0" w:line="240" w:lineRule="auto"/>
              <w:ind w:left="720" w:hanging="720"/>
              <w:cnfStyle w:val="000000000000" w:firstRow="0" w:lastRow="0" w:firstColumn="0" w:lastColumn="0" w:oddVBand="0" w:evenVBand="0" w:oddHBand="0" w:evenHBand="0" w:firstRowFirstColumn="0" w:firstRowLastColumn="0" w:lastRowFirstColumn="0" w:lastRowLastColumn="0"/>
              <w:rPr>
                <w:rFonts w:ascii="Calibri" w:hAnsi="Calibri"/>
                <w:bCs/>
                <w:color w:val="000000"/>
                <w:szCs w:val="16"/>
              </w:rPr>
            </w:pPr>
            <w:r w:rsidRPr="00595884">
              <w:rPr>
                <w:rFonts w:ascii="Calibri" w:hAnsi="Calibri"/>
                <w:bCs/>
                <w:color w:val="000000"/>
                <w:szCs w:val="16"/>
              </w:rPr>
              <w:t xml:space="preserve">US EPA (2019) </w:t>
            </w:r>
            <w:r w:rsidRPr="005B6ACD">
              <w:rPr>
                <w:rFonts w:ascii="Calibri" w:hAnsi="Calibri"/>
                <w:bCs/>
                <w:color w:val="000000"/>
                <w:szCs w:val="16"/>
              </w:rPr>
              <w:t>Recommended Human Health Recreational Ambient Water Quality Criteria or Swimming Advisories for Microcystins and Cylindrospermopsin</w:t>
            </w:r>
            <w:r w:rsidRPr="00595884">
              <w:rPr>
                <w:rFonts w:ascii="Calibri" w:hAnsi="Calibri"/>
                <w:bCs/>
                <w:color w:val="000000"/>
                <w:szCs w:val="16"/>
              </w:rPr>
              <w:t xml:space="preserve">. EPA Document Number: 822-R-19-001, and online at http://www.epa.gov/ncea/efh., U.S. Environmental Protection Agency (EPA). [online] </w:t>
            </w:r>
            <w:hyperlink r:id="rId29" w:history="1">
              <w:r w:rsidRPr="00595884">
                <w:rPr>
                  <w:rStyle w:val="Hyperlink"/>
                  <w:rFonts w:ascii="Calibri" w:hAnsi="Calibri"/>
                  <w:bCs/>
                  <w:szCs w:val="16"/>
                </w:rPr>
                <w:t>http://www.epa.gov/ncea/efh</w:t>
              </w:r>
            </w:hyperlink>
            <w:r w:rsidRPr="00595884">
              <w:rPr>
                <w:rFonts w:ascii="Calibri" w:hAnsi="Calibri"/>
                <w:bCs/>
                <w:color w:val="000000"/>
                <w:szCs w:val="16"/>
              </w:rPr>
              <w:t>.</w:t>
            </w:r>
          </w:p>
        </w:tc>
      </w:tr>
      <w:tr w:rsidR="004254E5" w14:paraId="402929D8" w14:textId="77777777" w:rsidTr="004254E5">
        <w:tc>
          <w:tcPr>
            <w:cnfStyle w:val="001000000000" w:firstRow="0" w:lastRow="0" w:firstColumn="1" w:lastColumn="0" w:oddVBand="0" w:evenVBand="0" w:oddHBand="0" w:evenHBand="0" w:firstRowFirstColumn="0" w:firstRowLastColumn="0" w:lastRowFirstColumn="0" w:lastRowLastColumn="0"/>
            <w:tcW w:w="818" w:type="pct"/>
            <w:hideMark/>
          </w:tcPr>
          <w:p w14:paraId="2E62399E" w14:textId="4C8E135B" w:rsidR="00EA5181" w:rsidRPr="00595884" w:rsidRDefault="00274BC6" w:rsidP="00C93A9C">
            <w:pPr>
              <w:spacing w:before="40" w:after="40" w:line="240" w:lineRule="auto"/>
              <w:rPr>
                <w:rFonts w:ascii="Calibri" w:hAnsi="Calibri"/>
                <w:bCs/>
                <w:color w:val="000000"/>
                <w:szCs w:val="16"/>
              </w:rPr>
            </w:pPr>
            <w:r w:rsidRPr="00595884">
              <w:rPr>
                <w:rFonts w:ascii="Calibri" w:hAnsi="Calibri"/>
                <w:b/>
                <w:color w:val="000000"/>
                <w:szCs w:val="16"/>
              </w:rPr>
              <w:t>G10</w:t>
            </w:r>
            <w:r w:rsidRPr="00595884">
              <w:rPr>
                <w:rFonts w:ascii="Calibri" w:hAnsi="Calibri"/>
                <w:bCs/>
                <w:color w:val="000000"/>
                <w:szCs w:val="16"/>
              </w:rPr>
              <w:t xml:space="preserve">: WHO (2016) </w:t>
            </w:r>
          </w:p>
        </w:tc>
        <w:tc>
          <w:tcPr>
            <w:tcW w:w="4182" w:type="pct"/>
            <w:hideMark/>
          </w:tcPr>
          <w:p w14:paraId="094927F0" w14:textId="17D5941E" w:rsidR="00EA5181" w:rsidRPr="00595884" w:rsidRDefault="00274BC6" w:rsidP="00796580">
            <w:pPr>
              <w:spacing w:before="0" w:after="0" w:line="240" w:lineRule="auto"/>
              <w:ind w:left="720" w:hanging="720"/>
              <w:cnfStyle w:val="000000000000" w:firstRow="0" w:lastRow="0" w:firstColumn="0" w:lastColumn="0" w:oddVBand="0" w:evenVBand="0" w:oddHBand="0" w:evenHBand="0" w:firstRowFirstColumn="0" w:firstRowLastColumn="0" w:lastRowFirstColumn="0" w:lastRowLastColumn="0"/>
              <w:rPr>
                <w:rFonts w:ascii="Calibri" w:hAnsi="Calibri"/>
                <w:bCs/>
                <w:color w:val="000000"/>
                <w:szCs w:val="16"/>
              </w:rPr>
            </w:pPr>
            <w:r w:rsidRPr="00595884">
              <w:rPr>
                <w:rFonts w:ascii="Calibri" w:hAnsi="Calibri"/>
                <w:bCs/>
                <w:color w:val="000000"/>
                <w:szCs w:val="16"/>
              </w:rPr>
              <w:t xml:space="preserve">WHO (2016) </w:t>
            </w:r>
            <w:r w:rsidRPr="005B6ACD">
              <w:rPr>
                <w:rFonts w:ascii="Calibri" w:hAnsi="Calibri"/>
                <w:bCs/>
                <w:iCs/>
                <w:color w:val="000000"/>
                <w:szCs w:val="16"/>
              </w:rPr>
              <w:t>Protecting surface water for health: Identifying, assessing and managing drinking-water quality risks in surface-water catchments</w:t>
            </w:r>
            <w:r w:rsidRPr="00595884">
              <w:rPr>
                <w:rFonts w:ascii="Calibri" w:hAnsi="Calibri"/>
                <w:bCs/>
                <w:color w:val="000000"/>
                <w:szCs w:val="16"/>
              </w:rPr>
              <w:t xml:space="preserve">, World Health Organization. [online] </w:t>
            </w:r>
            <w:hyperlink r:id="rId30" w:history="1">
              <w:r w:rsidRPr="00595884">
                <w:rPr>
                  <w:rStyle w:val="Hyperlink"/>
                  <w:rFonts w:ascii="Calibri" w:hAnsi="Calibri"/>
                  <w:bCs/>
                  <w:szCs w:val="16"/>
                </w:rPr>
                <w:t>https://apps.who.int/iris/bitstream/handle/10665/246196/9789241510554-eng.pdf?sequence=1</w:t>
              </w:r>
            </w:hyperlink>
            <w:r w:rsidRPr="00595884">
              <w:rPr>
                <w:rFonts w:ascii="Calibri" w:hAnsi="Calibri"/>
                <w:bCs/>
                <w:color w:val="000000"/>
                <w:szCs w:val="16"/>
              </w:rPr>
              <w:t>.</w:t>
            </w:r>
          </w:p>
        </w:tc>
      </w:tr>
      <w:tr w:rsidR="004254E5" w14:paraId="02BE70E8" w14:textId="77777777" w:rsidTr="004254E5">
        <w:tc>
          <w:tcPr>
            <w:cnfStyle w:val="001000000000" w:firstRow="0" w:lastRow="0" w:firstColumn="1" w:lastColumn="0" w:oddVBand="0" w:evenVBand="0" w:oddHBand="0" w:evenHBand="0" w:firstRowFirstColumn="0" w:firstRowLastColumn="0" w:lastRowFirstColumn="0" w:lastRowLastColumn="0"/>
            <w:tcW w:w="818" w:type="pct"/>
          </w:tcPr>
          <w:p w14:paraId="7F2832C8" w14:textId="7FD86D08" w:rsidR="00EA5181" w:rsidRPr="00595884" w:rsidRDefault="00274BC6" w:rsidP="00C93A9C">
            <w:pPr>
              <w:spacing w:before="40" w:after="40" w:line="240" w:lineRule="auto"/>
              <w:rPr>
                <w:rFonts w:ascii="Calibri" w:hAnsi="Calibri"/>
                <w:bCs/>
                <w:color w:val="000000"/>
                <w:szCs w:val="16"/>
              </w:rPr>
            </w:pPr>
            <w:r w:rsidRPr="00595884">
              <w:rPr>
                <w:rFonts w:ascii="Calibri" w:hAnsi="Calibri"/>
                <w:b/>
                <w:color w:val="000000"/>
                <w:szCs w:val="16"/>
              </w:rPr>
              <w:t>G11</w:t>
            </w:r>
            <w:r w:rsidRPr="00595884">
              <w:rPr>
                <w:rFonts w:ascii="Calibri" w:hAnsi="Calibri"/>
                <w:bCs/>
                <w:color w:val="000000"/>
                <w:szCs w:val="16"/>
              </w:rPr>
              <w:t>. NHMRC (2019)</w:t>
            </w:r>
          </w:p>
        </w:tc>
        <w:tc>
          <w:tcPr>
            <w:tcW w:w="4182" w:type="pct"/>
          </w:tcPr>
          <w:p w14:paraId="443130DF" w14:textId="77A00FC6" w:rsidR="00EA5181" w:rsidRPr="00595884" w:rsidRDefault="00274BC6" w:rsidP="00796580">
            <w:pPr>
              <w:spacing w:before="0" w:after="0" w:line="240" w:lineRule="auto"/>
              <w:ind w:left="720" w:hanging="720"/>
              <w:cnfStyle w:val="000000000000" w:firstRow="0" w:lastRow="0" w:firstColumn="0" w:lastColumn="0" w:oddVBand="0" w:evenVBand="0" w:oddHBand="0" w:evenHBand="0" w:firstRowFirstColumn="0" w:firstRowLastColumn="0" w:lastRowFirstColumn="0" w:lastRowLastColumn="0"/>
              <w:rPr>
                <w:rFonts w:ascii="Calibri" w:hAnsi="Calibri"/>
                <w:bCs/>
                <w:color w:val="000000"/>
                <w:szCs w:val="16"/>
              </w:rPr>
            </w:pPr>
            <w:r w:rsidRPr="00595884">
              <w:rPr>
                <w:rFonts w:ascii="Calibri" w:hAnsi="Calibri"/>
                <w:bCs/>
                <w:color w:val="000000"/>
                <w:szCs w:val="16"/>
              </w:rPr>
              <w:t xml:space="preserve">NHMRC (2019) </w:t>
            </w:r>
            <w:r w:rsidRPr="005B6ACD">
              <w:rPr>
                <w:rFonts w:ascii="Calibri" w:hAnsi="Calibri"/>
                <w:bCs/>
                <w:color w:val="000000"/>
                <w:szCs w:val="16"/>
              </w:rPr>
              <w:t>Guidance on Per</w:t>
            </w:r>
            <w:r w:rsidR="00BC6C18" w:rsidRPr="005B6ACD">
              <w:rPr>
                <w:rFonts w:ascii="Calibri" w:hAnsi="Calibri"/>
                <w:bCs/>
                <w:color w:val="000000"/>
                <w:szCs w:val="16"/>
              </w:rPr>
              <w:t>-</w:t>
            </w:r>
            <w:r w:rsidRPr="005B6ACD">
              <w:rPr>
                <w:rFonts w:ascii="Calibri" w:hAnsi="Calibri"/>
                <w:bCs/>
                <w:color w:val="000000"/>
                <w:szCs w:val="16"/>
              </w:rPr>
              <w:t xml:space="preserve"> and Polyfluoroalkyl </w:t>
            </w:r>
            <w:r w:rsidR="00055C0D" w:rsidRPr="005B6ACD">
              <w:rPr>
                <w:rFonts w:ascii="Calibri" w:hAnsi="Calibri"/>
                <w:bCs/>
                <w:color w:val="000000"/>
                <w:szCs w:val="16"/>
              </w:rPr>
              <w:t xml:space="preserve">Substances </w:t>
            </w:r>
            <w:r w:rsidRPr="005B6ACD">
              <w:rPr>
                <w:rFonts w:ascii="Calibri" w:hAnsi="Calibri"/>
                <w:bCs/>
                <w:color w:val="000000"/>
                <w:szCs w:val="16"/>
              </w:rPr>
              <w:t>(PFAS) in Recreational Water</w:t>
            </w:r>
            <w:r w:rsidRPr="00170EF6">
              <w:rPr>
                <w:rFonts w:ascii="Calibri" w:hAnsi="Calibri"/>
                <w:bCs/>
                <w:color w:val="000000"/>
                <w:szCs w:val="16"/>
              </w:rPr>
              <w:t>,</w:t>
            </w:r>
            <w:r w:rsidRPr="00595884">
              <w:rPr>
                <w:rFonts w:ascii="Calibri" w:hAnsi="Calibri"/>
                <w:bCs/>
                <w:color w:val="000000"/>
                <w:szCs w:val="16"/>
              </w:rPr>
              <w:t xml:space="preserve"> Canberra, A.C.T., National Health and Medical Research Council. [online] </w:t>
            </w:r>
            <w:hyperlink r:id="rId31" w:history="1">
              <w:r w:rsidRPr="00595884">
                <w:rPr>
                  <w:rStyle w:val="Hyperlink"/>
                  <w:rFonts w:ascii="Calibri" w:hAnsi="Calibri"/>
                  <w:bCs/>
                  <w:szCs w:val="16"/>
                </w:rPr>
                <w:t>https://www.nhmrc.gov.au/sites/default/files/documents/attachments/guidance-on-PFAS-in-recreational-water.pdf</w:t>
              </w:r>
            </w:hyperlink>
            <w:r w:rsidRPr="00595884">
              <w:rPr>
                <w:rFonts w:ascii="Calibri" w:hAnsi="Calibri"/>
                <w:bCs/>
                <w:color w:val="000000"/>
                <w:szCs w:val="16"/>
              </w:rPr>
              <w:t xml:space="preserve"> (Accessed October 18, 2020).</w:t>
            </w:r>
          </w:p>
        </w:tc>
      </w:tr>
      <w:bookmarkEnd w:id="317"/>
    </w:tbl>
    <w:p w14:paraId="118C9ADE" w14:textId="5A1DE70D" w:rsidR="004F6F7B" w:rsidRPr="00595884" w:rsidRDefault="004F6F7B" w:rsidP="004F6F7B"/>
    <w:p w14:paraId="64AD935B" w14:textId="77777777" w:rsidR="00632FED" w:rsidRPr="00595884" w:rsidRDefault="00632FED" w:rsidP="00ED552E"/>
    <w:p w14:paraId="48EE7B66" w14:textId="627F8706" w:rsidR="00036D07" w:rsidRPr="00595884" w:rsidRDefault="00274BC6" w:rsidP="001B4B78">
      <w:pPr>
        <w:pStyle w:val="Heading2"/>
        <w:pageBreakBefore/>
      </w:pPr>
      <w:bookmarkStart w:id="318" w:name="_Toc106811139"/>
      <w:r w:rsidRPr="00595884">
        <w:t>Primary studies</w:t>
      </w:r>
      <w:bookmarkEnd w:id="318"/>
    </w:p>
    <w:p w14:paraId="1C86605A" w14:textId="4AF08A3C" w:rsidR="00CA37D3" w:rsidRPr="00595884" w:rsidRDefault="00274BC6" w:rsidP="00E5124B">
      <w:r w:rsidRPr="00595884">
        <w:t>The three primary studies</w:t>
      </w:r>
      <w:r w:rsidR="00795592" w:rsidRPr="00595884">
        <w:t xml:space="preserve"> </w:t>
      </w:r>
      <w:r w:rsidR="00BC6C18" w:rsidRPr="00595884">
        <w:t xml:space="preserve">included </w:t>
      </w:r>
      <w:r w:rsidR="00795592" w:rsidRPr="00595884">
        <w:t>were each classified as qualitative studies using the CASP classification criteria for quality and risk</w:t>
      </w:r>
      <w:r w:rsidR="0011078F">
        <w:t xml:space="preserve"> </w:t>
      </w:r>
      <w:r w:rsidR="00795592" w:rsidRPr="00595884">
        <w:t>of</w:t>
      </w:r>
      <w:r w:rsidR="0011078F">
        <w:t xml:space="preserve"> </w:t>
      </w:r>
      <w:r w:rsidR="00795592" w:rsidRPr="00595884">
        <w:t xml:space="preserve">bias.  This classification includes observational studies that measure or predict concentrations of contaminants in recreational water environments and </w:t>
      </w:r>
      <w:proofErr w:type="gramStart"/>
      <w:r w:rsidR="00795592" w:rsidRPr="00595884">
        <w:t>on the basis of</w:t>
      </w:r>
      <w:proofErr w:type="gramEnd"/>
      <w:r w:rsidR="00795592" w:rsidRPr="00595884">
        <w:t xml:space="preserve"> those concentrations infer the extent of exposure against health guidelines.  In other contexts, such studies are commonly considered quantitative risk assessments.  For the CASP approach used here, </w:t>
      </w:r>
      <w:r w:rsidRPr="00595884">
        <w:t xml:space="preserve">a classification as qualitative </w:t>
      </w:r>
      <w:r w:rsidR="00DF1537">
        <w:t>was considered</w:t>
      </w:r>
      <w:r w:rsidRPr="00595884">
        <w:t xml:space="preserve"> appropriate, since no health impact</w:t>
      </w:r>
      <w:r w:rsidR="00DF1537">
        <w:t>s were</w:t>
      </w:r>
      <w:r w:rsidRPr="00595884">
        <w:t xml:space="preserve"> observed and measured.  </w:t>
      </w:r>
    </w:p>
    <w:p w14:paraId="37A25C81" w14:textId="082849B7" w:rsidR="001B4B78" w:rsidRPr="00595884" w:rsidRDefault="00274BC6" w:rsidP="00E5124B">
      <w:r w:rsidRPr="00595884">
        <w:t>E</w:t>
      </w:r>
      <w:r w:rsidR="00795592" w:rsidRPr="00595884">
        <w:t>ach</w:t>
      </w:r>
      <w:r w:rsidRPr="00595884">
        <w:t xml:space="preserve"> of the three studies </w:t>
      </w:r>
      <w:r w:rsidR="00795592" w:rsidRPr="00595884">
        <w:t>focussed on a different spectrum or medium of chemical hazards</w:t>
      </w:r>
      <w:r w:rsidR="00BC6C18">
        <w:t>.</w:t>
      </w:r>
      <w:r w:rsidR="00795592" w:rsidRPr="00595884">
        <w:t xml:space="preserve"> </w:t>
      </w:r>
      <w:r w:rsidR="00BC6C18">
        <w:t>C</w:t>
      </w:r>
      <w:r w:rsidRPr="00595884">
        <w:t>ollectively</w:t>
      </w:r>
      <w:r w:rsidR="00BC6C18">
        <w:t>,</w:t>
      </w:r>
      <w:r w:rsidRPr="00595884">
        <w:t xml:space="preserve"> </w:t>
      </w:r>
      <w:r w:rsidR="00BC6C18">
        <w:t xml:space="preserve">they </w:t>
      </w:r>
      <w:r w:rsidR="00795592" w:rsidRPr="00595884">
        <w:t xml:space="preserve">provide only a limited </w:t>
      </w:r>
      <w:r w:rsidRPr="00595884">
        <w:t xml:space="preserve">contribution to our knowledge on chemical hazards </w:t>
      </w:r>
      <w:r w:rsidR="00BC6C18">
        <w:t xml:space="preserve">in relation </w:t>
      </w:r>
      <w:r w:rsidRPr="00595884">
        <w:t>to recreational water.</w:t>
      </w:r>
    </w:p>
    <w:p w14:paraId="4669271E" w14:textId="7B4547D8" w:rsidR="00036D07" w:rsidRPr="00595884" w:rsidRDefault="00274BC6" w:rsidP="00145139">
      <w:pPr>
        <w:pStyle w:val="Caption"/>
      </w:pPr>
      <w:bookmarkStart w:id="319" w:name="_Toc106811174"/>
      <w:r w:rsidRPr="00595884">
        <w:t xml:space="preserve">Table </w:t>
      </w:r>
      <w:r w:rsidR="003132AF">
        <w:fldChar w:fldCharType="begin"/>
      </w:r>
      <w:r w:rsidR="003132AF">
        <w:instrText xml:space="preserve"> STYLEREF 1 \s </w:instrText>
      </w:r>
      <w:r w:rsidR="003132AF">
        <w:fldChar w:fldCharType="separate"/>
      </w:r>
      <w:r w:rsidR="003132AF">
        <w:rPr>
          <w:noProof/>
        </w:rPr>
        <w:t>5</w:t>
      </w:r>
      <w:r w:rsidR="003132AF">
        <w:rPr>
          <w:noProof/>
        </w:rPr>
        <w:fldChar w:fldCharType="end"/>
      </w:r>
      <w:r w:rsidR="00CE064A">
        <w:noBreakHyphen/>
      </w:r>
      <w:r w:rsidR="003132AF">
        <w:fldChar w:fldCharType="begin"/>
      </w:r>
      <w:r w:rsidR="003132AF">
        <w:instrText xml:space="preserve"> SEQ Table \* ARABIC \s 1 </w:instrText>
      </w:r>
      <w:r w:rsidR="003132AF">
        <w:fldChar w:fldCharType="separate"/>
      </w:r>
      <w:r w:rsidR="003132AF">
        <w:rPr>
          <w:noProof/>
        </w:rPr>
        <w:t>2</w:t>
      </w:r>
      <w:r w:rsidR="003132AF">
        <w:rPr>
          <w:noProof/>
        </w:rPr>
        <w:fldChar w:fldCharType="end"/>
      </w:r>
      <w:r w:rsidRPr="00595884">
        <w:t xml:space="preserve">. List of primary studies </w:t>
      </w:r>
      <w:r w:rsidR="00BC6C18" w:rsidRPr="00595884">
        <w:t xml:space="preserve">included </w:t>
      </w:r>
      <w:r w:rsidRPr="00595884">
        <w:t xml:space="preserve">after </w:t>
      </w:r>
      <w:r w:rsidR="00353986" w:rsidRPr="00595884">
        <w:t>consideration of risk o</w:t>
      </w:r>
      <w:r w:rsidR="00BC6C18">
        <w:t>f</w:t>
      </w:r>
      <w:r w:rsidR="00353986" w:rsidRPr="00595884">
        <w:t xml:space="preserve"> bias</w:t>
      </w:r>
      <w:bookmarkEnd w:id="319"/>
    </w:p>
    <w:tbl>
      <w:tblPr>
        <w:tblStyle w:val="EcosleftTableStyle"/>
        <w:tblW w:w="8217" w:type="dxa"/>
        <w:tblLook w:val="04A0" w:firstRow="1" w:lastRow="0" w:firstColumn="1" w:lastColumn="0" w:noHBand="0" w:noVBand="1"/>
      </w:tblPr>
      <w:tblGrid>
        <w:gridCol w:w="846"/>
        <w:gridCol w:w="7371"/>
      </w:tblGrid>
      <w:tr w:rsidR="004254E5" w14:paraId="16D13932" w14:textId="77777777" w:rsidTr="004254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554CD3C8" w14:textId="77777777" w:rsidR="00353986" w:rsidRPr="00595884" w:rsidRDefault="00274BC6" w:rsidP="003C0A46">
            <w:pPr>
              <w:rPr>
                <w:rFonts w:asciiTheme="minorHAnsi" w:hAnsiTheme="minorHAnsi"/>
              </w:rPr>
            </w:pPr>
            <w:r w:rsidRPr="00595884">
              <w:rPr>
                <w:rFonts w:asciiTheme="minorHAnsi" w:hAnsiTheme="minorHAnsi"/>
              </w:rPr>
              <w:t>Study ID</w:t>
            </w:r>
          </w:p>
        </w:tc>
        <w:tc>
          <w:tcPr>
            <w:tcW w:w="7371" w:type="dxa"/>
          </w:tcPr>
          <w:p w14:paraId="7F658987" w14:textId="77777777" w:rsidR="00353986" w:rsidRPr="00595884" w:rsidRDefault="00274BC6" w:rsidP="003C0A46">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595884">
              <w:rPr>
                <w:rFonts w:asciiTheme="minorHAnsi" w:hAnsiTheme="minorHAnsi"/>
              </w:rPr>
              <w:t>Citation</w:t>
            </w:r>
          </w:p>
        </w:tc>
      </w:tr>
      <w:tr w:rsidR="004254E5" w14:paraId="7CC6470C" w14:textId="77777777" w:rsidTr="004254E5">
        <w:tc>
          <w:tcPr>
            <w:cnfStyle w:val="001000000000" w:firstRow="0" w:lastRow="0" w:firstColumn="1" w:lastColumn="0" w:oddVBand="0" w:evenVBand="0" w:oddHBand="0" w:evenHBand="0" w:firstRowFirstColumn="0" w:firstRowLastColumn="0" w:lastRowFirstColumn="0" w:lastRowLastColumn="0"/>
            <w:tcW w:w="846" w:type="dxa"/>
            <w:tcBorders>
              <w:top w:val="nil"/>
              <w:left w:val="single" w:sz="8" w:space="0" w:color="B5DDDC"/>
              <w:bottom w:val="single" w:sz="8" w:space="0" w:color="B5DDDC"/>
              <w:right w:val="single" w:sz="8" w:space="0" w:color="B5DDDC"/>
            </w:tcBorders>
            <w:shd w:val="clear" w:color="000000" w:fill="D6EAEB"/>
          </w:tcPr>
          <w:p w14:paraId="56898E84" w14:textId="77777777" w:rsidR="00353986" w:rsidRPr="00595884" w:rsidRDefault="00274BC6" w:rsidP="003C0A46">
            <w:pPr>
              <w:spacing w:before="40" w:after="40" w:line="240" w:lineRule="auto"/>
              <w:ind w:left="720" w:hanging="720"/>
              <w:rPr>
                <w:rFonts w:asciiTheme="minorHAnsi" w:hAnsiTheme="minorHAnsi"/>
              </w:rPr>
            </w:pPr>
            <w:r w:rsidRPr="00595884">
              <w:rPr>
                <w:rFonts w:ascii="Calibri" w:hAnsi="Calibri"/>
                <w:b/>
                <w:bCs/>
                <w:color w:val="000000"/>
                <w:szCs w:val="16"/>
              </w:rPr>
              <w:t>J2</w:t>
            </w:r>
          </w:p>
        </w:tc>
        <w:tc>
          <w:tcPr>
            <w:tcW w:w="7371" w:type="dxa"/>
          </w:tcPr>
          <w:p w14:paraId="762D5157" w14:textId="54DCF966" w:rsidR="00353986" w:rsidRPr="00595884" w:rsidRDefault="00274BC6" w:rsidP="003C0A46">
            <w:pPr>
              <w:spacing w:before="40" w:after="40" w:line="240" w:lineRule="auto"/>
              <w:ind w:left="720" w:hanging="7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595884">
              <w:rPr>
                <w:rFonts w:asciiTheme="minorHAnsi" w:hAnsiTheme="minorHAnsi"/>
              </w:rPr>
              <w:t xml:space="preserve">Canpolat, Ozgur; Varol, Memet; Okan, Ozlem </w:t>
            </w:r>
            <w:proofErr w:type="spellStart"/>
            <w:r w:rsidRPr="00595884">
              <w:rPr>
                <w:rFonts w:asciiTheme="minorHAnsi" w:hAnsiTheme="minorHAnsi"/>
              </w:rPr>
              <w:t>Oztekin</w:t>
            </w:r>
            <w:proofErr w:type="spellEnd"/>
            <w:r w:rsidRPr="00595884">
              <w:rPr>
                <w:rFonts w:asciiTheme="minorHAnsi" w:hAnsiTheme="minorHAnsi"/>
              </w:rPr>
              <w:t xml:space="preserve">; Eris, </w:t>
            </w:r>
            <w:proofErr w:type="spellStart"/>
            <w:r w:rsidRPr="00595884">
              <w:rPr>
                <w:rFonts w:asciiTheme="minorHAnsi" w:hAnsiTheme="minorHAnsi"/>
              </w:rPr>
              <w:t>Kursad</w:t>
            </w:r>
            <w:proofErr w:type="spellEnd"/>
            <w:r w:rsidRPr="00595884">
              <w:rPr>
                <w:rFonts w:asciiTheme="minorHAnsi" w:hAnsiTheme="minorHAnsi"/>
              </w:rPr>
              <w:t xml:space="preserve"> Kadir; Caglar, Metin (2020) </w:t>
            </w:r>
            <w:r w:rsidRPr="005B6ACD">
              <w:rPr>
                <w:rFonts w:asciiTheme="minorHAnsi" w:hAnsiTheme="minorHAnsi"/>
                <w:iCs/>
              </w:rPr>
              <w:t xml:space="preserve">A comparison of trace element concentrations in surface and deep water of the </w:t>
            </w:r>
            <w:proofErr w:type="spellStart"/>
            <w:r w:rsidRPr="005B6ACD">
              <w:rPr>
                <w:rFonts w:asciiTheme="minorHAnsi" w:hAnsiTheme="minorHAnsi"/>
                <w:iCs/>
              </w:rPr>
              <w:t>Keban</w:t>
            </w:r>
            <w:proofErr w:type="spellEnd"/>
            <w:r w:rsidRPr="005B6ACD">
              <w:rPr>
                <w:rFonts w:asciiTheme="minorHAnsi" w:hAnsiTheme="minorHAnsi"/>
                <w:iCs/>
              </w:rPr>
              <w:t xml:space="preserve"> Dam Lake (Turkey) and associated health risk assessment</w:t>
            </w:r>
            <w:r w:rsidRPr="00595884">
              <w:rPr>
                <w:rFonts w:asciiTheme="minorHAnsi" w:hAnsiTheme="minorHAnsi"/>
              </w:rPr>
              <w:t xml:space="preserve">. </w:t>
            </w:r>
            <w:r w:rsidRPr="005B6ACD">
              <w:rPr>
                <w:rFonts w:asciiTheme="minorHAnsi" w:hAnsiTheme="minorHAnsi"/>
                <w:i/>
                <w:iCs/>
              </w:rPr>
              <w:t>Environmental Research</w:t>
            </w:r>
            <w:r w:rsidRPr="00595884">
              <w:rPr>
                <w:rFonts w:asciiTheme="minorHAnsi" w:hAnsiTheme="minorHAnsi"/>
              </w:rPr>
              <w:t xml:space="preserve"> 190 (2020) 110012</w:t>
            </w:r>
            <w:r w:rsidR="0011786B">
              <w:rPr>
                <w:rFonts w:asciiTheme="minorHAnsi" w:hAnsiTheme="minorHAnsi"/>
              </w:rPr>
              <w:t xml:space="preserve">. </w:t>
            </w:r>
            <w:r w:rsidR="0011786B" w:rsidRPr="0011786B">
              <w:rPr>
                <w:rFonts w:asciiTheme="minorHAnsi" w:hAnsiTheme="minorHAnsi"/>
              </w:rPr>
              <w:t>10.1016/j.envres.2020.110012</w:t>
            </w:r>
          </w:p>
        </w:tc>
      </w:tr>
      <w:tr w:rsidR="004254E5" w14:paraId="09DB0B0B" w14:textId="77777777" w:rsidTr="004254E5">
        <w:tc>
          <w:tcPr>
            <w:cnfStyle w:val="001000000000" w:firstRow="0" w:lastRow="0" w:firstColumn="1" w:lastColumn="0" w:oddVBand="0" w:evenVBand="0" w:oddHBand="0" w:evenHBand="0" w:firstRowFirstColumn="0" w:firstRowLastColumn="0" w:lastRowFirstColumn="0" w:lastRowLastColumn="0"/>
            <w:tcW w:w="846" w:type="dxa"/>
            <w:tcBorders>
              <w:top w:val="nil"/>
              <w:left w:val="single" w:sz="8" w:space="0" w:color="B5DDDC"/>
              <w:bottom w:val="single" w:sz="8" w:space="0" w:color="B5DDDC"/>
              <w:right w:val="single" w:sz="8" w:space="0" w:color="B5DDDC"/>
            </w:tcBorders>
            <w:shd w:val="clear" w:color="000000" w:fill="D6EAEB"/>
          </w:tcPr>
          <w:p w14:paraId="5DA09F94" w14:textId="77777777" w:rsidR="00353986" w:rsidRPr="00595884" w:rsidRDefault="00274BC6" w:rsidP="003C0A46">
            <w:pPr>
              <w:spacing w:before="40" w:after="40" w:line="240" w:lineRule="auto"/>
              <w:ind w:left="720" w:hanging="720"/>
              <w:rPr>
                <w:rFonts w:asciiTheme="minorHAnsi" w:hAnsiTheme="minorHAnsi"/>
              </w:rPr>
            </w:pPr>
            <w:r w:rsidRPr="00595884">
              <w:rPr>
                <w:rFonts w:ascii="Calibri" w:hAnsi="Calibri"/>
                <w:b/>
                <w:bCs/>
                <w:color w:val="000000"/>
                <w:szCs w:val="16"/>
              </w:rPr>
              <w:t>J3</w:t>
            </w:r>
          </w:p>
        </w:tc>
        <w:tc>
          <w:tcPr>
            <w:tcW w:w="7371" w:type="dxa"/>
          </w:tcPr>
          <w:p w14:paraId="7616D34B" w14:textId="6AB567C3" w:rsidR="00353986" w:rsidRPr="00595884" w:rsidRDefault="00274BC6" w:rsidP="003C0A46">
            <w:pPr>
              <w:spacing w:before="40" w:after="40" w:line="240" w:lineRule="auto"/>
              <w:ind w:left="720" w:hanging="7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595884">
              <w:rPr>
                <w:rFonts w:asciiTheme="minorHAnsi" w:hAnsiTheme="minorHAnsi"/>
              </w:rPr>
              <w:t xml:space="preserve">Dor, F.; Bonnard, R.; Gourier-Frery, C.; </w:t>
            </w:r>
            <w:proofErr w:type="spellStart"/>
            <w:r w:rsidRPr="00595884">
              <w:rPr>
                <w:rFonts w:asciiTheme="minorHAnsi" w:hAnsiTheme="minorHAnsi"/>
              </w:rPr>
              <w:t>Cicolella</w:t>
            </w:r>
            <w:proofErr w:type="spellEnd"/>
            <w:r w:rsidRPr="00595884">
              <w:rPr>
                <w:rFonts w:asciiTheme="minorHAnsi" w:hAnsiTheme="minorHAnsi"/>
              </w:rPr>
              <w:t xml:space="preserve">, A.; Dujardin, R.; </w:t>
            </w:r>
            <w:proofErr w:type="spellStart"/>
            <w:r w:rsidRPr="00595884">
              <w:rPr>
                <w:rFonts w:asciiTheme="minorHAnsi" w:hAnsiTheme="minorHAnsi"/>
              </w:rPr>
              <w:t>Zmirou</w:t>
            </w:r>
            <w:proofErr w:type="spellEnd"/>
            <w:r w:rsidRPr="00595884">
              <w:rPr>
                <w:rFonts w:asciiTheme="minorHAnsi" w:hAnsiTheme="minorHAnsi"/>
              </w:rPr>
              <w:t xml:space="preserve">, D. (2003) </w:t>
            </w:r>
            <w:r w:rsidRPr="005B6ACD">
              <w:rPr>
                <w:rFonts w:asciiTheme="minorHAnsi" w:hAnsiTheme="minorHAnsi"/>
                <w:iCs/>
              </w:rPr>
              <w:t>Health risk assessment after decontamination of the beaches polluted by the wrecked ERIKA tanker</w:t>
            </w:r>
            <w:r w:rsidRPr="00595884">
              <w:rPr>
                <w:rFonts w:asciiTheme="minorHAnsi" w:hAnsiTheme="minorHAnsi"/>
              </w:rPr>
              <w:t xml:space="preserve">. </w:t>
            </w:r>
            <w:r w:rsidRPr="005B6ACD">
              <w:rPr>
                <w:rFonts w:asciiTheme="minorHAnsi" w:hAnsiTheme="minorHAnsi"/>
                <w:i/>
                <w:iCs/>
              </w:rPr>
              <w:t>Risk Analysis</w:t>
            </w:r>
            <w:r w:rsidRPr="00595884">
              <w:rPr>
                <w:rFonts w:asciiTheme="minorHAnsi" w:hAnsiTheme="minorHAnsi"/>
              </w:rPr>
              <w:t xml:space="preserve"> 23(6)1199-1208</w:t>
            </w:r>
            <w:r w:rsidR="0011786B">
              <w:rPr>
                <w:rFonts w:asciiTheme="minorHAnsi" w:hAnsiTheme="minorHAnsi"/>
              </w:rPr>
              <w:t xml:space="preserve">. </w:t>
            </w:r>
            <w:r w:rsidR="0011786B" w:rsidRPr="0011786B">
              <w:rPr>
                <w:rFonts w:asciiTheme="minorHAnsi" w:hAnsiTheme="minorHAnsi"/>
              </w:rPr>
              <w:t>10.1111/j.0272-4332.</w:t>
            </w:r>
            <w:proofErr w:type="gramStart"/>
            <w:r w:rsidR="0011786B" w:rsidRPr="0011786B">
              <w:rPr>
                <w:rFonts w:asciiTheme="minorHAnsi" w:hAnsiTheme="minorHAnsi"/>
              </w:rPr>
              <w:t>2003.00394.x</w:t>
            </w:r>
            <w:proofErr w:type="gramEnd"/>
          </w:p>
        </w:tc>
      </w:tr>
      <w:tr w:rsidR="004254E5" w14:paraId="0E4835CF" w14:textId="77777777" w:rsidTr="004254E5">
        <w:tc>
          <w:tcPr>
            <w:cnfStyle w:val="001000000000" w:firstRow="0" w:lastRow="0" w:firstColumn="1" w:lastColumn="0" w:oddVBand="0" w:evenVBand="0" w:oddHBand="0" w:evenHBand="0" w:firstRowFirstColumn="0" w:firstRowLastColumn="0" w:lastRowFirstColumn="0" w:lastRowLastColumn="0"/>
            <w:tcW w:w="846" w:type="dxa"/>
            <w:tcBorders>
              <w:top w:val="nil"/>
              <w:left w:val="single" w:sz="8" w:space="0" w:color="B5DDDC"/>
              <w:bottom w:val="single" w:sz="8" w:space="0" w:color="B5DDDC"/>
              <w:right w:val="single" w:sz="8" w:space="0" w:color="B5DDDC"/>
            </w:tcBorders>
            <w:shd w:val="clear" w:color="000000" w:fill="D6EAEB"/>
          </w:tcPr>
          <w:p w14:paraId="3333AD16" w14:textId="77777777" w:rsidR="00353986" w:rsidRPr="00595884" w:rsidRDefault="00274BC6" w:rsidP="003C0A46">
            <w:pPr>
              <w:spacing w:before="40" w:after="40" w:line="240" w:lineRule="auto"/>
              <w:ind w:left="720" w:hanging="720"/>
              <w:rPr>
                <w:rFonts w:asciiTheme="minorHAnsi" w:hAnsiTheme="minorHAnsi"/>
              </w:rPr>
            </w:pPr>
            <w:r w:rsidRPr="00595884">
              <w:rPr>
                <w:rFonts w:ascii="Calibri" w:hAnsi="Calibri"/>
                <w:b/>
                <w:bCs/>
                <w:color w:val="000000"/>
                <w:szCs w:val="16"/>
              </w:rPr>
              <w:t>J5</w:t>
            </w:r>
          </w:p>
        </w:tc>
        <w:tc>
          <w:tcPr>
            <w:tcW w:w="7371" w:type="dxa"/>
          </w:tcPr>
          <w:p w14:paraId="6083E86D" w14:textId="737E4192" w:rsidR="00353986" w:rsidRPr="00595884" w:rsidRDefault="00274BC6" w:rsidP="003C0A46">
            <w:pPr>
              <w:spacing w:before="40" w:after="40" w:line="240" w:lineRule="auto"/>
              <w:ind w:left="720" w:hanging="720"/>
              <w:cnfStyle w:val="000000000000" w:firstRow="0" w:lastRow="0" w:firstColumn="0" w:lastColumn="0" w:oddVBand="0" w:evenVBand="0" w:oddHBand="0" w:evenHBand="0" w:firstRowFirstColumn="0" w:firstRowLastColumn="0" w:lastRowFirstColumn="0" w:lastRowLastColumn="0"/>
              <w:rPr>
                <w:rFonts w:asciiTheme="minorHAnsi" w:hAnsiTheme="minorHAnsi"/>
              </w:rPr>
            </w:pPr>
            <w:proofErr w:type="spellStart"/>
            <w:r w:rsidRPr="00595884">
              <w:rPr>
                <w:rFonts w:asciiTheme="minorHAnsi" w:hAnsiTheme="minorHAnsi"/>
              </w:rPr>
              <w:t>Swartjes</w:t>
            </w:r>
            <w:proofErr w:type="spellEnd"/>
            <w:r w:rsidRPr="00595884">
              <w:rPr>
                <w:rFonts w:asciiTheme="minorHAnsi" w:hAnsiTheme="minorHAnsi"/>
              </w:rPr>
              <w:t xml:space="preserve">, Frank A.; Janssen, Paul J. C. M. (2016) </w:t>
            </w:r>
            <w:r w:rsidRPr="005B6ACD">
              <w:rPr>
                <w:rFonts w:asciiTheme="minorHAnsi" w:hAnsiTheme="minorHAnsi"/>
                <w:iCs/>
              </w:rPr>
              <w:t>Assessment of health risks due to arsenic from iron ore lumps in a beach setting</w:t>
            </w:r>
            <w:r w:rsidRPr="00F570FF">
              <w:rPr>
                <w:rFonts w:asciiTheme="minorHAnsi" w:hAnsiTheme="minorHAnsi"/>
                <w:iCs/>
              </w:rPr>
              <w:t>.</w:t>
            </w:r>
            <w:r w:rsidRPr="00595884">
              <w:rPr>
                <w:rFonts w:asciiTheme="minorHAnsi" w:hAnsiTheme="minorHAnsi"/>
              </w:rPr>
              <w:t xml:space="preserve"> </w:t>
            </w:r>
            <w:r w:rsidRPr="005B6ACD">
              <w:rPr>
                <w:rFonts w:asciiTheme="minorHAnsi" w:hAnsiTheme="minorHAnsi"/>
                <w:i/>
                <w:iCs/>
              </w:rPr>
              <w:t>The Science of the Total Environment</w:t>
            </w:r>
            <w:r w:rsidRPr="00595884">
              <w:rPr>
                <w:rFonts w:asciiTheme="minorHAnsi" w:hAnsiTheme="minorHAnsi"/>
              </w:rPr>
              <w:t xml:space="preserve"> 563-564 (2016) 405-412</w:t>
            </w:r>
            <w:r w:rsidR="0011786B">
              <w:rPr>
                <w:rFonts w:asciiTheme="minorHAnsi" w:hAnsiTheme="minorHAnsi"/>
              </w:rPr>
              <w:t xml:space="preserve">. </w:t>
            </w:r>
            <w:r w:rsidR="0011786B" w:rsidRPr="0011786B">
              <w:rPr>
                <w:rFonts w:asciiTheme="minorHAnsi" w:hAnsiTheme="minorHAnsi"/>
              </w:rPr>
              <w:t>10.1016/j.scitotenv.2016.04.100</w:t>
            </w:r>
          </w:p>
        </w:tc>
      </w:tr>
    </w:tbl>
    <w:p w14:paraId="5333B550" w14:textId="77777777" w:rsidR="00E85760" w:rsidRPr="00595884" w:rsidRDefault="00E85760" w:rsidP="00E85760"/>
    <w:p w14:paraId="16C33147" w14:textId="51B1CCA6" w:rsidR="003228AA" w:rsidRPr="00595884" w:rsidRDefault="00274BC6" w:rsidP="005B36E3">
      <w:pPr>
        <w:pStyle w:val="Heading1"/>
      </w:pPr>
      <w:bookmarkStart w:id="320" w:name="_Toc106811140"/>
      <w:r w:rsidRPr="00595884">
        <w:t>Significance of risks to human health from chemical hazards in recreational waters</w:t>
      </w:r>
      <w:bookmarkEnd w:id="320"/>
    </w:p>
    <w:p w14:paraId="2B02BBA1" w14:textId="3B037B32" w:rsidR="00BD3AF9" w:rsidRPr="00595884" w:rsidRDefault="00274BC6" w:rsidP="006F7E5B">
      <w:pPr>
        <w:pStyle w:val="Heading2"/>
      </w:pPr>
      <w:bookmarkStart w:id="321" w:name="_Toc106811141"/>
      <w:r w:rsidRPr="00595884">
        <w:t>Review of</w:t>
      </w:r>
      <w:r w:rsidR="003228AA" w:rsidRPr="00595884">
        <w:t xml:space="preserve"> </w:t>
      </w:r>
      <w:r w:rsidR="00F76269">
        <w:t>existing g</w:t>
      </w:r>
      <w:r w:rsidR="008A58F8" w:rsidRPr="00595884">
        <w:t>uidelines</w:t>
      </w:r>
      <w:bookmarkEnd w:id="321"/>
    </w:p>
    <w:p w14:paraId="49806944" w14:textId="3D7D791B" w:rsidR="00134C39" w:rsidRPr="00595884" w:rsidRDefault="00274BC6" w:rsidP="00134C39">
      <w:pPr>
        <w:pStyle w:val="Heading3"/>
      </w:pPr>
      <w:bookmarkStart w:id="322" w:name="_Toc106811142"/>
      <w:r w:rsidRPr="00595884">
        <w:t xml:space="preserve">Primary </w:t>
      </w:r>
      <w:r w:rsidR="006156CC" w:rsidRPr="00595884">
        <w:t>r</w:t>
      </w:r>
      <w:r w:rsidRPr="00595884">
        <w:t xml:space="preserve">esearch </w:t>
      </w:r>
      <w:r w:rsidR="006156CC" w:rsidRPr="00595884">
        <w:t>q</w:t>
      </w:r>
      <w:r w:rsidRPr="00595884">
        <w:t>uestion</w:t>
      </w:r>
      <w:bookmarkEnd w:id="322"/>
    </w:p>
    <w:p w14:paraId="1DF7E68D" w14:textId="60BCBCA9" w:rsidR="00134C39" w:rsidRPr="00595884" w:rsidRDefault="00274BC6" w:rsidP="00134C39">
      <w:pPr>
        <w:ind w:left="720"/>
        <w:rPr>
          <w:i/>
          <w:iCs/>
        </w:rPr>
      </w:pPr>
      <w:bookmarkStart w:id="323" w:name="_Hlk72240277"/>
      <w:r w:rsidRPr="00595884">
        <w:rPr>
          <w:i/>
        </w:rPr>
        <w:t xml:space="preserve">Are exposures to the hazards </w:t>
      </w:r>
      <w:r>
        <w:rPr>
          <w:i/>
        </w:rPr>
        <w:t>listed</w:t>
      </w:r>
      <w:r w:rsidRPr="00595884">
        <w:rPr>
          <w:i/>
        </w:rPr>
        <w:t xml:space="preserve"> in </w:t>
      </w:r>
      <w:r w:rsidRPr="00595884">
        <w:rPr>
          <w:i/>
        </w:rPr>
        <w:fldChar w:fldCharType="begin"/>
      </w:r>
      <w:r w:rsidRPr="00595884">
        <w:rPr>
          <w:i/>
        </w:rPr>
        <w:instrText xml:space="preserve"> REF _Ref71043025 \h  \* MERGEFORMAT </w:instrText>
      </w:r>
      <w:r w:rsidRPr="00595884">
        <w:rPr>
          <w:i/>
        </w:rPr>
      </w:r>
      <w:r w:rsidRPr="00595884">
        <w:rPr>
          <w:i/>
        </w:rPr>
        <w:fldChar w:fldCharType="separate"/>
      </w:r>
      <w:r w:rsidR="003132AF" w:rsidRPr="003132AF">
        <w:rPr>
          <w:i/>
        </w:rPr>
        <w:t xml:space="preserve">Table </w:t>
      </w:r>
      <w:r w:rsidR="003132AF" w:rsidRPr="003132AF">
        <w:rPr>
          <w:i/>
          <w:noProof/>
        </w:rPr>
        <w:t>2</w:t>
      </w:r>
      <w:r w:rsidR="003132AF" w:rsidRPr="003132AF">
        <w:rPr>
          <w:i/>
          <w:noProof/>
        </w:rPr>
        <w:noBreakHyphen/>
        <w:t>1</w:t>
      </w:r>
      <w:r w:rsidRPr="00595884">
        <w:rPr>
          <w:i/>
        </w:rPr>
        <w:fldChar w:fldCharType="end"/>
      </w:r>
      <w:r w:rsidRPr="00595884">
        <w:rPr>
          <w:i/>
        </w:rPr>
        <w:t xml:space="preserve"> likely to give rise to any significant human health risks given that chemical concentrations in recreational waters are generally low?</w:t>
      </w:r>
    </w:p>
    <w:bookmarkEnd w:id="323"/>
    <w:p w14:paraId="4F1BD295" w14:textId="663FABB4" w:rsidR="001764D3" w:rsidRDefault="00274BC6" w:rsidP="00091741">
      <w:r w:rsidRPr="00595884">
        <w:t xml:space="preserve">None of the guideline documents included systematic reviews of evidence </w:t>
      </w:r>
      <w:r w:rsidR="009344F4" w:rsidRPr="00595884">
        <w:t>consistent with the primary research question</w:t>
      </w:r>
      <w:r w:rsidRPr="00595884">
        <w:t xml:space="preserve"> and no such reviews were identified in the </w:t>
      </w:r>
      <w:r w:rsidR="009344F4" w:rsidRPr="00595884">
        <w:t xml:space="preserve">wider scientific </w:t>
      </w:r>
      <w:r w:rsidRPr="00595884">
        <w:t>literature</w:t>
      </w:r>
      <w:r w:rsidR="009344F4" w:rsidRPr="00595884">
        <w:t xml:space="preserve">.  As a result, the body of evidence contained in the guideline literature is </w:t>
      </w:r>
      <w:r w:rsidR="00451924">
        <w:t>limited</w:t>
      </w:r>
      <w:r w:rsidR="009344F4" w:rsidRPr="00595884">
        <w:t>, and patchy with respect to detail (</w:t>
      </w:r>
      <w:r w:rsidR="009344F4" w:rsidRPr="00595884">
        <w:fldChar w:fldCharType="begin"/>
      </w:r>
      <w:r w:rsidR="009344F4" w:rsidRPr="00595884">
        <w:instrText xml:space="preserve"> REF _Ref72146504 \h </w:instrText>
      </w:r>
      <w:r w:rsidR="009344F4" w:rsidRPr="00595884">
        <w:fldChar w:fldCharType="separate"/>
      </w:r>
      <w:r w:rsidR="003132AF" w:rsidRPr="00595884">
        <w:t xml:space="preserve">Table </w:t>
      </w:r>
      <w:r w:rsidR="003132AF">
        <w:rPr>
          <w:noProof/>
        </w:rPr>
        <w:t>6</w:t>
      </w:r>
      <w:r w:rsidR="003132AF">
        <w:noBreakHyphen/>
      </w:r>
      <w:r w:rsidR="003132AF">
        <w:rPr>
          <w:noProof/>
        </w:rPr>
        <w:t>5</w:t>
      </w:r>
      <w:r w:rsidR="009344F4" w:rsidRPr="00595884">
        <w:fldChar w:fldCharType="end"/>
      </w:r>
      <w:r w:rsidR="009344F4" w:rsidRPr="00595884">
        <w:t xml:space="preserve">).  </w:t>
      </w:r>
      <w:r w:rsidR="006156CC" w:rsidRPr="00595884">
        <w:t>Four</w:t>
      </w:r>
      <w:r w:rsidR="009344F4" w:rsidRPr="00595884">
        <w:t xml:space="preserve"> of the seven guideline documents contained satisfactory material for consideration in response to the primary research question (G2, G5 G6 and G11, </w:t>
      </w:r>
      <w:r w:rsidR="0032706F">
        <w:fldChar w:fldCharType="begin"/>
      </w:r>
      <w:r w:rsidR="0032706F">
        <w:instrText xml:space="preserve"> REF _Ref77089972 \h </w:instrText>
      </w:r>
      <w:r w:rsidR="0032706F">
        <w:fldChar w:fldCharType="separate"/>
      </w:r>
      <w:r w:rsidR="003132AF">
        <w:t xml:space="preserve">Table </w:t>
      </w:r>
      <w:r w:rsidR="003132AF">
        <w:rPr>
          <w:noProof/>
        </w:rPr>
        <w:t>6</w:t>
      </w:r>
      <w:r w:rsidR="003132AF">
        <w:noBreakHyphen/>
      </w:r>
      <w:r w:rsidR="003132AF">
        <w:rPr>
          <w:noProof/>
        </w:rPr>
        <w:t>1</w:t>
      </w:r>
      <w:r w:rsidR="0032706F">
        <w:fldChar w:fldCharType="end"/>
      </w:r>
      <w:r w:rsidR="0032706F">
        <w:t xml:space="preserve">, </w:t>
      </w:r>
      <w:r w:rsidR="009344F4" w:rsidRPr="00595884">
        <w:fldChar w:fldCharType="begin"/>
      </w:r>
      <w:r w:rsidR="009344F4" w:rsidRPr="00595884">
        <w:instrText xml:space="preserve"> REF _Ref72146504 \h </w:instrText>
      </w:r>
      <w:r w:rsidR="009344F4" w:rsidRPr="00595884">
        <w:fldChar w:fldCharType="separate"/>
      </w:r>
      <w:r w:rsidR="003132AF" w:rsidRPr="00595884">
        <w:t xml:space="preserve">Table </w:t>
      </w:r>
      <w:r w:rsidR="003132AF">
        <w:rPr>
          <w:noProof/>
        </w:rPr>
        <w:t>6</w:t>
      </w:r>
      <w:r w:rsidR="003132AF">
        <w:noBreakHyphen/>
      </w:r>
      <w:r w:rsidR="003132AF">
        <w:rPr>
          <w:noProof/>
        </w:rPr>
        <w:t>5</w:t>
      </w:r>
      <w:r w:rsidR="009344F4" w:rsidRPr="00595884">
        <w:fldChar w:fldCharType="end"/>
      </w:r>
      <w:r w:rsidR="009344F4" w:rsidRPr="00595884">
        <w:t>).</w:t>
      </w:r>
    </w:p>
    <w:p w14:paraId="0BF5E09B" w14:textId="3DD4E691" w:rsidR="00091741" w:rsidRPr="00B67AE7" w:rsidRDefault="00274BC6" w:rsidP="00091741">
      <w:r w:rsidRPr="00595884">
        <w:t xml:space="preserve">The </w:t>
      </w:r>
      <w:r w:rsidRPr="00D82A1F">
        <w:rPr>
          <w:i/>
        </w:rPr>
        <w:t>Guidelines for Canadian Recreational Water Quality, Third Edition</w:t>
      </w:r>
      <w:r w:rsidRPr="00595884">
        <w:t xml:space="preserve"> </w:t>
      </w:r>
      <w:r w:rsidRPr="00595884">
        <w:fldChar w:fldCharType="begin"/>
      </w:r>
      <w:r w:rsidRPr="00595884">
        <w:instrText xml:space="preserve"> ADDIN ZOTERO_ITEM CSL_CITATION {"citationID":"gVhSEGkB","properties":{"formattedCitation":"(Health Canada, 2012)","plainCitation":"(Health Canada, 2012)","noteIndex":0},"citationItems":[{"id":11730,"uris":["http://zotero.org/users/148142/items/YA8HPAF3"],"uri":["http://zotero.org/users/148142/items/YA8HPAF3"],"itemData":{"id":11730,"type":"book","event-place":"Ottawa","ISBN":"978-1-100-20892-3","language":"English","note":"OCLC: 819133628","number-of-pages":"161","publisher":"Health Canada","publisher-place":"Ottawa","source":"Open WorldCat","title":"Guidelines for Canadian recreational water quality. Third Edition. Prepared by the Federal-Provincial-Territorial Working Group on Recreational Water Quality of the Federal-Provincial-Territorial Committee on Health and the Environment,","URL":"https://central.bac-lac.gc.ca/.item?id=H129-15-2012-eng&amp;op=pdf&amp;app=Library","author":[{"literal":"Health Canada"}],"accessed":{"date-parts":[["2020",6,23]]},"issued":{"date-parts":[["2012"]]}}}],"schema":"https://github.com/citation-style-language/schema/raw/master/csl-citation.json"} </w:instrText>
      </w:r>
      <w:r w:rsidRPr="00595884">
        <w:fldChar w:fldCharType="separate"/>
      </w:r>
      <w:r w:rsidRPr="00595884">
        <w:rPr>
          <w:rFonts w:cs="Arial"/>
        </w:rPr>
        <w:t>(Health Canada, 2012)</w:t>
      </w:r>
      <w:r w:rsidRPr="00595884">
        <w:fldChar w:fldCharType="end"/>
      </w:r>
      <w:r w:rsidRPr="00595884">
        <w:t xml:space="preserve"> </w:t>
      </w:r>
      <w:r w:rsidR="00D84B02" w:rsidRPr="00595884">
        <w:t>make limited reference to</w:t>
      </w:r>
      <w:r w:rsidRPr="00595884">
        <w:t xml:space="preserve"> the topic of chemical hazards to recreational water quality</w:t>
      </w:r>
      <w:r w:rsidR="009D63D5">
        <w:t>.</w:t>
      </w:r>
      <w:r w:rsidR="00D84B02" w:rsidRPr="00595884">
        <w:t xml:space="preserve"> </w:t>
      </w:r>
      <w:r w:rsidR="009D63D5">
        <w:t>T</w:t>
      </w:r>
      <w:r w:rsidR="00D84B02" w:rsidRPr="00595884">
        <w:t>he focus is largely on management of microbiological risks</w:t>
      </w:r>
      <w:r w:rsidRPr="00595884">
        <w:t>.</w:t>
      </w:r>
      <w:r w:rsidR="00E214A7" w:rsidRPr="00595884">
        <w:t xml:space="preserve">  </w:t>
      </w:r>
      <w:r w:rsidR="00E214A7" w:rsidRPr="00B67AE7">
        <w:t>The</w:t>
      </w:r>
      <w:r w:rsidR="009D63D5">
        <w:t xml:space="preserve">y </w:t>
      </w:r>
      <w:r w:rsidR="00E214A7" w:rsidRPr="00B67AE7">
        <w:t>report that national surveys of the water quality of lakes and rivers used for recreational activities indicate that concentrations of organic and inorganic chemicals</w:t>
      </w:r>
      <w:r w:rsidR="009D63D5">
        <w:t>,</w:t>
      </w:r>
      <w:r w:rsidR="00E214A7" w:rsidRPr="00B67AE7">
        <w:t xml:space="preserve"> such as heavy metals</w:t>
      </w:r>
      <w:r w:rsidR="009D63D5">
        <w:t>,</w:t>
      </w:r>
      <w:r w:rsidR="00E214A7" w:rsidRPr="00B67AE7">
        <w:t xml:space="preserve"> are considerably below those recommended as guidelines for drinking water quality.  The </w:t>
      </w:r>
      <w:r w:rsidR="009D63D5">
        <w:t xml:space="preserve">Canadian </w:t>
      </w:r>
      <w:r w:rsidR="00E214A7" w:rsidRPr="00B67AE7">
        <w:t>guidelines consider ingestion to be the primary pathway of exposure and that risks due to dermal exposure are not likely to be significant due to the low concentrations and expected exposure scenarios during recreational water activities.</w:t>
      </w:r>
    </w:p>
    <w:p w14:paraId="2AD077B5" w14:textId="691E1BF9" w:rsidR="008A6B97" w:rsidRPr="00B67AE7" w:rsidRDefault="00274BC6" w:rsidP="00091741">
      <w:r w:rsidRPr="00B67AE7">
        <w:t xml:space="preserve">The </w:t>
      </w:r>
      <w:r w:rsidR="009D63D5">
        <w:t xml:space="preserve">Canadian </w:t>
      </w:r>
      <w:r w:rsidRPr="00B67AE7">
        <w:t xml:space="preserve">guidelines conclude that there is insufficient information for developing chemical-specific recreational water quality guidelines.  </w:t>
      </w:r>
      <w:bookmarkStart w:id="324" w:name="_Hlk72233988"/>
      <w:r w:rsidR="009D63D5">
        <w:t xml:space="preserve">They state that </w:t>
      </w:r>
      <w:r w:rsidRPr="00B67AE7">
        <w:t xml:space="preserve">since such chemical water quality hazards are dependent on the </w:t>
      </w:r>
      <w:proofErr w:type="gramStart"/>
      <w:r w:rsidRPr="00B67AE7">
        <w:t>particular circumstances</w:t>
      </w:r>
      <w:proofErr w:type="gramEnd"/>
      <w:r w:rsidRPr="00B67AE7">
        <w:t xml:space="preserve"> of the area in question they should be assessed on a case-by-case basis.  </w:t>
      </w:r>
      <w:bookmarkEnd w:id="324"/>
    </w:p>
    <w:p w14:paraId="1ECABC23" w14:textId="1A0000AF" w:rsidR="00CE734D" w:rsidRPr="00595884" w:rsidRDefault="00274BC6" w:rsidP="00091741">
      <w:r w:rsidRPr="00B67AE7">
        <w:t>The Canadian guidelines also state that:</w:t>
      </w:r>
    </w:p>
    <w:p w14:paraId="0D26EF87" w14:textId="2574FE3A" w:rsidR="008A6B97" w:rsidRPr="00595884" w:rsidRDefault="00274BC6" w:rsidP="00700FDF">
      <w:pPr>
        <w:pStyle w:val="ListParagraph"/>
        <w:numPr>
          <w:ilvl w:val="0"/>
          <w:numId w:val="15"/>
        </w:numPr>
        <w:ind w:hanging="357"/>
        <w:contextualSpacing/>
        <w:rPr>
          <w:lang w:val="en-AU"/>
        </w:rPr>
      </w:pPr>
      <w:r w:rsidRPr="00595884">
        <w:rPr>
          <w:lang w:val="en-AU"/>
        </w:rPr>
        <w:t xml:space="preserve">Exposure to chemical hazards in recreational waters constitutes </w:t>
      </w:r>
      <w:r w:rsidR="00A53327" w:rsidRPr="00595884">
        <w:rPr>
          <w:lang w:val="en-AU"/>
        </w:rPr>
        <w:t xml:space="preserve">much less </w:t>
      </w:r>
      <w:r w:rsidRPr="00595884">
        <w:rPr>
          <w:lang w:val="en-AU"/>
        </w:rPr>
        <w:t>risk than exposure to microbiological hazards</w:t>
      </w:r>
      <w:r w:rsidR="009D63D5">
        <w:rPr>
          <w:lang w:val="en-AU"/>
        </w:rPr>
        <w:t>,</w:t>
      </w:r>
      <w:r w:rsidRPr="00595884">
        <w:rPr>
          <w:lang w:val="en-AU"/>
        </w:rPr>
        <w:t xml:space="preserve"> citing </w:t>
      </w:r>
      <w:r w:rsidR="00CA10B6" w:rsidRPr="00595884">
        <w:rPr>
          <w:lang w:val="en-AU"/>
        </w:rPr>
        <w:fldChar w:fldCharType="begin"/>
      </w:r>
      <w:r w:rsidR="00CA10B6" w:rsidRPr="00595884">
        <w:rPr>
          <w:lang w:val="en-AU"/>
        </w:rPr>
        <w:instrText xml:space="preserve"> ADDIN ZOTERO_ITEM CSL_CITATION {"citationID":"yYSQpvLN","properties":{"formattedCitation":"(WHO, 2003)","plainCitation":"(WHO, 2003)","noteIndex":0},"citationItems":[{"id":5206,"uris":["http://zotero.org/users/148142/items/42WP24EN"],"uri":["http://zotero.org/users/148142/items/42WP24EN"],"itemData":{"id":5206,"type":"book","event-place":"Geneva","ISBN":"ISBN: 92 4 154580 1","language":"English","number-of-pages":"253","publisher":"World Health Organization","publisher-place":"Geneva","source":"Open WorldCat","title":"Guidelines for Safe Recreational Water Environments. Volume 1: Coastal and Fresh Waters","URL":"http://search.ebscohost.com/login.aspx?direct=true&amp;scope=site&amp;db=nlebk&amp;db=nlabk&amp;AN=114058","author":[{"literal":"WHO"}],"accessed":{"date-parts":[["2013",8,5]]},"issued":{"date-parts":[["2003"]]}}}],"schema":"https://github.com/citation-style-language/schema/raw/master/csl-citation.json"} </w:instrText>
      </w:r>
      <w:r w:rsidR="00CA10B6" w:rsidRPr="00595884">
        <w:rPr>
          <w:lang w:val="en-AU"/>
        </w:rPr>
        <w:fldChar w:fldCharType="separate"/>
      </w:r>
      <w:r w:rsidR="00CA10B6" w:rsidRPr="00595884">
        <w:rPr>
          <w:rFonts w:cs="Arial"/>
          <w:lang w:val="en-AU"/>
        </w:rPr>
        <w:t>(WHO, 2003)</w:t>
      </w:r>
      <w:r w:rsidR="00CA10B6" w:rsidRPr="00595884">
        <w:rPr>
          <w:lang w:val="en-AU"/>
        </w:rPr>
        <w:fldChar w:fldCharType="end"/>
      </w:r>
      <w:r w:rsidRPr="00595884">
        <w:rPr>
          <w:lang w:val="en-AU"/>
        </w:rPr>
        <w:t>;</w:t>
      </w:r>
    </w:p>
    <w:p w14:paraId="149C64BE" w14:textId="5DC004B0" w:rsidR="008A6B97" w:rsidRPr="00595884" w:rsidRDefault="00274BC6" w:rsidP="00700FDF">
      <w:pPr>
        <w:pStyle w:val="ListParagraph"/>
        <w:numPr>
          <w:ilvl w:val="0"/>
          <w:numId w:val="15"/>
        </w:numPr>
        <w:ind w:hanging="357"/>
        <w:contextualSpacing/>
        <w:rPr>
          <w:lang w:val="en-AU"/>
        </w:rPr>
      </w:pPr>
      <w:r w:rsidRPr="00595884">
        <w:rPr>
          <w:lang w:val="en-AU"/>
        </w:rPr>
        <w:t xml:space="preserve">The likely concentrations of chemical hazards in recreational waters would not be sufficient to elicit either an acute or chronic illness </w:t>
      </w:r>
      <w:proofErr w:type="gramStart"/>
      <w:r w:rsidRPr="00595884">
        <w:rPr>
          <w:lang w:val="en-AU"/>
        </w:rPr>
        <w:t>response;</w:t>
      </w:r>
      <w:proofErr w:type="gramEnd"/>
    </w:p>
    <w:p w14:paraId="14ECE634" w14:textId="284F4A56" w:rsidR="00A53327" w:rsidRPr="00595884" w:rsidRDefault="00274BC6" w:rsidP="00700FDF">
      <w:pPr>
        <w:pStyle w:val="ListParagraph"/>
        <w:numPr>
          <w:ilvl w:val="0"/>
          <w:numId w:val="15"/>
        </w:numPr>
        <w:ind w:hanging="357"/>
        <w:contextualSpacing/>
        <w:rPr>
          <w:lang w:val="en-AU"/>
        </w:rPr>
      </w:pPr>
      <w:r w:rsidRPr="00595884">
        <w:rPr>
          <w:lang w:val="en-AU"/>
        </w:rPr>
        <w:t>T</w:t>
      </w:r>
      <w:r w:rsidR="00CA10B6" w:rsidRPr="00595884">
        <w:rPr>
          <w:lang w:val="en-AU"/>
        </w:rPr>
        <w:t xml:space="preserve">he risk of human exposure to chemical contaminants in Canadian waters through recreational activities is considered </w:t>
      </w:r>
      <w:proofErr w:type="gramStart"/>
      <w:r w:rsidR="00CA10B6" w:rsidRPr="00595884">
        <w:rPr>
          <w:lang w:val="en-AU"/>
        </w:rPr>
        <w:t>low</w:t>
      </w:r>
      <w:r w:rsidRPr="00595884">
        <w:rPr>
          <w:lang w:val="en-AU"/>
        </w:rPr>
        <w:t>;</w:t>
      </w:r>
      <w:proofErr w:type="gramEnd"/>
    </w:p>
    <w:p w14:paraId="14FC77F7" w14:textId="27EB21E0" w:rsidR="00CA10B6" w:rsidRPr="00595884" w:rsidRDefault="00274BC6" w:rsidP="00700FDF">
      <w:pPr>
        <w:pStyle w:val="ListParagraph"/>
        <w:numPr>
          <w:ilvl w:val="0"/>
          <w:numId w:val="15"/>
        </w:numPr>
        <w:ind w:hanging="357"/>
        <w:contextualSpacing/>
        <w:rPr>
          <w:lang w:val="en-AU"/>
        </w:rPr>
      </w:pPr>
      <w:r w:rsidRPr="00595884">
        <w:rPr>
          <w:lang w:val="en-AU"/>
        </w:rPr>
        <w:t xml:space="preserve">However, scenarios exist that justify the use of a multi-barrier approach which is considered the most-effective way of protecting recreational water users from chemical </w:t>
      </w:r>
      <w:proofErr w:type="gramStart"/>
      <w:r w:rsidRPr="00595884">
        <w:rPr>
          <w:lang w:val="en-AU"/>
        </w:rPr>
        <w:t>hazards;</w:t>
      </w:r>
      <w:proofErr w:type="gramEnd"/>
    </w:p>
    <w:p w14:paraId="2A80AFBA" w14:textId="7A233688" w:rsidR="00CA10B6" w:rsidRPr="00595884" w:rsidRDefault="00274BC6" w:rsidP="00700FDF">
      <w:pPr>
        <w:pStyle w:val="ListParagraph"/>
        <w:numPr>
          <w:ilvl w:val="0"/>
          <w:numId w:val="15"/>
        </w:numPr>
        <w:ind w:hanging="357"/>
        <w:contextualSpacing/>
        <w:rPr>
          <w:lang w:val="en-AU"/>
        </w:rPr>
      </w:pPr>
      <w:r w:rsidRPr="00595884">
        <w:rPr>
          <w:lang w:val="en-AU"/>
        </w:rPr>
        <w:t>Multi-barrier approaches include the use of:</w:t>
      </w:r>
    </w:p>
    <w:p w14:paraId="33EFEE60" w14:textId="027F62D3" w:rsidR="00CA10B6" w:rsidRPr="00595884" w:rsidRDefault="00274BC6" w:rsidP="00700FDF">
      <w:pPr>
        <w:pStyle w:val="ListParagraph"/>
        <w:numPr>
          <w:ilvl w:val="1"/>
          <w:numId w:val="15"/>
        </w:numPr>
        <w:ind w:hanging="357"/>
        <w:contextualSpacing/>
        <w:rPr>
          <w:lang w:val="en-AU"/>
        </w:rPr>
      </w:pPr>
      <w:r w:rsidRPr="00595884">
        <w:rPr>
          <w:lang w:val="en-AU"/>
        </w:rPr>
        <w:t xml:space="preserve">Environmental health and safety </w:t>
      </w:r>
      <w:proofErr w:type="gramStart"/>
      <w:r w:rsidRPr="00595884">
        <w:rPr>
          <w:lang w:val="en-AU"/>
        </w:rPr>
        <w:t>surveys</w:t>
      </w:r>
      <w:r w:rsidR="00A53327" w:rsidRPr="00595884">
        <w:rPr>
          <w:lang w:val="en-AU"/>
        </w:rPr>
        <w:t>;</w:t>
      </w:r>
      <w:proofErr w:type="gramEnd"/>
    </w:p>
    <w:p w14:paraId="6ECB4AF8" w14:textId="47A7DC18" w:rsidR="00CA10B6" w:rsidRPr="00595884" w:rsidRDefault="00274BC6" w:rsidP="00700FDF">
      <w:pPr>
        <w:pStyle w:val="ListParagraph"/>
        <w:numPr>
          <w:ilvl w:val="1"/>
          <w:numId w:val="15"/>
        </w:numPr>
        <w:ind w:hanging="357"/>
        <w:contextualSpacing/>
        <w:rPr>
          <w:lang w:val="en-AU"/>
        </w:rPr>
      </w:pPr>
      <w:r w:rsidRPr="00595884">
        <w:rPr>
          <w:lang w:val="en-AU"/>
        </w:rPr>
        <w:t>Application of precautionary measures including restricting swimming to public beaches and showering with soap and water aft</w:t>
      </w:r>
      <w:r w:rsidR="00E8145D" w:rsidRPr="00595884">
        <w:rPr>
          <w:lang w:val="en-AU"/>
        </w:rPr>
        <w:t>er recreational activities</w:t>
      </w:r>
      <w:r w:rsidR="00A53327" w:rsidRPr="00595884">
        <w:rPr>
          <w:lang w:val="en-AU"/>
        </w:rPr>
        <w:t xml:space="preserve"> to minimise risk</w:t>
      </w:r>
      <w:r w:rsidR="00E8145D" w:rsidRPr="00595884">
        <w:rPr>
          <w:lang w:val="en-AU"/>
        </w:rPr>
        <w:t>.</w:t>
      </w:r>
    </w:p>
    <w:p w14:paraId="1C481D0B" w14:textId="6D9E5ACC" w:rsidR="00091741" w:rsidRPr="00595884" w:rsidRDefault="00274BC6" w:rsidP="00E3697A">
      <w:r w:rsidRPr="00595884">
        <w:t xml:space="preserve">The </w:t>
      </w:r>
      <w:r w:rsidRPr="00E55163">
        <w:t>Phase 1</w:t>
      </w:r>
      <w:r w:rsidRPr="00D82A1F">
        <w:rPr>
          <w:i/>
        </w:rPr>
        <w:t xml:space="preserve"> Australian Guidelines for Water Recycling</w:t>
      </w:r>
      <w:r w:rsidR="00D577C6" w:rsidRPr="00D82A1F">
        <w:rPr>
          <w:i/>
        </w:rPr>
        <w:t xml:space="preserve"> </w:t>
      </w:r>
      <w:r w:rsidR="00D577C6" w:rsidRPr="00E55163">
        <w:t>(AGWR</w:t>
      </w:r>
      <w:r w:rsidR="00AF139E">
        <w:t xml:space="preserve"> Phase 1</w:t>
      </w:r>
      <w:r w:rsidR="00D577C6" w:rsidRPr="00E55163">
        <w:t>)</w:t>
      </w:r>
      <w:r w:rsidRPr="00595884">
        <w:t xml:space="preserve"> </w:t>
      </w:r>
      <w:r w:rsidRPr="00595884">
        <w:fldChar w:fldCharType="begin"/>
      </w:r>
      <w:r w:rsidRPr="00595884">
        <w:instrText xml:space="preserve"> ADDIN ZOTERO_ITEM CSL_CITATION {"citationID":"E0DRtcfX","properties":{"formattedCitation":"(NRMMC, EPHC, et al., 2006)","plainCitation":"(NRMMC, EPHC, et al., 2006)","noteIndex":0},"citationItems":[{"id":1341,"uris":["http://zotero.org/users/148142/items/D8JRZKWD"],"uri":["http://zotero.org/users/148142/items/D8JRZKWD"],"itemData":{"id":1341,"type":"report","event-place":"Canberra, Australia","publisher":"Natural Resource Management Ministerial Council. Environment Protection and Heritage Council Australian Health Ministers’ Conference","publisher-place":"Canberra, Australia","title":"Australian Guidelines for Water Recycling: Managing Health and Environmental Risks (Phase 1)","URL":"https://www.nhmrc.gov.au/about-us/publications/australian-guidelines-water-recycling","author":[{"family":"NRMMC","given":""},{"family":"EPHC","given":""},{"family":"AHMC","given":""}],"issued":{"date-parts":[["2006"]]}}}],"schema":"https://github.com/citation-style-language/schema/raw/master/csl-citation.json"} </w:instrText>
      </w:r>
      <w:r w:rsidRPr="00595884">
        <w:fldChar w:fldCharType="separate"/>
      </w:r>
      <w:r w:rsidRPr="00595884">
        <w:rPr>
          <w:rFonts w:cs="Arial"/>
        </w:rPr>
        <w:t>(NRMMC, EPHC, et al., 2006)</w:t>
      </w:r>
      <w:r w:rsidRPr="00595884">
        <w:fldChar w:fldCharType="end"/>
      </w:r>
      <w:r w:rsidRPr="00595884">
        <w:t xml:space="preserve"> do not directly address recreational water quality</w:t>
      </w:r>
      <w:r w:rsidR="00E55163">
        <w:t>.</w:t>
      </w:r>
      <w:r w:rsidRPr="00595884">
        <w:t xml:space="preserve"> </w:t>
      </w:r>
      <w:r w:rsidR="00E55163">
        <w:t>H</w:t>
      </w:r>
      <w:r w:rsidRPr="00595884">
        <w:t xml:space="preserve">owever, since discharge of treated effluent (recycled water) in the vicinity of recreational bathing areas is </w:t>
      </w:r>
      <w:r w:rsidR="00676540">
        <w:t xml:space="preserve">not </w:t>
      </w:r>
      <w:r w:rsidRPr="00595884">
        <w:t>uncommon, it is useful to consider such discharges as a potential source of chemical hazards.</w:t>
      </w:r>
      <w:r w:rsidR="007D47C0">
        <w:t xml:space="preserve"> </w:t>
      </w:r>
    </w:p>
    <w:p w14:paraId="67D275A6" w14:textId="66F2E0E3" w:rsidR="00E3697A" w:rsidRPr="00595884" w:rsidRDefault="00274BC6" w:rsidP="00091741">
      <w:r w:rsidRPr="00595884">
        <w:t xml:space="preserve">Citing US data, and some confirmatory Australian data, </w:t>
      </w:r>
      <w:r w:rsidRPr="00B241E1">
        <w:t xml:space="preserve">AGWR </w:t>
      </w:r>
      <w:r w:rsidR="00AF139E" w:rsidRPr="00B241E1">
        <w:t>Phase 1</w:t>
      </w:r>
      <w:r w:rsidR="00AF139E">
        <w:t xml:space="preserve"> </w:t>
      </w:r>
      <w:r w:rsidRPr="00595884">
        <w:t>notes that analyses of recycled water indicate that chemical quality generally complies with drinking water quality requirements for most parameters, including heavy metals, pesticides</w:t>
      </w:r>
      <w:r w:rsidR="007D47C0">
        <w:t>,</w:t>
      </w:r>
      <w:r w:rsidRPr="00595884">
        <w:t xml:space="preserve"> disinfection by-products</w:t>
      </w:r>
      <w:r w:rsidR="007D47C0">
        <w:t xml:space="preserve"> </w:t>
      </w:r>
      <w:r w:rsidR="007D47C0" w:rsidRPr="00595884">
        <w:t xml:space="preserve">(DBPs), </w:t>
      </w:r>
      <w:r w:rsidR="007D47C0">
        <w:t xml:space="preserve">and other </w:t>
      </w:r>
      <w:r w:rsidR="007D47C0" w:rsidRPr="00595884">
        <w:t>organic chemicals</w:t>
      </w:r>
      <w:r w:rsidRPr="00595884">
        <w:t xml:space="preserve"> (see Technical Report for further details).  </w:t>
      </w:r>
    </w:p>
    <w:p w14:paraId="3C336B19" w14:textId="45AD6831" w:rsidR="00D577C6" w:rsidRPr="00595884" w:rsidRDefault="00274BC6" w:rsidP="00D577C6">
      <w:r w:rsidRPr="00B241E1">
        <w:t xml:space="preserve">AGWR </w:t>
      </w:r>
      <w:r w:rsidR="008E737E" w:rsidRPr="00B241E1">
        <w:t>Phase 1</w:t>
      </w:r>
      <w:r w:rsidR="008E737E">
        <w:t xml:space="preserve"> </w:t>
      </w:r>
      <w:r w:rsidRPr="00595884">
        <w:t xml:space="preserve">concludes that the Australian data indicate a high rate of compliance with drinking water guideline values. Chemical concentrations that exceeded the values in the </w:t>
      </w:r>
      <w:r w:rsidRPr="00D82A1F">
        <w:rPr>
          <w:i/>
        </w:rPr>
        <w:t>Australian Drinking Water Guidelines</w:t>
      </w:r>
      <w:r w:rsidRPr="00595884">
        <w:t xml:space="preserve"> (ADWG)</w:t>
      </w:r>
      <w:r>
        <w:rPr>
          <w:rStyle w:val="FootnoteReference"/>
        </w:rPr>
        <w:footnoteReference w:id="3"/>
      </w:r>
      <w:r w:rsidRPr="00595884">
        <w:t xml:space="preserve"> </w:t>
      </w:r>
      <w:r w:rsidRPr="00595884">
        <w:fldChar w:fldCharType="begin"/>
      </w:r>
      <w:r w:rsidRPr="00595884">
        <w:instrText xml:space="preserve"> ADDIN ZOTERO_ITEM CSL_CITATION {"citationID":"KSTiPjmP","properties":{"formattedCitation":"(NHMRC and NRMMC, 2018)","plainCitation":"(NHMRC and NRMMC, 2018)","noteIndex":0},"citationItems":[{"id":8799,"uris":["http://zotero.org/users/148142/items/TJ92SU62"],"uri":["http://zotero.org/users/148142/items/TJ92SU62"],"itemData":{"id":8799,"type":"report","collection-title":"National Water Quality Management Strategy","event-place":"Commonwealth of Australia, Canberra","number":"Paper 6","page":"1167","publisher":"National Health and Medical Research Council and Natural Resource Management Ministerial Council","publisher-place":"Commonwealth of Australia, Canberra","title":"Australian Drinking Water Guidelines. Version 3.5. Updated August 2018","URL":"https://www.nhmrc.gov.au/about-us/publications/australian-drinking-water-guidelines#block-views-block-file-attachments-content-block-1","author":[{"literal":"NHMRC"},{"literal":"NRMMC"}],"issued":{"date-parts":[["2018",8]]}}}],"schema":"https://github.com/citation-style-language/schema/raw/master/csl-citation.json"} </w:instrText>
      </w:r>
      <w:r w:rsidRPr="00595884">
        <w:fldChar w:fldCharType="separate"/>
      </w:r>
      <w:r w:rsidRPr="00595884">
        <w:rPr>
          <w:rFonts w:cs="Arial"/>
        </w:rPr>
        <w:t>(NHMRC and NRMMC, 2018)</w:t>
      </w:r>
      <w:r w:rsidRPr="00595884">
        <w:fldChar w:fldCharType="end"/>
      </w:r>
      <w:r w:rsidRPr="00595884">
        <w:t xml:space="preserve"> were acceptable, taking into account the reduced exposure compared with drinking water, discussed above.  </w:t>
      </w:r>
      <w:bookmarkStart w:id="325" w:name="_Hlk72328431"/>
      <w:r w:rsidRPr="00595884">
        <w:t xml:space="preserve">Based on these observations, </w:t>
      </w:r>
      <w:r w:rsidR="00CE5605" w:rsidRPr="00595884">
        <w:t>concentrations of</w:t>
      </w:r>
      <w:r w:rsidRPr="00595884">
        <w:t xml:space="preserve"> contaminants listed by </w:t>
      </w:r>
      <w:r w:rsidRPr="00B241E1">
        <w:t>AGWR</w:t>
      </w:r>
      <w:r w:rsidR="008E737E" w:rsidRPr="00B241E1">
        <w:t xml:space="preserve"> Phase 1</w:t>
      </w:r>
      <w:r w:rsidRPr="00595884">
        <w:t xml:space="preserve">; </w:t>
      </w:r>
      <w:r w:rsidR="007D47C0">
        <w:t xml:space="preserve">i.e., </w:t>
      </w:r>
      <w:r w:rsidRPr="00595884">
        <w:t xml:space="preserve">nutrients, heavy metals, DBPs, </w:t>
      </w:r>
      <w:r w:rsidR="007D47C0">
        <w:t>p</w:t>
      </w:r>
      <w:r w:rsidRPr="00595884">
        <w:t xml:space="preserve">olychlorinated </w:t>
      </w:r>
      <w:r w:rsidR="007D47C0">
        <w:t>b</w:t>
      </w:r>
      <w:r w:rsidRPr="00595884">
        <w:t xml:space="preserve">iphenyls (PCBs), </w:t>
      </w:r>
      <w:r w:rsidR="00CE5605" w:rsidRPr="00595884">
        <w:t>polycyclic aromatic hydrocarbons (</w:t>
      </w:r>
      <w:r w:rsidRPr="00595884">
        <w:t>PAHs</w:t>
      </w:r>
      <w:r w:rsidR="00CE5605" w:rsidRPr="00595884">
        <w:t>)</w:t>
      </w:r>
      <w:r w:rsidRPr="00595884">
        <w:t>, phenol, toluene and benzene, would not likely pose a risk to</w:t>
      </w:r>
      <w:r w:rsidR="00CE5605" w:rsidRPr="00595884">
        <w:t xml:space="preserve"> users of</w:t>
      </w:r>
      <w:r w:rsidRPr="00595884">
        <w:t xml:space="preserve"> recreational water</w:t>
      </w:r>
      <w:r w:rsidR="00CE5605" w:rsidRPr="00595884">
        <w:t>s</w:t>
      </w:r>
      <w:r w:rsidRPr="00595884">
        <w:t xml:space="preserve"> </w:t>
      </w:r>
      <w:r w:rsidR="00CE5605" w:rsidRPr="00595884">
        <w:t xml:space="preserve">influenced by </w:t>
      </w:r>
      <w:r w:rsidR="004D4537">
        <w:t>recycled water</w:t>
      </w:r>
      <w:r w:rsidR="00CE5605" w:rsidRPr="00595884">
        <w:t xml:space="preserve"> discharges</w:t>
      </w:r>
      <w:bookmarkEnd w:id="325"/>
      <w:r w:rsidR="00CE5605" w:rsidRPr="00595884">
        <w:t>.</w:t>
      </w:r>
    </w:p>
    <w:p w14:paraId="7CC431BA" w14:textId="5943EE8B" w:rsidR="00977323" w:rsidRPr="00595884" w:rsidRDefault="00274BC6" w:rsidP="00977323">
      <w:r>
        <w:t xml:space="preserve">The Phase 2 </w:t>
      </w:r>
      <w:r w:rsidRPr="00D82A1F">
        <w:rPr>
          <w:i/>
        </w:rPr>
        <w:t>Australian Guidelines for Water Recycling</w:t>
      </w:r>
      <w:r w:rsidR="00B241E1">
        <w:rPr>
          <w:i/>
        </w:rPr>
        <w:t>: Augmentation of Drinking Water Supplies</w:t>
      </w:r>
      <w:r w:rsidR="00AF139E">
        <w:t xml:space="preserve"> (AGWR Phase 2)</w:t>
      </w:r>
      <w:r w:rsidRPr="00595884">
        <w:t xml:space="preserve"> </w:t>
      </w:r>
      <w:r w:rsidRPr="00595884">
        <w:fldChar w:fldCharType="begin"/>
      </w:r>
      <w:r w:rsidRPr="00595884">
        <w:instrText xml:space="preserve"> ADDIN ZOTERO_ITEM CSL_CITATION {"citationID":"exIacIgA","properties":{"formattedCitation":"(NRMMC, EPHC, et al., 2008)","plainCitation":"(NRMMC, EPHC, et al., 2008)","noteIndex":0},"citationItems":[{"id":1344,"uris":["http://zotero.org/users/148142/items/HCCZKNFZ"],"uri":["http://zotero.org/users/148142/items/HCCZKNFZ"],"itemData":{"id":1344,"type":"report","event-place":"Canberra, Australia.","publisher":"Natural Resource Management Ministerial Council, Environmental Protection and Heritage Council and National Health and Medical Research Council","publisher-place":"Canberra, Australia.","title":"Australian Guidelines for Water Recycling (Phase 2): Augmentation of Drinking Water Supplies","author":[{"literal":"NRMMC"},{"literal":"EPHC"},{"literal":"NHMRC"}],"issued":{"date-parts":[["2008"]]}}}],"schema":"https://github.com/citation-style-language/schema/raw/master/csl-citation.json"} </w:instrText>
      </w:r>
      <w:r w:rsidRPr="00595884">
        <w:fldChar w:fldCharType="separate"/>
      </w:r>
      <w:r w:rsidRPr="00595884">
        <w:rPr>
          <w:rFonts w:cs="Arial"/>
        </w:rPr>
        <w:t>(NRMMC, EPHC, et al., 2008)</w:t>
      </w:r>
      <w:r w:rsidRPr="00595884">
        <w:fldChar w:fldCharType="end"/>
      </w:r>
      <w:r w:rsidRPr="00595884">
        <w:t xml:space="preserve"> provide a more extensive list of contaminants of interest in recycled water than </w:t>
      </w:r>
      <w:r w:rsidRPr="00B241E1">
        <w:t>AGWR Phase 1</w:t>
      </w:r>
      <w:r>
        <w:t>. They</w:t>
      </w:r>
      <w:r w:rsidRPr="00595884">
        <w:t xml:space="preserve"> provide guidelines for an additional list of substances </w:t>
      </w:r>
      <w:r>
        <w:t xml:space="preserve">that the </w:t>
      </w:r>
      <w:r w:rsidRPr="00B241E1">
        <w:t>ADWG</w:t>
      </w:r>
      <w:r w:rsidRPr="00595884">
        <w:t xml:space="preserve"> does not list. </w:t>
      </w:r>
      <w:r w:rsidR="00AF139E" w:rsidRPr="00B241E1">
        <w:t xml:space="preserve">AGWR </w:t>
      </w:r>
      <w:r w:rsidRPr="00B241E1">
        <w:t>Phase 2</w:t>
      </w:r>
      <w:r w:rsidRPr="00595884">
        <w:t xml:space="preserve"> also provide a detailed methodology for the derivation of guidelines for substances for which there </w:t>
      </w:r>
      <w:r>
        <w:t>are</w:t>
      </w:r>
      <w:r w:rsidRPr="00595884">
        <w:t xml:space="preserve"> currently </w:t>
      </w:r>
      <w:r w:rsidRPr="00B241E1">
        <w:t xml:space="preserve">ADWG </w:t>
      </w:r>
      <w:r w:rsidRPr="00595884">
        <w:t>value</w:t>
      </w:r>
      <w:r>
        <w:t>s</w:t>
      </w:r>
      <w:r w:rsidRPr="00595884">
        <w:t>.</w:t>
      </w:r>
    </w:p>
    <w:p w14:paraId="2866EE4D" w14:textId="1FEF4DC2" w:rsidR="001F20BF" w:rsidRPr="00595884" w:rsidRDefault="00274BC6" w:rsidP="001F20BF">
      <w:r w:rsidRPr="00595884">
        <w:t>In response to recent heightened concern over the environmental and public health effects of PFAS substances, NHM</w:t>
      </w:r>
      <w:r w:rsidR="00D76DFB">
        <w:t>R</w:t>
      </w:r>
      <w:r w:rsidRPr="00595884">
        <w:t xml:space="preserve">C released the guideline document, </w:t>
      </w:r>
      <w:r w:rsidRPr="00D82A1F">
        <w:rPr>
          <w:i/>
        </w:rPr>
        <w:t>Guidance on Per</w:t>
      </w:r>
      <w:r w:rsidR="00E55163" w:rsidRPr="00D82A1F">
        <w:rPr>
          <w:i/>
        </w:rPr>
        <w:t>-</w:t>
      </w:r>
      <w:r w:rsidRPr="00D82A1F">
        <w:rPr>
          <w:i/>
        </w:rPr>
        <w:t xml:space="preserve"> and Polyfluoroalkyl </w:t>
      </w:r>
      <w:r w:rsidR="00E55163">
        <w:rPr>
          <w:i/>
        </w:rPr>
        <w:t>S</w:t>
      </w:r>
      <w:r w:rsidRPr="00D82A1F">
        <w:rPr>
          <w:i/>
        </w:rPr>
        <w:t>ubstances (PFAS) in Recreational Water</w:t>
      </w:r>
      <w:r w:rsidRPr="00595884">
        <w:t xml:space="preserve"> </w:t>
      </w:r>
      <w:r w:rsidRPr="00595884">
        <w:fldChar w:fldCharType="begin"/>
      </w:r>
      <w:r w:rsidRPr="00595884">
        <w:instrText xml:space="preserve"> ADDIN ZOTERO_ITEM CSL_CITATION {"citationID":"4jnFSk5F","properties":{"formattedCitation":"(NHMRC, 2019)","plainCitation":"(NHMRC, 2019)","noteIndex":0},"citationItems":[{"id":17312,"uris":["http://zotero.org/users/148142/items/6NV45AKL"],"uri":["http://zotero.org/users/148142/items/6NV45AKL"],"itemData":{"id":17312,"type":"report","event-place":"Canberra, A.C.T.","language":"English","publisher":"National Health and Medical Research Council","publisher-place":"Canberra, A.C.T.","title":"Guidance on Per and Polyfluoroalkyl (PFAS) in Recreational Water","URL":"https://www.nhmrc.gov.au/sites/default/files/documents/attachments/guidance-on-PFAS-in-recreational-water.pdf","author":[{"literal":"NHMRC"}],"accessed":{"date-parts":[["2020",10,18]]},"issued":{"date-parts":[["2019"]]}}}],"schema":"https://github.com/citation-style-language/schema/raw/master/csl-citation.json"} </w:instrText>
      </w:r>
      <w:r w:rsidRPr="00595884">
        <w:fldChar w:fldCharType="separate"/>
      </w:r>
      <w:r w:rsidRPr="00595884">
        <w:rPr>
          <w:rFonts w:cs="Arial"/>
        </w:rPr>
        <w:t>(NHMRC, 2019)</w:t>
      </w:r>
      <w:r w:rsidRPr="00595884">
        <w:fldChar w:fldCharType="end"/>
      </w:r>
      <w:r w:rsidRPr="00595884">
        <w:t xml:space="preserve">.  The document lists guidelines for PFAS for Australian recreational waters (2 </w:t>
      </w:r>
      <w:proofErr w:type="spellStart"/>
      <w:r w:rsidRPr="00595884">
        <w:t>μg</w:t>
      </w:r>
      <w:proofErr w:type="spellEnd"/>
      <w:r w:rsidRPr="00595884">
        <w:t xml:space="preserve">/L for total PFOS and </w:t>
      </w:r>
      <w:proofErr w:type="spellStart"/>
      <w:r w:rsidRPr="00595884">
        <w:t>PFHxS</w:t>
      </w:r>
      <w:proofErr w:type="spellEnd"/>
      <w:r w:rsidRPr="00595884">
        <w:t>,</w:t>
      </w:r>
      <w:r w:rsidRPr="00595884">
        <w:rPr>
          <w:rFonts w:ascii="Gotham-Book" w:hAnsi="Gotham-Book" w:cs="Gotham-Book"/>
          <w:sz w:val="19"/>
          <w:szCs w:val="19"/>
        </w:rPr>
        <w:t xml:space="preserve"> </w:t>
      </w:r>
      <w:r w:rsidRPr="00595884">
        <w:t xml:space="preserve">10 </w:t>
      </w:r>
      <w:proofErr w:type="spellStart"/>
      <w:r w:rsidRPr="00595884">
        <w:t>μg</w:t>
      </w:r>
      <w:proofErr w:type="spellEnd"/>
      <w:r w:rsidRPr="00595884">
        <w:t xml:space="preserve">/L for PFOA) and notes that published data on recreational water samples are scarce.  </w:t>
      </w:r>
      <w:r w:rsidRPr="001F20BF">
        <w:t>Reference is made to environmental studies including</w:t>
      </w:r>
      <w:r w:rsidRPr="00595884">
        <w:t xml:space="preserve">: </w:t>
      </w:r>
    </w:p>
    <w:p w14:paraId="73BB7F76" w14:textId="2BE4CCC2" w:rsidR="00D577C6" w:rsidRPr="00595884" w:rsidRDefault="00274BC6" w:rsidP="00700FDF">
      <w:pPr>
        <w:pStyle w:val="ListParagraph"/>
        <w:numPr>
          <w:ilvl w:val="0"/>
          <w:numId w:val="15"/>
        </w:numPr>
        <w:ind w:hanging="357"/>
        <w:contextualSpacing/>
        <w:rPr>
          <w:lang w:val="en-AU"/>
        </w:rPr>
      </w:pPr>
      <w:r w:rsidRPr="001F20BF">
        <w:rPr>
          <w:lang w:val="en-AU"/>
        </w:rPr>
        <w:t xml:space="preserve">a study on the Brisbane River undertaken to provide an estimate of the release of PFAS from flooded urban areas. PFOA (mean 0.0001- 0.006 </w:t>
      </w:r>
      <w:proofErr w:type="spellStart"/>
      <w:r w:rsidRPr="001F20BF">
        <w:rPr>
          <w:lang w:val="en-AU"/>
        </w:rPr>
        <w:t>μg</w:t>
      </w:r>
      <w:proofErr w:type="spellEnd"/>
      <w:r w:rsidRPr="001F20BF">
        <w:rPr>
          <w:lang w:val="en-AU"/>
        </w:rPr>
        <w:t xml:space="preserve">/L) and PFOS (mean 0.0002 - 0.02 </w:t>
      </w:r>
      <w:proofErr w:type="spellStart"/>
      <w:r w:rsidRPr="001F20BF">
        <w:rPr>
          <w:lang w:val="en-AU"/>
        </w:rPr>
        <w:t>μg</w:t>
      </w:r>
      <w:proofErr w:type="spellEnd"/>
      <w:r w:rsidRPr="001F20BF">
        <w:rPr>
          <w:lang w:val="en-AU"/>
        </w:rPr>
        <w:t>/L) were the most frequently detected and abundant PFAS (citing Gallen et al. 2014).</w:t>
      </w:r>
    </w:p>
    <w:p w14:paraId="6EC28068" w14:textId="261998A0" w:rsidR="00AA6ECF" w:rsidRPr="00595884" w:rsidRDefault="00274BC6" w:rsidP="00700FDF">
      <w:pPr>
        <w:pStyle w:val="ListParagraph"/>
        <w:numPr>
          <w:ilvl w:val="0"/>
          <w:numId w:val="15"/>
        </w:numPr>
        <w:ind w:hanging="357"/>
        <w:contextualSpacing/>
        <w:rPr>
          <w:lang w:val="en-AU"/>
        </w:rPr>
      </w:pPr>
      <w:r w:rsidRPr="00595884">
        <w:rPr>
          <w:lang w:val="en-AU"/>
        </w:rPr>
        <w:t xml:space="preserve">a study of PFAS (citing Thompson et al., 2011) in environmental samples taken from Homebush Bay in the upper reaches of Sydney Harbour and </w:t>
      </w:r>
      <w:r w:rsidR="00A44693">
        <w:rPr>
          <w:lang w:val="en-AU"/>
        </w:rPr>
        <w:t xml:space="preserve">the </w:t>
      </w:r>
      <w:r w:rsidRPr="00595884">
        <w:rPr>
          <w:lang w:val="en-AU"/>
        </w:rPr>
        <w:t>Parramatta River Estuary</w:t>
      </w:r>
      <w:r w:rsidR="00A44693">
        <w:rPr>
          <w:lang w:val="en-AU"/>
        </w:rPr>
        <w:t>.</w:t>
      </w:r>
      <w:r w:rsidRPr="00595884">
        <w:rPr>
          <w:lang w:val="en-AU"/>
        </w:rPr>
        <w:t xml:space="preserve"> </w:t>
      </w:r>
      <w:r w:rsidR="0096764B">
        <w:rPr>
          <w:lang w:val="en-AU"/>
        </w:rPr>
        <w:t>In t</w:t>
      </w:r>
      <w:r w:rsidR="00A44693">
        <w:rPr>
          <w:lang w:val="en-AU"/>
        </w:rPr>
        <w:t>hese</w:t>
      </w:r>
      <w:r w:rsidRPr="00595884">
        <w:rPr>
          <w:lang w:val="en-AU"/>
        </w:rPr>
        <w:t xml:space="preserve"> urban/industrial areas, detected concentrations of PFOA</w:t>
      </w:r>
      <w:r w:rsidR="0096764B">
        <w:rPr>
          <w:lang w:val="en-AU"/>
        </w:rPr>
        <w:t xml:space="preserve"> and PFOS were</w:t>
      </w:r>
      <w:r w:rsidRPr="00595884">
        <w:rPr>
          <w:lang w:val="en-AU"/>
        </w:rPr>
        <w:t xml:space="preserve"> 0.004-0.006 </w:t>
      </w:r>
      <w:proofErr w:type="spellStart"/>
      <w:r w:rsidRPr="00595884">
        <w:rPr>
          <w:lang w:val="en-AU"/>
        </w:rPr>
        <w:t>μg</w:t>
      </w:r>
      <w:proofErr w:type="spellEnd"/>
      <w:r w:rsidRPr="00595884">
        <w:rPr>
          <w:lang w:val="en-AU"/>
        </w:rPr>
        <w:t xml:space="preserve">/L </w:t>
      </w:r>
      <w:r w:rsidR="0096764B">
        <w:rPr>
          <w:lang w:val="en-AU"/>
        </w:rPr>
        <w:t xml:space="preserve">and </w:t>
      </w:r>
      <w:r w:rsidRPr="00595884">
        <w:rPr>
          <w:lang w:val="en-AU"/>
        </w:rPr>
        <w:t xml:space="preserve">0.007-0.2 </w:t>
      </w:r>
      <w:proofErr w:type="spellStart"/>
      <w:r w:rsidRPr="00595884">
        <w:rPr>
          <w:lang w:val="en-AU"/>
        </w:rPr>
        <w:t>μg</w:t>
      </w:r>
      <w:proofErr w:type="spellEnd"/>
      <w:r w:rsidRPr="00595884">
        <w:rPr>
          <w:lang w:val="en-AU"/>
        </w:rPr>
        <w:t>/L</w:t>
      </w:r>
      <w:r w:rsidR="00A44693">
        <w:rPr>
          <w:lang w:val="en-AU"/>
        </w:rPr>
        <w:t>,</w:t>
      </w:r>
      <w:r w:rsidRPr="00595884">
        <w:rPr>
          <w:lang w:val="en-AU"/>
        </w:rPr>
        <w:t xml:space="preserve"> respectively.</w:t>
      </w:r>
    </w:p>
    <w:p w14:paraId="0B5403DF" w14:textId="62839ED2" w:rsidR="00AA6ECF" w:rsidRDefault="00274BC6" w:rsidP="001F20BF">
      <w:r w:rsidRPr="00595884">
        <w:t xml:space="preserve">These measurements suggest background concentrations of PFAS </w:t>
      </w:r>
      <w:r w:rsidR="00A44693">
        <w:t>in</w:t>
      </w:r>
      <w:r w:rsidRPr="00595884">
        <w:t xml:space="preserve"> recreational water areas would generally </w:t>
      </w:r>
      <w:r w:rsidR="00A44693">
        <w:t xml:space="preserve">be </w:t>
      </w:r>
      <w:r w:rsidRPr="00595884">
        <w:t>well below guideline levels, unless a major source, such as a contaminated site, was present in the water catchment area.</w:t>
      </w:r>
    </w:p>
    <w:p w14:paraId="0A83E095" w14:textId="240D4ECC" w:rsidR="0032706F" w:rsidRPr="002032E5" w:rsidRDefault="00274BC6" w:rsidP="0032706F">
      <w:pPr>
        <w:pStyle w:val="Caption"/>
        <w:rPr>
          <w:iCs/>
        </w:rPr>
      </w:pPr>
      <w:bookmarkStart w:id="326" w:name="_Ref77089972"/>
      <w:bookmarkStart w:id="327" w:name="_Toc106811175"/>
      <w:r>
        <w:t xml:space="preserve">Table </w:t>
      </w:r>
      <w:r w:rsidR="003132AF">
        <w:fldChar w:fldCharType="begin"/>
      </w:r>
      <w:r w:rsidR="003132AF">
        <w:instrText xml:space="preserve"> STYLEREF 1 \s </w:instrText>
      </w:r>
      <w:r w:rsidR="003132AF">
        <w:fldChar w:fldCharType="separate"/>
      </w:r>
      <w:r w:rsidR="003132AF">
        <w:rPr>
          <w:noProof/>
        </w:rPr>
        <w:t>6</w:t>
      </w:r>
      <w:r w:rsidR="003132AF">
        <w:rPr>
          <w:noProof/>
        </w:rPr>
        <w:fldChar w:fldCharType="end"/>
      </w:r>
      <w:r w:rsidR="00CE064A">
        <w:noBreakHyphen/>
      </w:r>
      <w:r w:rsidR="003132AF">
        <w:fldChar w:fldCharType="begin"/>
      </w:r>
      <w:r w:rsidR="003132AF">
        <w:instrText xml:space="preserve"> SEQ Table \* ARABIC \s 1 </w:instrText>
      </w:r>
      <w:r w:rsidR="003132AF">
        <w:fldChar w:fldCharType="separate"/>
      </w:r>
      <w:r w:rsidR="003132AF">
        <w:rPr>
          <w:noProof/>
        </w:rPr>
        <w:t>1</w:t>
      </w:r>
      <w:r w:rsidR="003132AF">
        <w:rPr>
          <w:noProof/>
        </w:rPr>
        <w:fldChar w:fldCharType="end"/>
      </w:r>
      <w:bookmarkEnd w:id="326"/>
      <w:r>
        <w:t xml:space="preserve">. </w:t>
      </w:r>
      <w:r w:rsidRPr="002032E5">
        <w:t>Summary of guideline review results for the Primary Research Question: Are exposures to the hazards outlined in the PECO Table (</w:t>
      </w:r>
      <w:r>
        <w:fldChar w:fldCharType="begin"/>
      </w:r>
      <w:r>
        <w:instrText xml:space="preserve"> REF _Ref71043025 \h </w:instrText>
      </w:r>
      <w:r>
        <w:fldChar w:fldCharType="separate"/>
      </w:r>
      <w:r w:rsidR="003132AF" w:rsidRPr="00595884">
        <w:t xml:space="preserve">Table </w:t>
      </w:r>
      <w:r w:rsidR="003132AF">
        <w:rPr>
          <w:noProof/>
        </w:rPr>
        <w:t>2</w:t>
      </w:r>
      <w:r w:rsidR="003132AF">
        <w:noBreakHyphen/>
      </w:r>
      <w:r w:rsidR="003132AF">
        <w:rPr>
          <w:noProof/>
        </w:rPr>
        <w:t>1</w:t>
      </w:r>
      <w:r>
        <w:fldChar w:fldCharType="end"/>
      </w:r>
      <w:r w:rsidRPr="002032E5">
        <w:t>) likely to give rise to any significant human health risks given that chemical concentrations in recreational waters are generally low?</w:t>
      </w:r>
      <w:bookmarkEnd w:id="327"/>
    </w:p>
    <w:tbl>
      <w:tblPr>
        <w:tblW w:w="5286" w:type="pct"/>
        <w:tblBorders>
          <w:top w:val="single" w:sz="8" w:space="0" w:color="B5DDDC"/>
          <w:left w:val="single" w:sz="8" w:space="0" w:color="B5DDDC"/>
          <w:bottom w:val="single" w:sz="8" w:space="0" w:color="B5DDDC"/>
          <w:right w:val="single" w:sz="8" w:space="0" w:color="B5DDDC"/>
          <w:insideH w:val="single" w:sz="8" w:space="0" w:color="B5DDDC"/>
          <w:insideV w:val="single" w:sz="8" w:space="0" w:color="B5DDDC"/>
        </w:tblBorders>
        <w:tblLook w:val="04A0" w:firstRow="1" w:lastRow="0" w:firstColumn="1" w:lastColumn="0" w:noHBand="0" w:noVBand="1"/>
      </w:tblPr>
      <w:tblGrid>
        <w:gridCol w:w="1265"/>
        <w:gridCol w:w="6805"/>
      </w:tblGrid>
      <w:tr w:rsidR="004254E5" w14:paraId="548F376A" w14:textId="77777777" w:rsidTr="0096764B">
        <w:trPr>
          <w:trHeight w:hRule="exact" w:val="587"/>
          <w:tblHeader/>
        </w:trPr>
        <w:tc>
          <w:tcPr>
            <w:tcW w:w="784" w:type="pct"/>
            <w:shd w:val="clear" w:color="auto" w:fill="B5DDDC"/>
            <w:vAlign w:val="center"/>
            <w:hideMark/>
          </w:tcPr>
          <w:p w14:paraId="004B7CF7" w14:textId="77777777" w:rsidR="0032706F" w:rsidRPr="002032E5" w:rsidRDefault="00274BC6" w:rsidP="001E4CD0">
            <w:pPr>
              <w:spacing w:before="0" w:after="0" w:line="240" w:lineRule="auto"/>
              <w:rPr>
                <w:rFonts w:ascii="Calibri" w:hAnsi="Calibri" w:cs="Calibri"/>
                <w:b/>
                <w:bCs/>
                <w:color w:val="008000"/>
                <w:sz w:val="16"/>
                <w:szCs w:val="16"/>
              </w:rPr>
            </w:pPr>
            <w:r w:rsidRPr="002032E5">
              <w:rPr>
                <w:rFonts w:ascii="Calibri" w:hAnsi="Calibri" w:cs="Calibri"/>
                <w:b/>
                <w:bCs/>
                <w:color w:val="008000"/>
                <w:sz w:val="16"/>
                <w:szCs w:val="16"/>
              </w:rPr>
              <w:t>Guideline</w:t>
            </w:r>
          </w:p>
        </w:tc>
        <w:tc>
          <w:tcPr>
            <w:tcW w:w="4216" w:type="pct"/>
            <w:shd w:val="clear" w:color="000000" w:fill="B5DDDC"/>
            <w:vAlign w:val="center"/>
            <w:hideMark/>
          </w:tcPr>
          <w:p w14:paraId="6B05B21F" w14:textId="77777777" w:rsidR="0032706F" w:rsidRPr="002032E5" w:rsidRDefault="00274BC6" w:rsidP="001E4CD0">
            <w:pPr>
              <w:spacing w:before="0" w:after="0" w:line="240" w:lineRule="auto"/>
              <w:rPr>
                <w:rFonts w:ascii="Calibri" w:hAnsi="Calibri" w:cs="Calibri"/>
                <w:b/>
                <w:bCs/>
                <w:color w:val="008000"/>
                <w:sz w:val="16"/>
                <w:szCs w:val="16"/>
              </w:rPr>
            </w:pPr>
            <w:r w:rsidRPr="002032E5">
              <w:rPr>
                <w:rFonts w:ascii="Calibri" w:hAnsi="Calibri" w:cs="Calibri"/>
                <w:b/>
                <w:bCs/>
                <w:color w:val="008000"/>
                <w:sz w:val="16"/>
                <w:szCs w:val="16"/>
              </w:rPr>
              <w:t>Summary</w:t>
            </w:r>
          </w:p>
        </w:tc>
      </w:tr>
      <w:tr w:rsidR="004254E5" w14:paraId="7F40E1B6" w14:textId="77777777" w:rsidTr="0096764B">
        <w:tc>
          <w:tcPr>
            <w:tcW w:w="784" w:type="pct"/>
            <w:shd w:val="clear" w:color="000000" w:fill="D6EAEB"/>
            <w:vAlign w:val="center"/>
            <w:hideMark/>
          </w:tcPr>
          <w:p w14:paraId="154DB1CE" w14:textId="77777777" w:rsidR="0032706F" w:rsidRPr="0068024B" w:rsidRDefault="00274BC6" w:rsidP="001E4CD0">
            <w:pPr>
              <w:spacing w:before="0" w:after="0" w:line="240" w:lineRule="auto"/>
              <w:rPr>
                <w:rFonts w:ascii="Calibri" w:hAnsi="Calibri" w:cs="Calibri"/>
                <w:b/>
                <w:bCs/>
                <w:color w:val="000000"/>
                <w:sz w:val="16"/>
                <w:szCs w:val="16"/>
              </w:rPr>
            </w:pPr>
            <w:r w:rsidRPr="0068024B">
              <w:rPr>
                <w:rFonts w:ascii="Calibri" w:hAnsi="Calibri" w:cs="Calibri"/>
                <w:b/>
                <w:bCs/>
                <w:color w:val="008000"/>
                <w:sz w:val="16"/>
                <w:szCs w:val="16"/>
              </w:rPr>
              <w:t>G2: Canadian 2012 RWQ Guidelines*</w:t>
            </w:r>
          </w:p>
        </w:tc>
        <w:tc>
          <w:tcPr>
            <w:tcW w:w="4216" w:type="pct"/>
            <w:vAlign w:val="center"/>
          </w:tcPr>
          <w:p w14:paraId="60AAEC93" w14:textId="77777777" w:rsidR="0032706F" w:rsidRPr="002032E5" w:rsidRDefault="00274BC6" w:rsidP="00700FDF">
            <w:pPr>
              <w:pStyle w:val="ListParagraph"/>
              <w:numPr>
                <w:ilvl w:val="0"/>
                <w:numId w:val="24"/>
              </w:numPr>
              <w:spacing w:after="0" w:line="240" w:lineRule="auto"/>
              <w:rPr>
                <w:rFonts w:ascii="Calibri" w:hAnsi="Calibri" w:cs="Calibri"/>
                <w:sz w:val="16"/>
                <w:szCs w:val="16"/>
                <w:lang w:val="en-AU"/>
              </w:rPr>
            </w:pPr>
            <w:r w:rsidRPr="002032E5">
              <w:rPr>
                <w:rFonts w:ascii="Calibri" w:hAnsi="Calibri" w:cs="Calibri"/>
                <w:sz w:val="16"/>
                <w:szCs w:val="16"/>
                <w:lang w:val="en-AU"/>
              </w:rPr>
              <w:t xml:space="preserve">Surveys of Canadian freshwater recreational areas indicate that chemical hazard concentrations are below drinking water quality guideline </w:t>
            </w:r>
            <w:proofErr w:type="gramStart"/>
            <w:r w:rsidRPr="002032E5">
              <w:rPr>
                <w:rFonts w:ascii="Calibri" w:hAnsi="Calibri" w:cs="Calibri"/>
                <w:sz w:val="16"/>
                <w:szCs w:val="16"/>
                <w:lang w:val="en-AU"/>
              </w:rPr>
              <w:t>levels;</w:t>
            </w:r>
            <w:proofErr w:type="gramEnd"/>
          </w:p>
          <w:p w14:paraId="18429AD9" w14:textId="77777777" w:rsidR="0032706F" w:rsidRPr="002032E5" w:rsidRDefault="00274BC6" w:rsidP="00700FDF">
            <w:pPr>
              <w:pStyle w:val="ListParagraph"/>
              <w:numPr>
                <w:ilvl w:val="0"/>
                <w:numId w:val="24"/>
              </w:numPr>
              <w:spacing w:after="0" w:line="240" w:lineRule="auto"/>
              <w:rPr>
                <w:rFonts w:ascii="Calibri" w:hAnsi="Calibri" w:cs="Calibri"/>
                <w:sz w:val="16"/>
                <w:szCs w:val="16"/>
                <w:lang w:val="en-AU"/>
              </w:rPr>
            </w:pPr>
            <w:r w:rsidRPr="002032E5">
              <w:rPr>
                <w:rFonts w:ascii="Calibri" w:hAnsi="Calibri" w:cs="Calibri"/>
                <w:sz w:val="16"/>
                <w:szCs w:val="16"/>
                <w:lang w:val="en-AU"/>
              </w:rPr>
              <w:t xml:space="preserve">Ingestion </w:t>
            </w:r>
            <w:proofErr w:type="gramStart"/>
            <w:r w:rsidRPr="002032E5">
              <w:rPr>
                <w:rFonts w:ascii="Calibri" w:hAnsi="Calibri" w:cs="Calibri"/>
                <w:sz w:val="16"/>
                <w:szCs w:val="16"/>
                <w:lang w:val="en-AU"/>
              </w:rPr>
              <w:t>is considered to be</w:t>
            </w:r>
            <w:proofErr w:type="gramEnd"/>
            <w:r w:rsidRPr="002032E5">
              <w:rPr>
                <w:rFonts w:ascii="Calibri" w:hAnsi="Calibri" w:cs="Calibri"/>
                <w:sz w:val="16"/>
                <w:szCs w:val="16"/>
                <w:lang w:val="en-AU"/>
              </w:rPr>
              <w:t xml:space="preserve"> the primary pathway of </w:t>
            </w:r>
            <w:proofErr w:type="gramStart"/>
            <w:r w:rsidRPr="002032E5">
              <w:rPr>
                <w:rFonts w:ascii="Calibri" w:hAnsi="Calibri" w:cs="Calibri"/>
                <w:sz w:val="16"/>
                <w:szCs w:val="16"/>
                <w:lang w:val="en-AU"/>
              </w:rPr>
              <w:t>exposure;</w:t>
            </w:r>
            <w:proofErr w:type="gramEnd"/>
          </w:p>
          <w:p w14:paraId="4E3B2955" w14:textId="77777777" w:rsidR="0032706F" w:rsidRPr="002032E5" w:rsidRDefault="00274BC6" w:rsidP="00700FDF">
            <w:pPr>
              <w:pStyle w:val="ListParagraph"/>
              <w:numPr>
                <w:ilvl w:val="0"/>
                <w:numId w:val="24"/>
              </w:numPr>
              <w:spacing w:after="0" w:line="240" w:lineRule="auto"/>
              <w:rPr>
                <w:rFonts w:ascii="Calibri" w:hAnsi="Calibri" w:cs="Calibri"/>
                <w:sz w:val="16"/>
                <w:szCs w:val="16"/>
                <w:lang w:val="en-AU"/>
              </w:rPr>
            </w:pPr>
            <w:r w:rsidRPr="002032E5">
              <w:rPr>
                <w:rFonts w:ascii="Calibri" w:hAnsi="Calibri" w:cs="Calibri"/>
                <w:sz w:val="16"/>
                <w:szCs w:val="16"/>
                <w:lang w:val="en-AU"/>
              </w:rPr>
              <w:t xml:space="preserve">Because chemical water quality hazards are dependent on local factors they should be assessed on a case-by-case </w:t>
            </w:r>
            <w:proofErr w:type="gramStart"/>
            <w:r w:rsidRPr="002032E5">
              <w:rPr>
                <w:rFonts w:ascii="Calibri" w:hAnsi="Calibri" w:cs="Calibri"/>
                <w:sz w:val="16"/>
                <w:szCs w:val="16"/>
                <w:lang w:val="en-AU"/>
              </w:rPr>
              <w:t>basis;</w:t>
            </w:r>
            <w:proofErr w:type="gramEnd"/>
          </w:p>
          <w:p w14:paraId="4EAD8C0D" w14:textId="77777777" w:rsidR="0032706F" w:rsidRPr="002032E5" w:rsidRDefault="00274BC6" w:rsidP="00700FDF">
            <w:pPr>
              <w:pStyle w:val="ListParagraph"/>
              <w:numPr>
                <w:ilvl w:val="0"/>
                <w:numId w:val="24"/>
              </w:numPr>
              <w:spacing w:after="0" w:line="240" w:lineRule="auto"/>
              <w:rPr>
                <w:rFonts w:ascii="Calibri" w:hAnsi="Calibri" w:cs="Calibri"/>
                <w:sz w:val="16"/>
                <w:szCs w:val="16"/>
                <w:lang w:val="en-AU"/>
              </w:rPr>
            </w:pPr>
            <w:r w:rsidRPr="002032E5">
              <w:rPr>
                <w:rFonts w:ascii="Calibri" w:hAnsi="Calibri" w:cs="Calibri"/>
                <w:sz w:val="16"/>
                <w:szCs w:val="16"/>
                <w:lang w:val="en-AU"/>
              </w:rPr>
              <w:t xml:space="preserve">The risk of human exposure to chemical contaminants in recreational waters is considered low, and not sufficient to induce acute or chronic illness </w:t>
            </w:r>
            <w:proofErr w:type="gramStart"/>
            <w:r w:rsidRPr="002032E5">
              <w:rPr>
                <w:rFonts w:ascii="Calibri" w:hAnsi="Calibri" w:cs="Calibri"/>
                <w:sz w:val="16"/>
                <w:szCs w:val="16"/>
                <w:lang w:val="en-AU"/>
              </w:rPr>
              <w:t>response;</w:t>
            </w:r>
            <w:proofErr w:type="gramEnd"/>
          </w:p>
          <w:p w14:paraId="72E2B752" w14:textId="77777777" w:rsidR="0032706F" w:rsidRPr="002032E5" w:rsidRDefault="00274BC6" w:rsidP="00700FDF">
            <w:pPr>
              <w:pStyle w:val="ListParagraph"/>
              <w:numPr>
                <w:ilvl w:val="0"/>
                <w:numId w:val="24"/>
              </w:numPr>
              <w:spacing w:after="0" w:line="240" w:lineRule="auto"/>
              <w:rPr>
                <w:rFonts w:ascii="Calibri" w:hAnsi="Calibri" w:cs="Calibri"/>
                <w:sz w:val="16"/>
                <w:szCs w:val="16"/>
                <w:lang w:val="en-AU"/>
              </w:rPr>
            </w:pPr>
            <w:r w:rsidRPr="002032E5">
              <w:rPr>
                <w:rFonts w:ascii="Calibri" w:hAnsi="Calibri" w:cs="Calibri"/>
                <w:sz w:val="16"/>
                <w:szCs w:val="16"/>
                <w:lang w:val="en-AU"/>
              </w:rPr>
              <w:t xml:space="preserve">There is insufficient information for developing chemical-specific recreational water quality </w:t>
            </w:r>
            <w:proofErr w:type="gramStart"/>
            <w:r w:rsidRPr="002032E5">
              <w:rPr>
                <w:rFonts w:ascii="Calibri" w:hAnsi="Calibri" w:cs="Calibri"/>
                <w:sz w:val="16"/>
                <w:szCs w:val="16"/>
                <w:lang w:val="en-AU"/>
              </w:rPr>
              <w:t>guidelines;</w:t>
            </w:r>
            <w:proofErr w:type="gramEnd"/>
          </w:p>
          <w:p w14:paraId="7E9FB481" w14:textId="77777777" w:rsidR="0032706F" w:rsidRPr="002032E5" w:rsidRDefault="00274BC6" w:rsidP="00700FDF">
            <w:pPr>
              <w:pStyle w:val="ListParagraph"/>
              <w:numPr>
                <w:ilvl w:val="0"/>
                <w:numId w:val="24"/>
              </w:numPr>
              <w:spacing w:after="0" w:line="240" w:lineRule="auto"/>
              <w:rPr>
                <w:rFonts w:ascii="Calibri" w:hAnsi="Calibri" w:cs="Calibri"/>
                <w:sz w:val="16"/>
                <w:szCs w:val="16"/>
                <w:lang w:val="en-AU"/>
              </w:rPr>
            </w:pPr>
            <w:r w:rsidRPr="002032E5">
              <w:rPr>
                <w:rFonts w:ascii="Calibri" w:hAnsi="Calibri" w:cs="Calibri"/>
                <w:sz w:val="16"/>
                <w:szCs w:val="16"/>
                <w:lang w:val="en-AU"/>
              </w:rPr>
              <w:t xml:space="preserve">Nevertheless, scenarios exist that justify the use of a multi-barrier approach which is considered the most-effective way of protecting recreational water users from chemical hazards. Multi-barrier actions </w:t>
            </w:r>
            <w:proofErr w:type="gramStart"/>
            <w:r w:rsidRPr="002032E5">
              <w:rPr>
                <w:rFonts w:ascii="Calibri" w:hAnsi="Calibri" w:cs="Calibri"/>
                <w:sz w:val="16"/>
                <w:szCs w:val="16"/>
                <w:lang w:val="en-AU"/>
              </w:rPr>
              <w:t>include;</w:t>
            </w:r>
            <w:proofErr w:type="gramEnd"/>
          </w:p>
          <w:p w14:paraId="4FDCB279" w14:textId="77777777" w:rsidR="0032706F" w:rsidRPr="002032E5" w:rsidRDefault="00274BC6" w:rsidP="00700FDF">
            <w:pPr>
              <w:pStyle w:val="ListParagraph"/>
              <w:numPr>
                <w:ilvl w:val="1"/>
                <w:numId w:val="24"/>
              </w:numPr>
              <w:spacing w:after="0" w:line="240" w:lineRule="auto"/>
              <w:rPr>
                <w:rFonts w:ascii="Calibri" w:hAnsi="Calibri" w:cs="Calibri"/>
                <w:sz w:val="16"/>
                <w:szCs w:val="16"/>
                <w:lang w:val="en-AU"/>
              </w:rPr>
            </w:pPr>
            <w:r w:rsidRPr="002032E5">
              <w:rPr>
                <w:rFonts w:ascii="Calibri" w:hAnsi="Calibri" w:cs="Calibri"/>
                <w:sz w:val="16"/>
                <w:szCs w:val="16"/>
                <w:lang w:val="en-AU"/>
              </w:rPr>
              <w:t xml:space="preserve">Environmental health and safety </w:t>
            </w:r>
            <w:proofErr w:type="gramStart"/>
            <w:r w:rsidRPr="002032E5">
              <w:rPr>
                <w:rFonts w:ascii="Calibri" w:hAnsi="Calibri" w:cs="Calibri"/>
                <w:sz w:val="16"/>
                <w:szCs w:val="16"/>
                <w:lang w:val="en-AU"/>
              </w:rPr>
              <w:t>surveys;</w:t>
            </w:r>
            <w:proofErr w:type="gramEnd"/>
          </w:p>
          <w:p w14:paraId="60B79E4D" w14:textId="77777777" w:rsidR="0032706F" w:rsidRPr="002032E5" w:rsidRDefault="00274BC6" w:rsidP="00700FDF">
            <w:pPr>
              <w:pStyle w:val="ListParagraph"/>
              <w:numPr>
                <w:ilvl w:val="1"/>
                <w:numId w:val="24"/>
              </w:numPr>
              <w:spacing w:after="0" w:line="240" w:lineRule="auto"/>
              <w:rPr>
                <w:rFonts w:ascii="Calibri" w:hAnsi="Calibri" w:cs="Calibri"/>
                <w:sz w:val="16"/>
                <w:szCs w:val="16"/>
                <w:lang w:val="en-AU"/>
              </w:rPr>
            </w:pPr>
            <w:r w:rsidRPr="002032E5">
              <w:rPr>
                <w:rFonts w:ascii="Calibri" w:hAnsi="Calibri" w:cs="Calibri"/>
                <w:sz w:val="16"/>
                <w:szCs w:val="16"/>
                <w:lang w:val="en-AU"/>
              </w:rPr>
              <w:t>Application of precautionary measures including restricting swimming to public beaches and showering with soap and water after recreational activities to minimise risk.</w:t>
            </w:r>
          </w:p>
        </w:tc>
      </w:tr>
      <w:tr w:rsidR="004254E5" w14:paraId="22A67D4B" w14:textId="77777777" w:rsidTr="0096764B">
        <w:tc>
          <w:tcPr>
            <w:tcW w:w="784" w:type="pct"/>
            <w:shd w:val="clear" w:color="000000" w:fill="D6EAEB"/>
            <w:vAlign w:val="center"/>
          </w:tcPr>
          <w:p w14:paraId="771FF8FA" w14:textId="77777777" w:rsidR="0032706F" w:rsidRPr="0068024B" w:rsidRDefault="00274BC6" w:rsidP="001E4CD0">
            <w:pPr>
              <w:spacing w:before="0" w:after="0" w:line="240" w:lineRule="auto"/>
              <w:rPr>
                <w:rFonts w:ascii="Calibri" w:hAnsi="Calibri" w:cs="Calibri"/>
                <w:b/>
                <w:bCs/>
                <w:color w:val="008000"/>
                <w:sz w:val="16"/>
                <w:szCs w:val="16"/>
              </w:rPr>
            </w:pPr>
            <w:r w:rsidRPr="0068024B">
              <w:rPr>
                <w:rFonts w:ascii="Calibri" w:hAnsi="Calibri" w:cs="Calibri"/>
                <w:b/>
                <w:bCs/>
                <w:color w:val="008000"/>
                <w:sz w:val="16"/>
                <w:szCs w:val="16"/>
              </w:rPr>
              <w:t>G3: HEPA 2020 Environmental Management Plan</w:t>
            </w:r>
          </w:p>
        </w:tc>
        <w:tc>
          <w:tcPr>
            <w:tcW w:w="4216" w:type="pct"/>
            <w:vAlign w:val="center"/>
          </w:tcPr>
          <w:p w14:paraId="209F8463" w14:textId="77777777" w:rsidR="0032706F" w:rsidRPr="002032E5" w:rsidRDefault="00274BC6" w:rsidP="00700FDF">
            <w:pPr>
              <w:pStyle w:val="ListParagraph"/>
              <w:numPr>
                <w:ilvl w:val="0"/>
                <w:numId w:val="26"/>
              </w:numPr>
              <w:spacing w:after="0" w:line="240" w:lineRule="auto"/>
              <w:rPr>
                <w:rFonts w:ascii="Calibri" w:hAnsi="Calibri" w:cs="Calibri"/>
                <w:sz w:val="16"/>
                <w:szCs w:val="16"/>
                <w:lang w:val="en-AU"/>
              </w:rPr>
            </w:pPr>
            <w:r w:rsidRPr="002032E5">
              <w:rPr>
                <w:rFonts w:ascii="Calibri" w:hAnsi="Calibri" w:cs="Calibri"/>
                <w:sz w:val="16"/>
                <w:szCs w:val="16"/>
                <w:lang w:val="en-AU"/>
              </w:rPr>
              <w:t>Based on the published guideline values and the information cited in reference G11, it is reasonable to conclude that PFAS would generally occur well below guideline values and thus would not constitute a significant health risk in recreational waters.</w:t>
            </w:r>
          </w:p>
        </w:tc>
      </w:tr>
      <w:tr w:rsidR="004254E5" w14:paraId="189E8CCF" w14:textId="77777777" w:rsidTr="0096764B">
        <w:tc>
          <w:tcPr>
            <w:tcW w:w="784" w:type="pct"/>
            <w:shd w:val="clear" w:color="000000" w:fill="D6EAEB"/>
            <w:vAlign w:val="center"/>
          </w:tcPr>
          <w:p w14:paraId="682169FB" w14:textId="77777777" w:rsidR="0032706F" w:rsidRPr="0068024B" w:rsidRDefault="00274BC6" w:rsidP="001E4CD0">
            <w:pPr>
              <w:spacing w:before="0" w:after="0" w:line="240" w:lineRule="auto"/>
              <w:rPr>
                <w:rFonts w:ascii="Calibri" w:hAnsi="Calibri" w:cs="Calibri"/>
                <w:b/>
                <w:bCs/>
                <w:color w:val="008000"/>
                <w:sz w:val="16"/>
                <w:szCs w:val="16"/>
              </w:rPr>
            </w:pPr>
            <w:r w:rsidRPr="0068024B">
              <w:rPr>
                <w:rFonts w:ascii="Calibri" w:hAnsi="Calibri" w:cs="Calibri"/>
                <w:b/>
                <w:bCs/>
                <w:color w:val="008000"/>
                <w:sz w:val="16"/>
                <w:szCs w:val="16"/>
              </w:rPr>
              <w:t>G5: AGWR Phase 1 2006*</w:t>
            </w:r>
          </w:p>
        </w:tc>
        <w:tc>
          <w:tcPr>
            <w:tcW w:w="4216" w:type="pct"/>
            <w:vAlign w:val="center"/>
          </w:tcPr>
          <w:p w14:paraId="64EBA3D0" w14:textId="77777777" w:rsidR="0032706F" w:rsidRPr="002032E5" w:rsidRDefault="00274BC6" w:rsidP="00700FDF">
            <w:pPr>
              <w:pStyle w:val="ListParagraph"/>
              <w:numPr>
                <w:ilvl w:val="0"/>
                <w:numId w:val="25"/>
              </w:numPr>
              <w:spacing w:after="0" w:line="240" w:lineRule="auto"/>
              <w:rPr>
                <w:rFonts w:ascii="Calibri" w:hAnsi="Calibri" w:cs="Calibri"/>
                <w:sz w:val="16"/>
                <w:szCs w:val="16"/>
                <w:lang w:val="en-AU"/>
              </w:rPr>
            </w:pPr>
            <w:r w:rsidRPr="002032E5">
              <w:rPr>
                <w:rFonts w:ascii="Calibri" w:hAnsi="Calibri" w:cs="Calibri"/>
                <w:sz w:val="16"/>
                <w:szCs w:val="16"/>
                <w:lang w:val="en-AU"/>
              </w:rPr>
              <w:t xml:space="preserve">This guideline document was included in the review because discharge of treated effluent (recycled water) in the vicinity of recreational bathing areas is not uncommon, therefore it is useful to consider such discharges as a potential source of chemical </w:t>
            </w:r>
            <w:proofErr w:type="gramStart"/>
            <w:r w:rsidRPr="002032E5">
              <w:rPr>
                <w:rFonts w:ascii="Calibri" w:hAnsi="Calibri" w:cs="Calibri"/>
                <w:sz w:val="16"/>
                <w:szCs w:val="16"/>
                <w:lang w:val="en-AU"/>
              </w:rPr>
              <w:t>hazards;</w:t>
            </w:r>
            <w:proofErr w:type="gramEnd"/>
          </w:p>
          <w:p w14:paraId="3EF85667" w14:textId="77777777" w:rsidR="0032706F" w:rsidRPr="002032E5" w:rsidRDefault="00274BC6" w:rsidP="00700FDF">
            <w:pPr>
              <w:pStyle w:val="ListParagraph"/>
              <w:numPr>
                <w:ilvl w:val="0"/>
                <w:numId w:val="25"/>
              </w:numPr>
              <w:spacing w:after="0" w:line="240" w:lineRule="auto"/>
              <w:rPr>
                <w:rFonts w:ascii="Calibri" w:hAnsi="Calibri" w:cs="Calibri"/>
                <w:sz w:val="16"/>
                <w:szCs w:val="16"/>
                <w:lang w:val="en-AU"/>
              </w:rPr>
            </w:pPr>
            <w:r>
              <w:rPr>
                <w:rFonts w:ascii="Calibri" w:hAnsi="Calibri" w:cs="Calibri"/>
                <w:sz w:val="16"/>
                <w:szCs w:val="16"/>
                <w:lang w:val="en-AU"/>
              </w:rPr>
              <w:t>The review c</w:t>
            </w:r>
            <w:r w:rsidRPr="002032E5">
              <w:rPr>
                <w:rFonts w:ascii="Calibri" w:hAnsi="Calibri" w:cs="Calibri"/>
                <w:sz w:val="16"/>
                <w:szCs w:val="16"/>
                <w:lang w:val="en-AU"/>
              </w:rPr>
              <w:t xml:space="preserve">ites studies indicating that recycled water chemical quality generally complies with drinking water quality criteria. When accounting for reduced exposure volumes, observed exceedances were considered </w:t>
            </w:r>
            <w:proofErr w:type="gramStart"/>
            <w:r w:rsidRPr="002032E5">
              <w:rPr>
                <w:rFonts w:ascii="Calibri" w:hAnsi="Calibri" w:cs="Calibri"/>
                <w:sz w:val="16"/>
                <w:szCs w:val="16"/>
                <w:lang w:val="en-AU"/>
              </w:rPr>
              <w:t>acceptable</w:t>
            </w:r>
            <w:r>
              <w:rPr>
                <w:rFonts w:ascii="Calibri" w:hAnsi="Calibri" w:cs="Calibri"/>
                <w:sz w:val="16"/>
                <w:szCs w:val="16"/>
                <w:lang w:val="en-AU"/>
              </w:rPr>
              <w:t>;</w:t>
            </w:r>
            <w:proofErr w:type="gramEnd"/>
          </w:p>
          <w:p w14:paraId="58178036" w14:textId="77777777" w:rsidR="0032706F" w:rsidRPr="002032E5" w:rsidRDefault="00274BC6" w:rsidP="00700FDF">
            <w:pPr>
              <w:pStyle w:val="ListParagraph"/>
              <w:numPr>
                <w:ilvl w:val="0"/>
                <w:numId w:val="25"/>
              </w:numPr>
              <w:spacing w:after="0" w:line="240" w:lineRule="auto"/>
              <w:rPr>
                <w:rFonts w:ascii="Calibri" w:hAnsi="Calibri" w:cs="Calibri"/>
                <w:sz w:val="16"/>
                <w:szCs w:val="16"/>
                <w:lang w:val="en-AU"/>
              </w:rPr>
            </w:pPr>
            <w:r>
              <w:rPr>
                <w:rFonts w:ascii="Calibri" w:hAnsi="Calibri" w:cs="Calibri"/>
                <w:sz w:val="16"/>
                <w:szCs w:val="16"/>
                <w:lang w:val="en-AU"/>
              </w:rPr>
              <w:t>The review i</w:t>
            </w:r>
            <w:r w:rsidRPr="002032E5">
              <w:rPr>
                <w:rFonts w:ascii="Calibri" w:hAnsi="Calibri" w:cs="Calibri"/>
                <w:sz w:val="16"/>
                <w:szCs w:val="16"/>
                <w:lang w:val="en-AU"/>
              </w:rPr>
              <w:t>mplies that concentrations of contaminants such as heavy metals, disinfection by-products, polychlorinated biphenyls (PCBs), polycyclic aromatic hydrocarbons (PAHs), phenol, toluene and benzene, would not likely pose a risk to users of recreational waters influenced by recycled water discharges.</w:t>
            </w:r>
          </w:p>
        </w:tc>
      </w:tr>
      <w:tr w:rsidR="004254E5" w14:paraId="4D2634E5" w14:textId="77777777" w:rsidTr="0096764B">
        <w:tc>
          <w:tcPr>
            <w:tcW w:w="784" w:type="pct"/>
            <w:shd w:val="clear" w:color="000000" w:fill="D6EAEB"/>
            <w:vAlign w:val="center"/>
          </w:tcPr>
          <w:p w14:paraId="158C97FA" w14:textId="77777777" w:rsidR="0032706F" w:rsidRPr="0068024B" w:rsidRDefault="00274BC6" w:rsidP="001E4CD0">
            <w:pPr>
              <w:spacing w:before="0" w:after="0" w:line="240" w:lineRule="auto"/>
              <w:rPr>
                <w:rFonts w:ascii="Calibri" w:hAnsi="Calibri" w:cs="Calibri"/>
                <w:b/>
                <w:bCs/>
                <w:color w:val="008000"/>
                <w:sz w:val="16"/>
                <w:szCs w:val="16"/>
              </w:rPr>
            </w:pPr>
            <w:r w:rsidRPr="0068024B">
              <w:rPr>
                <w:rFonts w:ascii="Calibri" w:hAnsi="Calibri" w:cs="Calibri"/>
                <w:b/>
                <w:bCs/>
                <w:color w:val="008000"/>
                <w:sz w:val="16"/>
                <w:szCs w:val="16"/>
              </w:rPr>
              <w:t>G6: AGWR Phase 2 2008*</w:t>
            </w:r>
          </w:p>
        </w:tc>
        <w:tc>
          <w:tcPr>
            <w:tcW w:w="4216" w:type="pct"/>
            <w:vAlign w:val="center"/>
          </w:tcPr>
          <w:p w14:paraId="4DAEFCD4" w14:textId="77777777" w:rsidR="0032706F" w:rsidRPr="002032E5" w:rsidRDefault="00274BC6" w:rsidP="00700FDF">
            <w:pPr>
              <w:pStyle w:val="ListParagraph"/>
              <w:numPr>
                <w:ilvl w:val="0"/>
                <w:numId w:val="25"/>
              </w:numPr>
              <w:spacing w:after="0" w:line="240" w:lineRule="auto"/>
              <w:rPr>
                <w:rFonts w:ascii="Calibri" w:hAnsi="Calibri" w:cs="Calibri"/>
                <w:sz w:val="16"/>
                <w:szCs w:val="16"/>
                <w:lang w:val="en-AU"/>
              </w:rPr>
            </w:pPr>
            <w:r w:rsidRPr="002032E5">
              <w:rPr>
                <w:rFonts w:ascii="Calibri" w:hAnsi="Calibri" w:cs="Calibri"/>
                <w:sz w:val="16"/>
                <w:szCs w:val="16"/>
                <w:lang w:val="en-AU"/>
              </w:rPr>
              <w:t xml:space="preserve">Provides a more extensive list of contaminants of interest in recycled water than AGWR Phase 1 and furthermore provides guidelines for an additional list of substances that ADWG does not list (Table 4.4, pp.33-38).  Appendix A, pp. 101 to 134, also provides a detailed methodology for the derivation of guidelines for </w:t>
            </w:r>
            <w:r>
              <w:rPr>
                <w:rFonts w:ascii="Calibri" w:hAnsi="Calibri" w:cs="Calibri"/>
                <w:sz w:val="16"/>
                <w:szCs w:val="16"/>
                <w:lang w:val="en-AU"/>
              </w:rPr>
              <w:t xml:space="preserve">many </w:t>
            </w:r>
            <w:r w:rsidRPr="002032E5">
              <w:rPr>
                <w:rFonts w:ascii="Calibri" w:hAnsi="Calibri" w:cs="Calibri"/>
                <w:sz w:val="16"/>
                <w:szCs w:val="16"/>
                <w:lang w:val="en-AU"/>
              </w:rPr>
              <w:t>substances for which there were currently</w:t>
            </w:r>
            <w:r>
              <w:rPr>
                <w:rFonts w:ascii="Calibri" w:hAnsi="Calibri" w:cs="Calibri"/>
                <w:sz w:val="16"/>
                <w:szCs w:val="16"/>
                <w:lang w:val="en-AU"/>
              </w:rPr>
              <w:t xml:space="preserve"> no</w:t>
            </w:r>
            <w:r w:rsidRPr="002032E5">
              <w:rPr>
                <w:rFonts w:ascii="Calibri" w:hAnsi="Calibri" w:cs="Calibri"/>
                <w:sz w:val="16"/>
                <w:szCs w:val="16"/>
                <w:lang w:val="en-AU"/>
              </w:rPr>
              <w:t xml:space="preserve"> (c. 2008) ADWG values.</w:t>
            </w:r>
          </w:p>
        </w:tc>
      </w:tr>
      <w:tr w:rsidR="004254E5" w14:paraId="79DA250C" w14:textId="77777777" w:rsidTr="0096764B">
        <w:tc>
          <w:tcPr>
            <w:tcW w:w="784" w:type="pct"/>
            <w:shd w:val="clear" w:color="000000" w:fill="D6EAEB"/>
            <w:vAlign w:val="center"/>
          </w:tcPr>
          <w:p w14:paraId="4DC813E6" w14:textId="77777777" w:rsidR="0032706F" w:rsidRPr="0068024B" w:rsidRDefault="00274BC6" w:rsidP="001E4CD0">
            <w:pPr>
              <w:spacing w:before="0" w:after="0" w:line="240" w:lineRule="auto"/>
              <w:rPr>
                <w:rFonts w:ascii="Calibri" w:hAnsi="Calibri" w:cs="Calibri"/>
                <w:b/>
                <w:bCs/>
                <w:color w:val="008000"/>
                <w:sz w:val="16"/>
                <w:szCs w:val="16"/>
              </w:rPr>
            </w:pPr>
            <w:r w:rsidRPr="0068024B">
              <w:rPr>
                <w:rFonts w:ascii="Calibri" w:hAnsi="Calibri" w:cs="Calibri"/>
                <w:b/>
                <w:bCs/>
                <w:color w:val="008000"/>
                <w:sz w:val="16"/>
                <w:szCs w:val="16"/>
              </w:rPr>
              <w:t>G9: US EPA 2019 Algal toxins criteria</w:t>
            </w:r>
          </w:p>
        </w:tc>
        <w:tc>
          <w:tcPr>
            <w:tcW w:w="4216" w:type="pct"/>
            <w:vAlign w:val="center"/>
          </w:tcPr>
          <w:p w14:paraId="0FB04F2D" w14:textId="77777777" w:rsidR="0032706F" w:rsidRPr="002032E5" w:rsidRDefault="00274BC6" w:rsidP="00700FDF">
            <w:pPr>
              <w:pStyle w:val="ListParagraph"/>
              <w:numPr>
                <w:ilvl w:val="0"/>
                <w:numId w:val="25"/>
              </w:numPr>
              <w:spacing w:after="0" w:line="240" w:lineRule="auto"/>
              <w:rPr>
                <w:rFonts w:ascii="Calibri" w:hAnsi="Calibri" w:cs="Calibri"/>
                <w:sz w:val="16"/>
                <w:szCs w:val="16"/>
                <w:lang w:val="en-AU"/>
              </w:rPr>
            </w:pPr>
            <w:r w:rsidRPr="002032E5">
              <w:rPr>
                <w:rFonts w:ascii="Calibri" w:hAnsi="Calibri" w:cs="Calibri"/>
                <w:sz w:val="16"/>
                <w:szCs w:val="16"/>
                <w:lang w:val="en-AU"/>
              </w:rPr>
              <w:t>Although this document is focused on Microcystins and Cylindrospermopsin only, it provides detailed methods for chemical exposure assessment during recreational water use for ingestion, inhalation and dermal exposure pathways and so could be applied to other water-associated chemical toxins.</w:t>
            </w:r>
          </w:p>
        </w:tc>
      </w:tr>
      <w:tr w:rsidR="004254E5" w14:paraId="6C059C33" w14:textId="77777777" w:rsidTr="0096764B">
        <w:tc>
          <w:tcPr>
            <w:tcW w:w="784" w:type="pct"/>
            <w:shd w:val="clear" w:color="000000" w:fill="D6EAEB"/>
            <w:vAlign w:val="center"/>
          </w:tcPr>
          <w:p w14:paraId="40CC23F0" w14:textId="77777777" w:rsidR="0032706F" w:rsidRPr="0068024B" w:rsidRDefault="00274BC6" w:rsidP="001E4CD0">
            <w:pPr>
              <w:spacing w:before="0" w:after="0" w:line="240" w:lineRule="auto"/>
              <w:rPr>
                <w:rFonts w:ascii="Calibri" w:hAnsi="Calibri" w:cs="Calibri"/>
                <w:b/>
                <w:bCs/>
                <w:color w:val="008000"/>
                <w:sz w:val="16"/>
                <w:szCs w:val="16"/>
              </w:rPr>
            </w:pPr>
            <w:r w:rsidRPr="0068024B">
              <w:rPr>
                <w:rFonts w:ascii="Calibri" w:hAnsi="Calibri" w:cs="Calibri"/>
                <w:b/>
                <w:bCs/>
                <w:color w:val="008000"/>
                <w:sz w:val="16"/>
                <w:szCs w:val="16"/>
              </w:rPr>
              <w:t>G10: WHO 2016 Surface Water RA</w:t>
            </w:r>
          </w:p>
        </w:tc>
        <w:tc>
          <w:tcPr>
            <w:tcW w:w="4216" w:type="pct"/>
            <w:vAlign w:val="center"/>
          </w:tcPr>
          <w:p w14:paraId="728B7B49" w14:textId="77777777" w:rsidR="0032706F" w:rsidRPr="002032E5" w:rsidRDefault="00274BC6" w:rsidP="00700FDF">
            <w:pPr>
              <w:pStyle w:val="ListParagraph"/>
              <w:numPr>
                <w:ilvl w:val="0"/>
                <w:numId w:val="25"/>
              </w:numPr>
              <w:spacing w:after="0" w:line="240" w:lineRule="auto"/>
              <w:rPr>
                <w:rFonts w:ascii="Calibri" w:hAnsi="Calibri" w:cs="Calibri"/>
                <w:sz w:val="16"/>
                <w:szCs w:val="16"/>
                <w:lang w:val="en-AU"/>
              </w:rPr>
            </w:pPr>
            <w:r w:rsidRPr="002032E5">
              <w:rPr>
                <w:rFonts w:ascii="Calibri" w:hAnsi="Calibri" w:cs="Calibri"/>
                <w:sz w:val="16"/>
                <w:szCs w:val="16"/>
                <w:lang w:val="en-AU"/>
              </w:rPr>
              <w:t xml:space="preserve">A very general discussion on chemical hazards in surface waters including sources and types of substances is presented.  </w:t>
            </w:r>
          </w:p>
        </w:tc>
      </w:tr>
      <w:tr w:rsidR="004254E5" w14:paraId="768E0347" w14:textId="77777777" w:rsidTr="0096764B">
        <w:tc>
          <w:tcPr>
            <w:tcW w:w="784" w:type="pct"/>
            <w:shd w:val="clear" w:color="000000" w:fill="D6EAEB"/>
            <w:vAlign w:val="center"/>
          </w:tcPr>
          <w:p w14:paraId="2E4633F5" w14:textId="77777777" w:rsidR="0032706F" w:rsidRPr="002032E5" w:rsidRDefault="00274BC6" w:rsidP="001E4CD0">
            <w:pPr>
              <w:spacing w:before="0" w:after="0" w:line="240" w:lineRule="auto"/>
              <w:rPr>
                <w:rFonts w:ascii="Calibri" w:hAnsi="Calibri" w:cs="Calibri"/>
                <w:b/>
                <w:bCs/>
                <w:color w:val="008000"/>
                <w:sz w:val="16"/>
                <w:szCs w:val="16"/>
              </w:rPr>
            </w:pPr>
            <w:r w:rsidRPr="002032E5">
              <w:rPr>
                <w:rFonts w:ascii="Calibri" w:hAnsi="Calibri" w:cs="Calibri"/>
                <w:b/>
                <w:bCs/>
                <w:color w:val="008000"/>
                <w:sz w:val="16"/>
                <w:szCs w:val="16"/>
              </w:rPr>
              <w:t>G11: NHMRC 2019 PFAS Recreational WQ Guidance</w:t>
            </w:r>
            <w:r>
              <w:rPr>
                <w:rFonts w:ascii="Calibri" w:hAnsi="Calibri" w:cs="Calibri"/>
                <w:b/>
                <w:bCs/>
                <w:color w:val="008000"/>
                <w:sz w:val="16"/>
                <w:szCs w:val="16"/>
              </w:rPr>
              <w:t>*</w:t>
            </w:r>
          </w:p>
        </w:tc>
        <w:tc>
          <w:tcPr>
            <w:tcW w:w="4216" w:type="pct"/>
            <w:vAlign w:val="center"/>
          </w:tcPr>
          <w:p w14:paraId="56441957" w14:textId="77777777" w:rsidR="0032706F" w:rsidRPr="002032E5" w:rsidRDefault="00274BC6" w:rsidP="00700FDF">
            <w:pPr>
              <w:pStyle w:val="ListParagraph"/>
              <w:numPr>
                <w:ilvl w:val="0"/>
                <w:numId w:val="25"/>
              </w:numPr>
              <w:spacing w:after="0" w:line="240" w:lineRule="auto"/>
              <w:rPr>
                <w:rFonts w:ascii="Calibri" w:hAnsi="Calibri" w:cs="Calibri"/>
                <w:sz w:val="16"/>
                <w:szCs w:val="16"/>
                <w:lang w:val="en-AU"/>
              </w:rPr>
            </w:pPr>
            <w:r w:rsidRPr="002032E5">
              <w:rPr>
                <w:rFonts w:ascii="Calibri" w:hAnsi="Calibri" w:cs="Calibri"/>
                <w:sz w:val="16"/>
                <w:szCs w:val="16"/>
                <w:lang w:val="en-AU"/>
              </w:rPr>
              <w:t xml:space="preserve">The guidelines note that published data on recreational water samples are scarce.  </w:t>
            </w:r>
          </w:p>
          <w:p w14:paraId="0D8D088F" w14:textId="77777777" w:rsidR="0032706F" w:rsidRPr="002032E5" w:rsidRDefault="00274BC6" w:rsidP="00700FDF">
            <w:pPr>
              <w:pStyle w:val="ListParagraph"/>
              <w:numPr>
                <w:ilvl w:val="0"/>
                <w:numId w:val="25"/>
              </w:numPr>
              <w:spacing w:after="0" w:line="240" w:lineRule="auto"/>
              <w:rPr>
                <w:rFonts w:ascii="Calibri" w:hAnsi="Calibri" w:cs="Calibri"/>
                <w:sz w:val="16"/>
                <w:szCs w:val="16"/>
                <w:lang w:val="en-AU"/>
              </w:rPr>
            </w:pPr>
            <w:r w:rsidRPr="002032E5">
              <w:rPr>
                <w:rFonts w:ascii="Calibri" w:hAnsi="Calibri" w:cs="Calibri"/>
                <w:sz w:val="16"/>
                <w:szCs w:val="16"/>
                <w:lang w:val="en-AU"/>
              </w:rPr>
              <w:t>Reference is made to environmental studies including a study on the Brisbane River (Qld) and</w:t>
            </w:r>
            <w:r w:rsidRPr="002032E5">
              <w:rPr>
                <w:lang w:val="en-AU"/>
              </w:rPr>
              <w:t xml:space="preserve"> </w:t>
            </w:r>
            <w:r w:rsidRPr="002032E5">
              <w:rPr>
                <w:rFonts w:ascii="Calibri" w:hAnsi="Calibri" w:cs="Calibri"/>
                <w:sz w:val="16"/>
                <w:szCs w:val="16"/>
                <w:lang w:val="en-AU"/>
              </w:rPr>
              <w:t>Homebush Bay in the upper reaches of Sydney Harbour and Parramatta River Estuary (NSW) where measurements suggest background concentrations of PFAS at recreational water areas would be generally well below guideline levels, unless a major source such as a contaminated site, was present in the water catchment area.</w:t>
            </w:r>
          </w:p>
        </w:tc>
      </w:tr>
    </w:tbl>
    <w:p w14:paraId="4120B6E0" w14:textId="77777777" w:rsidR="0032706F" w:rsidRPr="0068024B" w:rsidRDefault="00274BC6" w:rsidP="0032706F">
      <w:pPr>
        <w:spacing w:before="0" w:line="240" w:lineRule="auto"/>
        <w:rPr>
          <w:rFonts w:asciiTheme="minorHAnsi" w:hAnsiTheme="minorHAnsi" w:cstheme="minorHAnsi"/>
          <w:sz w:val="16"/>
          <w:szCs w:val="16"/>
        </w:rPr>
      </w:pPr>
      <w:r w:rsidRPr="0068024B">
        <w:rPr>
          <w:rFonts w:asciiTheme="minorHAnsi" w:hAnsiTheme="minorHAnsi" w:cstheme="minorHAnsi"/>
          <w:sz w:val="16"/>
          <w:szCs w:val="16"/>
        </w:rPr>
        <w:t>* Guideline documents that contained satisfactory material for consideration in response to the research question.</w:t>
      </w:r>
    </w:p>
    <w:p w14:paraId="3554DFC3" w14:textId="22EF062D" w:rsidR="00091741" w:rsidRPr="00595884" w:rsidRDefault="00274BC6" w:rsidP="006156CC">
      <w:pPr>
        <w:pStyle w:val="Heading3"/>
        <w:rPr>
          <w:color w:val="auto"/>
        </w:rPr>
      </w:pPr>
      <w:bookmarkStart w:id="328" w:name="_Ref72421876"/>
      <w:bookmarkStart w:id="329" w:name="_Toc106811143"/>
      <w:r w:rsidRPr="00595884">
        <w:rPr>
          <w:color w:val="auto"/>
        </w:rPr>
        <w:t xml:space="preserve">Secondary </w:t>
      </w:r>
      <w:r w:rsidR="006156CC" w:rsidRPr="00595884">
        <w:rPr>
          <w:color w:val="auto"/>
        </w:rPr>
        <w:t>r</w:t>
      </w:r>
      <w:r w:rsidRPr="00595884">
        <w:rPr>
          <w:color w:val="auto"/>
        </w:rPr>
        <w:t>esearch questions</w:t>
      </w:r>
      <w:bookmarkEnd w:id="328"/>
      <w:bookmarkEnd w:id="329"/>
    </w:p>
    <w:p w14:paraId="2059B135" w14:textId="74117A5A" w:rsidR="00500224" w:rsidRPr="00595884" w:rsidRDefault="00274BC6" w:rsidP="008341EF">
      <w:pPr>
        <w:spacing w:after="0" w:line="276" w:lineRule="auto"/>
        <w:ind w:left="360"/>
        <w:textAlignment w:val="center"/>
        <w:rPr>
          <w:rFonts w:cs="Arial"/>
          <w:i/>
          <w:iCs/>
          <w:szCs w:val="20"/>
        </w:rPr>
      </w:pPr>
      <w:r w:rsidRPr="00595884">
        <w:rPr>
          <w:rFonts w:cs="Arial"/>
          <w:i/>
          <w:iCs/>
          <w:szCs w:val="20"/>
        </w:rPr>
        <w:t>1. What chemicals (that potentially pose a risk to humans) are present at elevated concentrations in recreational waters and what are their sources?</w:t>
      </w:r>
    </w:p>
    <w:p w14:paraId="7A4B7A13" w14:textId="630F9D4C" w:rsidR="00BE690C" w:rsidRPr="00595884" w:rsidRDefault="00274BC6" w:rsidP="00BE690C">
      <w:r w:rsidRPr="00595884">
        <w:t xml:space="preserve">Three of the seven guideline documents contained satisfactory material for consideration </w:t>
      </w:r>
      <w:r w:rsidR="00A44693">
        <w:t>of</w:t>
      </w:r>
      <w:r w:rsidRPr="00595884">
        <w:t xml:space="preserve"> </w:t>
      </w:r>
      <w:r w:rsidR="00001A68" w:rsidRPr="00595884">
        <w:t xml:space="preserve">secondary </w:t>
      </w:r>
      <w:r w:rsidRPr="00595884">
        <w:t>research question</w:t>
      </w:r>
      <w:r w:rsidR="00001A68" w:rsidRPr="00595884">
        <w:t xml:space="preserve"> 1</w:t>
      </w:r>
      <w:r w:rsidRPr="00595884">
        <w:t xml:space="preserve"> (G3, G6 and G10, </w:t>
      </w:r>
      <w:r w:rsidR="009B14B1">
        <w:fldChar w:fldCharType="begin"/>
      </w:r>
      <w:r w:rsidR="009B14B1">
        <w:instrText xml:space="preserve"> REF _Ref77090410 \h </w:instrText>
      </w:r>
      <w:r w:rsidR="009B14B1">
        <w:fldChar w:fldCharType="separate"/>
      </w:r>
      <w:r w:rsidR="003132AF">
        <w:t xml:space="preserve">Table </w:t>
      </w:r>
      <w:r w:rsidR="003132AF">
        <w:rPr>
          <w:noProof/>
        </w:rPr>
        <w:t>6</w:t>
      </w:r>
      <w:r w:rsidR="003132AF">
        <w:noBreakHyphen/>
      </w:r>
      <w:r w:rsidR="003132AF">
        <w:rPr>
          <w:noProof/>
        </w:rPr>
        <w:t>2</w:t>
      </w:r>
      <w:r w:rsidR="009B14B1">
        <w:fldChar w:fldCharType="end"/>
      </w:r>
      <w:r w:rsidR="009B14B1">
        <w:t xml:space="preserve">, </w:t>
      </w:r>
      <w:r w:rsidRPr="00595884">
        <w:fldChar w:fldCharType="begin"/>
      </w:r>
      <w:r w:rsidRPr="00595884">
        <w:instrText xml:space="preserve"> REF _Ref72146504 \h </w:instrText>
      </w:r>
      <w:r w:rsidRPr="00595884">
        <w:fldChar w:fldCharType="separate"/>
      </w:r>
      <w:r w:rsidR="003132AF" w:rsidRPr="00595884">
        <w:t xml:space="preserve">Table </w:t>
      </w:r>
      <w:r w:rsidR="003132AF">
        <w:rPr>
          <w:noProof/>
        </w:rPr>
        <w:t>6</w:t>
      </w:r>
      <w:r w:rsidR="003132AF">
        <w:noBreakHyphen/>
      </w:r>
      <w:r w:rsidR="003132AF">
        <w:rPr>
          <w:noProof/>
        </w:rPr>
        <w:t>5</w:t>
      </w:r>
      <w:r w:rsidRPr="00595884">
        <w:fldChar w:fldCharType="end"/>
      </w:r>
      <w:r w:rsidRPr="00595884">
        <w:t xml:space="preserve">). </w:t>
      </w:r>
    </w:p>
    <w:p w14:paraId="09C819CE" w14:textId="45CB6C23" w:rsidR="00500224" w:rsidRPr="00595884" w:rsidRDefault="00274BC6" w:rsidP="00BE690C">
      <w:r w:rsidRPr="00595884">
        <w:t xml:space="preserve">The </w:t>
      </w:r>
      <w:r w:rsidRPr="008341EF">
        <w:rPr>
          <w:i/>
        </w:rPr>
        <w:t>PFAS National Environmental Management Plan</w:t>
      </w:r>
      <w:r w:rsidRPr="00595884">
        <w:t xml:space="preserve"> (Version 2.0, </w:t>
      </w:r>
      <w:r w:rsidRPr="00595884">
        <w:fldChar w:fldCharType="begin"/>
      </w:r>
      <w:r w:rsidRPr="00595884">
        <w:instrText xml:space="preserve"> ADDIN ZOTERO_ITEM CSL_CITATION {"citationID":"PHjmtzNE","properties":{"custom":"HEPA, 2020)","formattedCitation":"HEPA, 2020)","plainCitation":"HEPA, 2020)","noteIndex":0},"citationItems":[{"id":10432,"uris":["http://zotero.org/users/148142/items/LG53B8EN"],"uri":["http://zotero.org/users/148142/items/LG53B8EN"],"itemData":{"id":10432,"type":"report","title":"PFAS National Environmental Management Plan Version 2.0’, Heads of EPA Australia and New Zealand (HEPA)","URL":"https://www.environment.gov.au/system/files/resources/2fadf1bc-b0b6-44cb-a192-78c522d5ec3f/files/pfas-nemp-2.pdf","author":[{"literal":"HEPA"}],"issued":{"date-parts":[["2020",1]]}}}],"schema":"https://github.com/citation-style-language/schema/raw/master/csl-citation.json"} </w:instrText>
      </w:r>
      <w:r w:rsidRPr="00595884">
        <w:fldChar w:fldCharType="separate"/>
      </w:r>
      <w:r w:rsidRPr="00595884">
        <w:rPr>
          <w:rFonts w:cs="Arial"/>
        </w:rPr>
        <w:t>HEPA, 2020)</w:t>
      </w:r>
      <w:r w:rsidRPr="00595884">
        <w:fldChar w:fldCharType="end"/>
      </w:r>
      <w:r w:rsidRPr="00595884">
        <w:t xml:space="preserve"> </w:t>
      </w:r>
      <w:r w:rsidR="00BE690C" w:rsidRPr="00595884">
        <w:t xml:space="preserve">does not provide </w:t>
      </w:r>
      <w:r w:rsidRPr="00595884">
        <w:t>data on concentrations in recreational waters</w:t>
      </w:r>
      <w:r w:rsidR="00A44693">
        <w:t>.</w:t>
      </w:r>
      <w:r w:rsidRPr="00595884">
        <w:t xml:space="preserve"> </w:t>
      </w:r>
      <w:r w:rsidR="00A44693">
        <w:t>I</w:t>
      </w:r>
      <w:r w:rsidR="00BE690C" w:rsidRPr="00595884">
        <w:t>t does</w:t>
      </w:r>
      <w:r w:rsidR="00A44693">
        <w:t>, however,</w:t>
      </w:r>
      <w:r w:rsidRPr="00595884">
        <w:t xml:space="preserve"> provide useful information on potential sources.  </w:t>
      </w:r>
      <w:r w:rsidR="00BE690C" w:rsidRPr="00595884">
        <w:t>Specifically, t</w:t>
      </w:r>
      <w:r w:rsidRPr="00595884">
        <w:t>ables B1 and B2 in Appendix B of the document provide lists of activities associated with PFAS contamination due</w:t>
      </w:r>
      <w:r w:rsidR="00BE4B61">
        <w:t xml:space="preserve"> to</w:t>
      </w:r>
      <w:r w:rsidRPr="00595884">
        <w:t xml:space="preserve"> </w:t>
      </w:r>
      <w:r w:rsidR="00BE690C" w:rsidRPr="00595884">
        <w:t>fire management</w:t>
      </w:r>
      <w:r w:rsidRPr="00595884">
        <w:t xml:space="preserve"> (Table B1) and with PFAS contamination more broadly (</w:t>
      </w:r>
      <w:r w:rsidR="00BE690C" w:rsidRPr="00595884">
        <w:t xml:space="preserve">Table </w:t>
      </w:r>
      <w:r w:rsidRPr="00595884">
        <w:t xml:space="preserve">B2).  These tables provide guidance on potential sources of PFAS </w:t>
      </w:r>
      <w:r w:rsidR="00A44693">
        <w:t>that</w:t>
      </w:r>
      <w:r w:rsidR="00A44693" w:rsidRPr="00595884">
        <w:t xml:space="preserve"> </w:t>
      </w:r>
      <w:r w:rsidR="00FA53B5" w:rsidRPr="00595884">
        <w:t xml:space="preserve">could occur </w:t>
      </w:r>
      <w:r w:rsidRPr="00595884">
        <w:t xml:space="preserve">in catchment areas of recreational water </w:t>
      </w:r>
      <w:r w:rsidR="00BE690C" w:rsidRPr="00595884">
        <w:t>bodies</w:t>
      </w:r>
      <w:r w:rsidR="00A44693">
        <w:t>. They</w:t>
      </w:r>
      <w:r w:rsidRPr="00595884">
        <w:t xml:space="preserve"> may be useful for guiding monitoring and risk management planning</w:t>
      </w:r>
      <w:r w:rsidR="00BE690C" w:rsidRPr="00595884">
        <w:t xml:space="preserve"> for recreational waters.</w:t>
      </w:r>
    </w:p>
    <w:p w14:paraId="744A4189" w14:textId="6D94B731" w:rsidR="00BE690C" w:rsidRPr="00595884" w:rsidRDefault="00274BC6" w:rsidP="00C14EDB">
      <w:r w:rsidRPr="00595884">
        <w:t xml:space="preserve">As noted above, discharges of recycled water/treated effluent are a potentially important source of chemical hazards to recreational waters.  </w:t>
      </w:r>
      <w:r w:rsidRPr="00F9254C">
        <w:t>AGWR Phase 2</w:t>
      </w:r>
      <w:r w:rsidRPr="00595884">
        <w:t xml:space="preserve"> </w:t>
      </w:r>
      <w:r w:rsidRPr="00595884">
        <w:fldChar w:fldCharType="begin"/>
      </w:r>
      <w:r w:rsidR="004B13EC" w:rsidRPr="00595884">
        <w:instrText xml:space="preserve"> ADDIN ZOTERO_ITEM CSL_CITATION {"citationID":"tRzGRwz5","properties":{"formattedCitation":"(NRMMC, EPHC, et al., 2008)","plainCitation":"(NRMMC, EPHC, et al., 2008)","noteIndex":0},"citationItems":[{"id":1344,"uris":["http://zotero.org/users/148142/items/HCCZKNFZ"],"uri":["http://zotero.org/users/148142/items/HCCZKNFZ"],"itemData":{"id":1344,"type":"report","event-place":"Canberra, Australia.","publisher":"Natural Resource Management Ministerial Council, Environmental Protection and Heritage Council and National Health and Medical Research Council","publisher-place":"Canberra, Australia.","title":"Australian Guidelines for Water Recycling (Phase 2): Augmentation of Drinking Water Supplies","author":[{"literal":"NRMMC"},{"literal":"EPHC"},{"literal":"NHMRC"}],"issued":{"date-parts":[["2008"]]}}}],"schema":"https://github.com/citation-style-language/schema/raw/master/csl-citation.json"} </w:instrText>
      </w:r>
      <w:r w:rsidRPr="00595884">
        <w:fldChar w:fldCharType="separate"/>
      </w:r>
      <w:r w:rsidRPr="00595884">
        <w:rPr>
          <w:rFonts w:cs="Arial"/>
        </w:rPr>
        <w:t>(NRMMC, EPHC, et al., 2008)</w:t>
      </w:r>
      <w:r w:rsidRPr="00595884">
        <w:fldChar w:fldCharType="end"/>
      </w:r>
      <w:r w:rsidRPr="00595884">
        <w:t xml:space="preserve"> </w:t>
      </w:r>
      <w:r w:rsidR="00961F91" w:rsidRPr="00595884">
        <w:t xml:space="preserve">lists </w:t>
      </w:r>
      <w:r w:rsidR="00C14EDB" w:rsidRPr="00595884">
        <w:t xml:space="preserve">broad </w:t>
      </w:r>
      <w:r w:rsidR="00961F91" w:rsidRPr="00595884">
        <w:t>c</w:t>
      </w:r>
      <w:r w:rsidRPr="00595884">
        <w:t>lasses of c</w:t>
      </w:r>
      <w:r w:rsidR="00961F91" w:rsidRPr="00595884">
        <w:t>hemical groups as potentially present in recycled water</w:t>
      </w:r>
      <w:r w:rsidRPr="00595884">
        <w:t xml:space="preserve"> but most likely to be below drinking water quality guideline concentrations</w:t>
      </w:r>
      <w:r w:rsidR="00C14EDB" w:rsidRPr="00595884">
        <w:t>.  The listed classes are so broad as to be not particularly useful (see Technical Report Section 5.4.2 for lists).  However</w:t>
      </w:r>
      <w:r w:rsidR="002120F7">
        <w:t>,</w:t>
      </w:r>
      <w:r w:rsidR="00C14EDB" w:rsidRPr="00595884">
        <w:t xml:space="preserve"> elsewhere in the document it is</w:t>
      </w:r>
      <w:r w:rsidR="00961F91" w:rsidRPr="00595884">
        <w:t xml:space="preserve"> state</w:t>
      </w:r>
      <w:r w:rsidR="00C14EDB" w:rsidRPr="00595884">
        <w:t xml:space="preserve">d </w:t>
      </w:r>
      <w:r w:rsidR="00961F91" w:rsidRPr="00595884">
        <w:t xml:space="preserve">that data (not cited) for organic chemicals indicate exceedances for </w:t>
      </w:r>
      <w:proofErr w:type="gramStart"/>
      <w:r w:rsidR="00961F91" w:rsidRPr="00595884">
        <w:t>a number of</w:t>
      </w:r>
      <w:proofErr w:type="gramEnd"/>
      <w:r w:rsidR="00961F91" w:rsidRPr="00595884">
        <w:t xml:space="preserve"> disinfection by-products, pesticides and trace organics. The largest exceedances were for:</w:t>
      </w:r>
    </w:p>
    <w:p w14:paraId="7BECEF34" w14:textId="65A268B3" w:rsidR="00BE690C" w:rsidRPr="00595884" w:rsidRDefault="00274BC6" w:rsidP="00700FDF">
      <w:pPr>
        <w:pStyle w:val="ListParagraph"/>
        <w:numPr>
          <w:ilvl w:val="0"/>
          <w:numId w:val="16"/>
        </w:numPr>
        <w:contextualSpacing/>
        <w:rPr>
          <w:lang w:val="en-AU"/>
        </w:rPr>
      </w:pPr>
      <w:r w:rsidRPr="00595884">
        <w:rPr>
          <w:lang w:val="en-AU"/>
        </w:rPr>
        <w:t>B</w:t>
      </w:r>
      <w:r w:rsidR="00961F91" w:rsidRPr="00595884">
        <w:rPr>
          <w:lang w:val="en-AU"/>
        </w:rPr>
        <w:t>enzo(a)pyrene (</w:t>
      </w:r>
      <w:r w:rsidR="008E737E">
        <w:rPr>
          <w:lang w:val="en-AU"/>
        </w:rPr>
        <w:t xml:space="preserve">a </w:t>
      </w:r>
      <w:r w:rsidR="00961F91" w:rsidRPr="00595884">
        <w:rPr>
          <w:lang w:val="en-AU"/>
        </w:rPr>
        <w:t>PAH</w:t>
      </w:r>
      <w:proofErr w:type="gramStart"/>
      <w:r w:rsidR="00961F91" w:rsidRPr="00595884">
        <w:rPr>
          <w:lang w:val="en-AU"/>
        </w:rPr>
        <w:t>)</w:t>
      </w:r>
      <w:r w:rsidRPr="00595884">
        <w:rPr>
          <w:lang w:val="en-AU"/>
        </w:rPr>
        <w:t>;</w:t>
      </w:r>
      <w:proofErr w:type="gramEnd"/>
    </w:p>
    <w:p w14:paraId="4E97C5AB" w14:textId="7DF705CA" w:rsidR="00BE690C" w:rsidRPr="00595884" w:rsidRDefault="00274BC6" w:rsidP="00700FDF">
      <w:pPr>
        <w:pStyle w:val="ListParagraph"/>
        <w:numPr>
          <w:ilvl w:val="0"/>
          <w:numId w:val="16"/>
        </w:numPr>
        <w:contextualSpacing/>
        <w:rPr>
          <w:lang w:val="en-AU"/>
        </w:rPr>
      </w:pPr>
      <w:r w:rsidRPr="00595884">
        <w:rPr>
          <w:lang w:val="en-AU"/>
        </w:rPr>
        <w:t>B</w:t>
      </w:r>
      <w:r w:rsidR="00961F91" w:rsidRPr="00595884">
        <w:rPr>
          <w:lang w:val="en-AU"/>
        </w:rPr>
        <w:t xml:space="preserve">romodichloromethane, chloroform and </w:t>
      </w:r>
      <w:r w:rsidR="008341EF" w:rsidRPr="00595884">
        <w:rPr>
          <w:lang w:val="en-AU"/>
        </w:rPr>
        <w:t>NDMA</w:t>
      </w:r>
      <w:r w:rsidR="008341EF">
        <w:rPr>
          <w:lang w:val="en-AU"/>
        </w:rPr>
        <w:t xml:space="preserve"> (</w:t>
      </w:r>
      <w:r w:rsidR="00D330FF">
        <w:rPr>
          <w:lang w:val="en-AU"/>
        </w:rPr>
        <w:t>N-</w:t>
      </w:r>
      <w:proofErr w:type="spellStart"/>
      <w:r w:rsidR="00D330FF">
        <w:rPr>
          <w:lang w:val="en-AU"/>
        </w:rPr>
        <w:t>Nitrosodimethylamine</w:t>
      </w:r>
      <w:proofErr w:type="spellEnd"/>
      <w:r w:rsidR="008341EF">
        <w:rPr>
          <w:lang w:val="en-AU"/>
        </w:rPr>
        <w:t>)</w:t>
      </w:r>
      <w:r w:rsidR="00D330FF">
        <w:rPr>
          <w:lang w:val="en-AU"/>
        </w:rPr>
        <w:t xml:space="preserve"> (all</w:t>
      </w:r>
      <w:r w:rsidR="00961F91" w:rsidRPr="00595884">
        <w:rPr>
          <w:lang w:val="en-AU"/>
        </w:rPr>
        <w:t xml:space="preserve"> disinfection by-products</w:t>
      </w:r>
      <w:proofErr w:type="gramStart"/>
      <w:r w:rsidR="00961F91" w:rsidRPr="00595884">
        <w:rPr>
          <w:lang w:val="en-AU"/>
        </w:rPr>
        <w:t>)</w:t>
      </w:r>
      <w:r w:rsidRPr="00595884">
        <w:rPr>
          <w:lang w:val="en-AU"/>
        </w:rPr>
        <w:t>;</w:t>
      </w:r>
      <w:proofErr w:type="gramEnd"/>
    </w:p>
    <w:p w14:paraId="51338977" w14:textId="7099430C" w:rsidR="00BE690C" w:rsidRPr="00595884" w:rsidRDefault="00274BC6" w:rsidP="00700FDF">
      <w:pPr>
        <w:pStyle w:val="ListParagraph"/>
        <w:numPr>
          <w:ilvl w:val="0"/>
          <w:numId w:val="16"/>
        </w:numPr>
        <w:contextualSpacing/>
        <w:rPr>
          <w:lang w:val="en-AU"/>
        </w:rPr>
      </w:pPr>
      <w:r w:rsidRPr="00595884">
        <w:rPr>
          <w:lang w:val="en-AU"/>
        </w:rPr>
        <w:t>D</w:t>
      </w:r>
      <w:r w:rsidR="00961F91" w:rsidRPr="00595884">
        <w:rPr>
          <w:lang w:val="en-AU"/>
        </w:rPr>
        <w:t>emeton S (</w:t>
      </w:r>
      <w:r w:rsidR="008E737E">
        <w:rPr>
          <w:lang w:val="en-AU"/>
        </w:rPr>
        <w:t xml:space="preserve">a </w:t>
      </w:r>
      <w:r w:rsidR="00961F91" w:rsidRPr="00595884">
        <w:rPr>
          <w:lang w:val="en-AU"/>
        </w:rPr>
        <w:t>pesticide</w:t>
      </w:r>
      <w:proofErr w:type="gramStart"/>
      <w:r w:rsidR="00961F91" w:rsidRPr="00595884">
        <w:rPr>
          <w:lang w:val="en-AU"/>
        </w:rPr>
        <w:t>)</w:t>
      </w:r>
      <w:r w:rsidRPr="00595884">
        <w:rPr>
          <w:lang w:val="en-AU"/>
        </w:rPr>
        <w:t>;</w:t>
      </w:r>
      <w:proofErr w:type="gramEnd"/>
    </w:p>
    <w:p w14:paraId="0C014F0D" w14:textId="5C15CA53" w:rsidR="00BE690C" w:rsidRPr="00595884" w:rsidRDefault="00274BC6" w:rsidP="00700FDF">
      <w:pPr>
        <w:pStyle w:val="ListParagraph"/>
        <w:numPr>
          <w:ilvl w:val="0"/>
          <w:numId w:val="16"/>
        </w:numPr>
        <w:contextualSpacing/>
        <w:rPr>
          <w:lang w:val="en-AU"/>
        </w:rPr>
      </w:pPr>
      <w:proofErr w:type="spellStart"/>
      <w:r w:rsidRPr="00595884">
        <w:rPr>
          <w:lang w:val="en-AU"/>
        </w:rPr>
        <w:t>Di</w:t>
      </w:r>
      <w:r w:rsidR="00961F91" w:rsidRPr="00595884">
        <w:rPr>
          <w:lang w:val="en-AU"/>
        </w:rPr>
        <w:t>atrizoic</w:t>
      </w:r>
      <w:proofErr w:type="spellEnd"/>
      <w:r w:rsidR="00961F91" w:rsidRPr="00595884">
        <w:rPr>
          <w:lang w:val="en-AU"/>
        </w:rPr>
        <w:t xml:space="preserve"> acid (</w:t>
      </w:r>
      <w:r w:rsidR="008E737E">
        <w:rPr>
          <w:lang w:val="en-AU"/>
        </w:rPr>
        <w:t xml:space="preserve">a </w:t>
      </w:r>
      <w:r w:rsidR="00961F91" w:rsidRPr="00595884">
        <w:rPr>
          <w:lang w:val="en-AU"/>
        </w:rPr>
        <w:t>contrast medium</w:t>
      </w:r>
      <w:proofErr w:type="gramStart"/>
      <w:r w:rsidR="00961F91" w:rsidRPr="00595884">
        <w:rPr>
          <w:lang w:val="en-AU"/>
        </w:rPr>
        <w:t>)</w:t>
      </w:r>
      <w:r w:rsidRPr="00595884">
        <w:rPr>
          <w:lang w:val="en-AU"/>
        </w:rPr>
        <w:t>;</w:t>
      </w:r>
      <w:proofErr w:type="gramEnd"/>
    </w:p>
    <w:p w14:paraId="095D3E0A" w14:textId="10C006D4" w:rsidR="00BE690C" w:rsidRPr="00595884" w:rsidRDefault="00274BC6" w:rsidP="00700FDF">
      <w:pPr>
        <w:pStyle w:val="ListParagraph"/>
        <w:numPr>
          <w:ilvl w:val="0"/>
          <w:numId w:val="16"/>
        </w:numPr>
        <w:contextualSpacing/>
        <w:rPr>
          <w:lang w:val="en-AU"/>
        </w:rPr>
      </w:pPr>
      <w:r w:rsidRPr="00595884">
        <w:rPr>
          <w:lang w:val="en-AU"/>
        </w:rPr>
        <w:t>2,6-di-tert-butyl-1,4-benzoquinone (</w:t>
      </w:r>
      <w:r w:rsidR="008E737E">
        <w:rPr>
          <w:lang w:val="en-AU"/>
        </w:rPr>
        <w:t xml:space="preserve">an </w:t>
      </w:r>
      <w:r w:rsidRPr="00595884">
        <w:rPr>
          <w:lang w:val="en-AU"/>
        </w:rPr>
        <w:t>antioxidant</w:t>
      </w:r>
      <w:proofErr w:type="gramStart"/>
      <w:r w:rsidRPr="00595884">
        <w:rPr>
          <w:lang w:val="en-AU"/>
        </w:rPr>
        <w:t>)</w:t>
      </w:r>
      <w:r w:rsidR="00C14EDB" w:rsidRPr="00595884">
        <w:rPr>
          <w:lang w:val="en-AU"/>
        </w:rPr>
        <w:t>;</w:t>
      </w:r>
      <w:proofErr w:type="gramEnd"/>
    </w:p>
    <w:p w14:paraId="613FE859" w14:textId="3C201105" w:rsidR="00BE690C" w:rsidRPr="00595884" w:rsidRDefault="00274BC6" w:rsidP="00700FDF">
      <w:pPr>
        <w:pStyle w:val="ListParagraph"/>
        <w:numPr>
          <w:ilvl w:val="0"/>
          <w:numId w:val="16"/>
        </w:numPr>
        <w:contextualSpacing/>
        <w:rPr>
          <w:lang w:val="en-AU"/>
        </w:rPr>
      </w:pPr>
      <w:r w:rsidRPr="00595884">
        <w:rPr>
          <w:lang w:val="en-AU"/>
        </w:rPr>
        <w:t>5-methyl-1H-benzotriazole (</w:t>
      </w:r>
      <w:r w:rsidR="008E737E">
        <w:rPr>
          <w:lang w:val="en-AU"/>
        </w:rPr>
        <w:t xml:space="preserve">an </w:t>
      </w:r>
      <w:r w:rsidRPr="00595884">
        <w:rPr>
          <w:lang w:val="en-AU"/>
        </w:rPr>
        <w:t>industrial anticorrosive</w:t>
      </w:r>
      <w:proofErr w:type="gramStart"/>
      <w:r w:rsidRPr="00595884">
        <w:rPr>
          <w:lang w:val="en-AU"/>
        </w:rPr>
        <w:t>)</w:t>
      </w:r>
      <w:r w:rsidR="00C14EDB" w:rsidRPr="00595884">
        <w:rPr>
          <w:lang w:val="en-AU"/>
        </w:rPr>
        <w:t>;</w:t>
      </w:r>
      <w:proofErr w:type="gramEnd"/>
    </w:p>
    <w:p w14:paraId="2758C2C7" w14:textId="2D9AFA94" w:rsidR="00BE690C" w:rsidRPr="00595884" w:rsidRDefault="00274BC6" w:rsidP="00700FDF">
      <w:pPr>
        <w:pStyle w:val="ListParagraph"/>
        <w:numPr>
          <w:ilvl w:val="0"/>
          <w:numId w:val="16"/>
        </w:numPr>
        <w:contextualSpacing/>
        <w:rPr>
          <w:lang w:val="en-AU"/>
        </w:rPr>
      </w:pPr>
      <w:r w:rsidRPr="00595884">
        <w:rPr>
          <w:lang w:val="en-AU"/>
        </w:rPr>
        <w:t>P</w:t>
      </w:r>
      <w:r w:rsidR="00961F91" w:rsidRPr="00595884">
        <w:rPr>
          <w:lang w:val="en-AU"/>
        </w:rPr>
        <w:t>araxanthine (</w:t>
      </w:r>
      <w:r w:rsidR="008E737E">
        <w:rPr>
          <w:lang w:val="en-AU"/>
        </w:rPr>
        <w:t xml:space="preserve">a </w:t>
      </w:r>
      <w:r w:rsidR="00961F91" w:rsidRPr="00595884">
        <w:rPr>
          <w:lang w:val="en-AU"/>
        </w:rPr>
        <w:t>caffeine metabolite</w:t>
      </w:r>
      <w:proofErr w:type="gramStart"/>
      <w:r w:rsidR="00961F91" w:rsidRPr="00595884">
        <w:rPr>
          <w:lang w:val="en-AU"/>
        </w:rPr>
        <w:t>)</w:t>
      </w:r>
      <w:r w:rsidRPr="00595884">
        <w:rPr>
          <w:lang w:val="en-AU"/>
        </w:rPr>
        <w:t>;</w:t>
      </w:r>
      <w:proofErr w:type="gramEnd"/>
    </w:p>
    <w:p w14:paraId="148F691F" w14:textId="62F6A456" w:rsidR="00BE690C" w:rsidRPr="00595884" w:rsidRDefault="00274BC6" w:rsidP="00700FDF">
      <w:pPr>
        <w:pStyle w:val="ListParagraph"/>
        <w:numPr>
          <w:ilvl w:val="0"/>
          <w:numId w:val="16"/>
        </w:numPr>
        <w:contextualSpacing/>
        <w:rPr>
          <w:lang w:val="en-AU"/>
        </w:rPr>
      </w:pPr>
      <w:proofErr w:type="spellStart"/>
      <w:r w:rsidRPr="00595884">
        <w:rPr>
          <w:lang w:val="en-AU"/>
        </w:rPr>
        <w:t>P</w:t>
      </w:r>
      <w:r w:rsidR="00961F91" w:rsidRPr="00595884">
        <w:rPr>
          <w:lang w:val="en-AU"/>
        </w:rPr>
        <w:t>ropylenedinitrilotetraacetic</w:t>
      </w:r>
      <w:proofErr w:type="spellEnd"/>
      <w:r w:rsidR="00961F91" w:rsidRPr="00595884">
        <w:rPr>
          <w:lang w:val="en-AU"/>
        </w:rPr>
        <w:t xml:space="preserve"> acid (PDTA, </w:t>
      </w:r>
      <w:r w:rsidR="008E737E">
        <w:rPr>
          <w:lang w:val="en-AU"/>
        </w:rPr>
        <w:t xml:space="preserve">a </w:t>
      </w:r>
      <w:r w:rsidR="00961F91" w:rsidRPr="00595884">
        <w:rPr>
          <w:lang w:val="en-AU"/>
        </w:rPr>
        <w:t>chelating agent).</w:t>
      </w:r>
    </w:p>
    <w:p w14:paraId="62301E9E" w14:textId="62E79A19" w:rsidR="00BE690C" w:rsidRPr="00595884" w:rsidRDefault="00274BC6" w:rsidP="00C14EDB">
      <w:r w:rsidRPr="00595884">
        <w:t>For recreational water influenced by treated wastewater discharges, such compounds could be considered a higher priority for monitoring.</w:t>
      </w:r>
    </w:p>
    <w:p w14:paraId="7614D264" w14:textId="16424C47" w:rsidR="00AA07A0" w:rsidRPr="00595884" w:rsidRDefault="00274BC6" w:rsidP="003B7F32">
      <w:r w:rsidRPr="00595884">
        <w:t xml:space="preserve">The WHO document </w:t>
      </w:r>
      <w:r w:rsidRPr="00595884">
        <w:rPr>
          <w:i/>
          <w:iCs/>
        </w:rPr>
        <w:t>Protecting surface water for health</w:t>
      </w:r>
      <w:r w:rsidRPr="00595884">
        <w:t xml:space="preserve"> </w:t>
      </w:r>
      <w:r w:rsidRPr="00595884">
        <w:fldChar w:fldCharType="begin"/>
      </w:r>
      <w:r w:rsidRPr="00595884">
        <w:instrText xml:space="preserve"> ADDIN ZOTERO_ITEM CSL_CITATION {"citationID":"Y3Monyok","properties":{"formattedCitation":"(WHO, 2016)","plainCitation":"(WHO, 2016)","noteIndex":0},"citationItems":[{"id":6792,"uris":["http://zotero.org/users/148142/items/NSTZ3WFZ"],"uri":["http://zotero.org/users/148142/items/NSTZ3WFZ"],"itemData":{"id":6792,"type":"book","event-place":"Geneva","ISBN":"978-92-4-154815-1","language":"English","publisher":"World Health Organization","publisher-place":"Geneva","source":"Open WorldCat","title":"Protecting surface water for health Identifying, assessing and managing drinking-water quality risks in surface-water catchments","author":[{"literal":"WHO"}],"issued":{"date-parts":[["2016"]]}}}],"schema":"https://github.com/citation-style-language/schema/raw/master/csl-citation.json"} </w:instrText>
      </w:r>
      <w:r w:rsidRPr="00595884">
        <w:fldChar w:fldCharType="separate"/>
      </w:r>
      <w:r w:rsidRPr="00595884">
        <w:rPr>
          <w:rFonts w:cs="Arial"/>
        </w:rPr>
        <w:t>(WHO, 2016)</w:t>
      </w:r>
      <w:r w:rsidRPr="00595884">
        <w:fldChar w:fldCharType="end"/>
      </w:r>
      <w:r w:rsidRPr="00595884">
        <w:t xml:space="preserve"> provides guidance on the identification, assessment, and management of drinking-water quality risks in surface water catchments and therefore is not directly focussed on recreational water quality.  Nevertheless, the document contains clear general guidance for management of surface water quality that </w:t>
      </w:r>
      <w:r w:rsidR="008E737E">
        <w:t>is</w:t>
      </w:r>
      <w:r w:rsidR="008E737E" w:rsidRPr="00595884">
        <w:t xml:space="preserve"> </w:t>
      </w:r>
      <w:r w:rsidRPr="00595884">
        <w:t>relevant to recreational waters</w:t>
      </w:r>
      <w:r w:rsidR="008E737E">
        <w:t>. It</w:t>
      </w:r>
      <w:r w:rsidRPr="00595884">
        <w:t xml:space="preserve"> </w:t>
      </w:r>
      <w:r w:rsidR="003B7F32" w:rsidRPr="00595884">
        <w:t xml:space="preserve">provides some general commentary on broad classes of chemicals, with some specific substances listed, and potential sources in surface waters.  </w:t>
      </w:r>
      <w:r w:rsidRPr="00595884">
        <w:t>Chemical groups discussed include major ions, nutrients, metals, pesticides, natural organic matter</w:t>
      </w:r>
      <w:r w:rsidR="00137B9F" w:rsidRPr="00595884">
        <w:t>, volatile and semi-volatile organic compounds (VOCs and SVOCs)</w:t>
      </w:r>
      <w:r w:rsidRPr="00595884">
        <w:t xml:space="preserve"> and chemicals of emerging concern.  </w:t>
      </w:r>
    </w:p>
    <w:p w14:paraId="25B3D24D" w14:textId="7CF9A926" w:rsidR="00701D6C" w:rsidRDefault="00274BC6" w:rsidP="00701D6C">
      <w:r>
        <w:t>Overall</w:t>
      </w:r>
      <w:r w:rsidR="00A41274">
        <w:t>,</w:t>
      </w:r>
      <w:r>
        <w:t xml:space="preserve"> there is a lack of specificity in the </w:t>
      </w:r>
      <w:r w:rsidR="008E737E">
        <w:t>G</w:t>
      </w:r>
      <w:r>
        <w:t xml:space="preserve">uideline literature about which </w:t>
      </w:r>
      <w:r w:rsidRPr="00595884">
        <w:t xml:space="preserve">chemicals </w:t>
      </w:r>
      <w:r>
        <w:t>harmful to human health might be</w:t>
      </w:r>
      <w:r w:rsidRPr="00595884">
        <w:t xml:space="preserve"> present at concentrations </w:t>
      </w:r>
      <w:r>
        <w:t xml:space="preserve">of concern </w:t>
      </w:r>
      <w:r w:rsidRPr="00595884">
        <w:t>in recreational waters and the sources</w:t>
      </w:r>
      <w:r>
        <w:t xml:space="preserve"> of such chemicals.</w:t>
      </w:r>
    </w:p>
    <w:p w14:paraId="54F90F94" w14:textId="70CED46E" w:rsidR="009B14B1" w:rsidRPr="002032E5" w:rsidRDefault="00274BC6" w:rsidP="009B14B1">
      <w:pPr>
        <w:pStyle w:val="Caption"/>
        <w:rPr>
          <w:iCs/>
        </w:rPr>
      </w:pPr>
      <w:bookmarkStart w:id="330" w:name="_Ref77090410"/>
      <w:bookmarkStart w:id="331" w:name="_Toc106811176"/>
      <w:r>
        <w:t xml:space="preserve">Table </w:t>
      </w:r>
      <w:r w:rsidR="003132AF">
        <w:fldChar w:fldCharType="begin"/>
      </w:r>
      <w:r w:rsidR="003132AF">
        <w:instrText xml:space="preserve"> STYLEREF 1 \s </w:instrText>
      </w:r>
      <w:r w:rsidR="003132AF">
        <w:fldChar w:fldCharType="separate"/>
      </w:r>
      <w:r w:rsidR="003132AF">
        <w:rPr>
          <w:noProof/>
        </w:rPr>
        <w:t>6</w:t>
      </w:r>
      <w:r w:rsidR="003132AF">
        <w:rPr>
          <w:noProof/>
        </w:rPr>
        <w:fldChar w:fldCharType="end"/>
      </w:r>
      <w:r w:rsidR="00CE064A">
        <w:noBreakHyphen/>
      </w:r>
      <w:r w:rsidR="003132AF">
        <w:fldChar w:fldCharType="begin"/>
      </w:r>
      <w:r w:rsidR="003132AF">
        <w:instrText xml:space="preserve"> SEQ Table \* ARABIC \s 1 </w:instrText>
      </w:r>
      <w:r w:rsidR="003132AF">
        <w:fldChar w:fldCharType="separate"/>
      </w:r>
      <w:r w:rsidR="003132AF">
        <w:rPr>
          <w:noProof/>
        </w:rPr>
        <w:t>2</w:t>
      </w:r>
      <w:r w:rsidR="003132AF">
        <w:rPr>
          <w:noProof/>
        </w:rPr>
        <w:fldChar w:fldCharType="end"/>
      </w:r>
      <w:bookmarkEnd w:id="330"/>
      <w:r>
        <w:t xml:space="preserve">. </w:t>
      </w:r>
      <w:r w:rsidRPr="002032E5">
        <w:t>Summary of guideline review results for Secondary Research Question 1: What chemicals (that potentially pose a risk to humans) are present at elevated concentrations in recreational waters and what are their sources?</w:t>
      </w:r>
      <w:bookmarkEnd w:id="331"/>
    </w:p>
    <w:tbl>
      <w:tblPr>
        <w:tblW w:w="5000" w:type="pct"/>
        <w:tblBorders>
          <w:top w:val="single" w:sz="8" w:space="0" w:color="B5DDDC"/>
          <w:left w:val="single" w:sz="8" w:space="0" w:color="B5DDDC"/>
          <w:bottom w:val="single" w:sz="8" w:space="0" w:color="B5DDDC"/>
          <w:right w:val="single" w:sz="8" w:space="0" w:color="B5DDDC"/>
          <w:insideH w:val="single" w:sz="8" w:space="0" w:color="B5DDDC"/>
          <w:insideV w:val="single" w:sz="8" w:space="0" w:color="B5DDDC"/>
        </w:tblBorders>
        <w:tblLook w:val="04A0" w:firstRow="1" w:lastRow="0" w:firstColumn="1" w:lastColumn="0" w:noHBand="0" w:noVBand="1"/>
      </w:tblPr>
      <w:tblGrid>
        <w:gridCol w:w="1549"/>
        <w:gridCol w:w="6084"/>
      </w:tblGrid>
      <w:tr w:rsidR="004254E5" w14:paraId="7EDFA9E5" w14:textId="77777777" w:rsidTr="009B14B1">
        <w:trPr>
          <w:trHeight w:hRule="exact" w:val="587"/>
          <w:tblHeader/>
        </w:trPr>
        <w:tc>
          <w:tcPr>
            <w:tcW w:w="1015" w:type="pct"/>
            <w:shd w:val="clear" w:color="auto" w:fill="B5DDDC"/>
            <w:vAlign w:val="center"/>
            <w:hideMark/>
          </w:tcPr>
          <w:p w14:paraId="71D78FC5" w14:textId="77777777" w:rsidR="009B14B1" w:rsidRPr="0068024B" w:rsidRDefault="00274BC6" w:rsidP="001E4CD0">
            <w:pPr>
              <w:spacing w:before="0" w:after="0" w:line="240" w:lineRule="auto"/>
              <w:rPr>
                <w:rFonts w:ascii="Calibri" w:hAnsi="Calibri" w:cs="Calibri"/>
                <w:b/>
                <w:bCs/>
                <w:color w:val="008000"/>
                <w:sz w:val="16"/>
                <w:szCs w:val="16"/>
              </w:rPr>
            </w:pPr>
            <w:r w:rsidRPr="0068024B">
              <w:rPr>
                <w:rFonts w:ascii="Calibri" w:hAnsi="Calibri" w:cs="Calibri"/>
                <w:b/>
                <w:bCs/>
                <w:color w:val="008000"/>
                <w:sz w:val="16"/>
                <w:szCs w:val="16"/>
              </w:rPr>
              <w:t>Guideline</w:t>
            </w:r>
          </w:p>
        </w:tc>
        <w:tc>
          <w:tcPr>
            <w:tcW w:w="3985" w:type="pct"/>
            <w:shd w:val="clear" w:color="000000" w:fill="B5DDDC"/>
            <w:vAlign w:val="center"/>
            <w:hideMark/>
          </w:tcPr>
          <w:p w14:paraId="75B36968" w14:textId="77777777" w:rsidR="009B14B1" w:rsidRPr="002032E5" w:rsidRDefault="00274BC6" w:rsidP="001E4CD0">
            <w:pPr>
              <w:spacing w:before="0" w:after="0" w:line="240" w:lineRule="auto"/>
              <w:rPr>
                <w:rFonts w:ascii="Calibri" w:hAnsi="Calibri" w:cs="Calibri"/>
                <w:b/>
                <w:bCs/>
                <w:color w:val="008000"/>
                <w:sz w:val="16"/>
                <w:szCs w:val="16"/>
              </w:rPr>
            </w:pPr>
            <w:r w:rsidRPr="002032E5">
              <w:rPr>
                <w:rFonts w:ascii="Calibri" w:hAnsi="Calibri" w:cs="Calibri"/>
                <w:b/>
                <w:bCs/>
                <w:color w:val="008000"/>
                <w:sz w:val="16"/>
                <w:szCs w:val="16"/>
              </w:rPr>
              <w:t>Summary</w:t>
            </w:r>
          </w:p>
        </w:tc>
      </w:tr>
      <w:tr w:rsidR="004254E5" w14:paraId="06A69E0E" w14:textId="77777777" w:rsidTr="009B14B1">
        <w:tc>
          <w:tcPr>
            <w:tcW w:w="1015" w:type="pct"/>
            <w:shd w:val="clear" w:color="000000" w:fill="D6EAEB"/>
            <w:vAlign w:val="center"/>
            <w:hideMark/>
          </w:tcPr>
          <w:p w14:paraId="6585C4C7" w14:textId="77777777" w:rsidR="009B14B1" w:rsidRPr="0068024B" w:rsidRDefault="00274BC6" w:rsidP="001E4CD0">
            <w:pPr>
              <w:spacing w:before="0" w:after="0" w:line="240" w:lineRule="auto"/>
              <w:rPr>
                <w:rFonts w:ascii="Calibri" w:hAnsi="Calibri" w:cs="Calibri"/>
                <w:b/>
                <w:bCs/>
                <w:color w:val="000000"/>
                <w:sz w:val="16"/>
                <w:szCs w:val="16"/>
              </w:rPr>
            </w:pPr>
            <w:r w:rsidRPr="0068024B">
              <w:rPr>
                <w:rFonts w:ascii="Calibri" w:hAnsi="Calibri" w:cs="Calibri"/>
                <w:b/>
                <w:bCs/>
                <w:color w:val="008000"/>
                <w:sz w:val="16"/>
                <w:szCs w:val="16"/>
              </w:rPr>
              <w:t>G2: Canadian 2012 RWQ Guidelines</w:t>
            </w:r>
          </w:p>
        </w:tc>
        <w:tc>
          <w:tcPr>
            <w:tcW w:w="3985" w:type="pct"/>
            <w:vAlign w:val="center"/>
          </w:tcPr>
          <w:p w14:paraId="57DAF99B" w14:textId="77777777" w:rsidR="009B14B1" w:rsidRPr="002032E5" w:rsidRDefault="00274BC6" w:rsidP="009B14B1">
            <w:pPr>
              <w:pStyle w:val="ListParagraph"/>
              <w:numPr>
                <w:ilvl w:val="0"/>
                <w:numId w:val="27"/>
              </w:numPr>
              <w:spacing w:after="0" w:line="240" w:lineRule="auto"/>
              <w:rPr>
                <w:rFonts w:ascii="Calibri" w:hAnsi="Calibri" w:cs="Calibri"/>
                <w:sz w:val="16"/>
                <w:szCs w:val="16"/>
                <w:lang w:val="en-AU"/>
              </w:rPr>
            </w:pPr>
            <w:r w:rsidRPr="002032E5">
              <w:rPr>
                <w:rFonts w:ascii="Calibri" w:hAnsi="Calibri" w:cs="Calibri"/>
                <w:sz w:val="16"/>
                <w:szCs w:val="16"/>
                <w:lang w:val="en-AU"/>
              </w:rPr>
              <w:t>No data</w:t>
            </w:r>
          </w:p>
        </w:tc>
      </w:tr>
      <w:tr w:rsidR="004254E5" w14:paraId="7D1101E9" w14:textId="77777777" w:rsidTr="009B14B1">
        <w:tc>
          <w:tcPr>
            <w:tcW w:w="1015" w:type="pct"/>
            <w:shd w:val="clear" w:color="000000" w:fill="D6EAEB"/>
            <w:vAlign w:val="center"/>
          </w:tcPr>
          <w:p w14:paraId="410A4465" w14:textId="77777777" w:rsidR="009B14B1" w:rsidRPr="0068024B" w:rsidRDefault="00274BC6" w:rsidP="001E4CD0">
            <w:pPr>
              <w:spacing w:before="0" w:after="0" w:line="240" w:lineRule="auto"/>
              <w:rPr>
                <w:rFonts w:ascii="Calibri" w:hAnsi="Calibri" w:cs="Calibri"/>
                <w:b/>
                <w:bCs/>
                <w:color w:val="008000"/>
                <w:sz w:val="16"/>
                <w:szCs w:val="16"/>
              </w:rPr>
            </w:pPr>
            <w:r w:rsidRPr="0068024B">
              <w:rPr>
                <w:rFonts w:ascii="Calibri" w:hAnsi="Calibri" w:cs="Calibri"/>
                <w:b/>
                <w:bCs/>
                <w:color w:val="008000"/>
                <w:sz w:val="16"/>
                <w:szCs w:val="16"/>
              </w:rPr>
              <w:t>G3: HEPA 2020 Environmental Management Plan*</w:t>
            </w:r>
          </w:p>
        </w:tc>
        <w:tc>
          <w:tcPr>
            <w:tcW w:w="3985" w:type="pct"/>
            <w:vAlign w:val="center"/>
          </w:tcPr>
          <w:p w14:paraId="41EEB134" w14:textId="77777777" w:rsidR="009B14B1" w:rsidRPr="002032E5" w:rsidRDefault="00274BC6" w:rsidP="009B14B1">
            <w:pPr>
              <w:pStyle w:val="ListParagraph"/>
              <w:numPr>
                <w:ilvl w:val="0"/>
                <w:numId w:val="27"/>
              </w:numPr>
              <w:spacing w:after="0" w:line="240" w:lineRule="auto"/>
              <w:rPr>
                <w:rFonts w:ascii="Calibri" w:hAnsi="Calibri" w:cs="Calibri"/>
                <w:sz w:val="16"/>
                <w:szCs w:val="16"/>
                <w:lang w:val="en-AU"/>
              </w:rPr>
            </w:pPr>
            <w:r w:rsidRPr="002032E5">
              <w:rPr>
                <w:rFonts w:ascii="Calibri" w:hAnsi="Calibri" w:cs="Calibri"/>
                <w:sz w:val="16"/>
                <w:szCs w:val="16"/>
                <w:lang w:val="en-AU"/>
              </w:rPr>
              <w:t>No data on concentrations in recreational waters but provides useful information on potential sources.  Tables B1 and B2 in Appendix B of the document provide lists of activities associated with PFAS contamination due to fire risk (Table B1) and with PFAS contamination more broadly (B2).  These tables provide guidance on potential sources of PFAS in catchment areas of recreational water bodies and may be useful for guiding monitoring and risk management planning.</w:t>
            </w:r>
          </w:p>
        </w:tc>
      </w:tr>
      <w:tr w:rsidR="004254E5" w14:paraId="4DE677CA" w14:textId="77777777" w:rsidTr="009B14B1">
        <w:tc>
          <w:tcPr>
            <w:tcW w:w="1015" w:type="pct"/>
            <w:shd w:val="clear" w:color="000000" w:fill="D6EAEB"/>
            <w:vAlign w:val="center"/>
          </w:tcPr>
          <w:p w14:paraId="108348AD" w14:textId="77777777" w:rsidR="009B14B1" w:rsidRPr="0068024B" w:rsidRDefault="00274BC6" w:rsidP="001E4CD0">
            <w:pPr>
              <w:spacing w:before="0" w:after="0" w:line="240" w:lineRule="auto"/>
              <w:rPr>
                <w:rFonts w:ascii="Calibri" w:hAnsi="Calibri" w:cs="Calibri"/>
                <w:b/>
                <w:bCs/>
                <w:color w:val="008000"/>
                <w:sz w:val="16"/>
                <w:szCs w:val="16"/>
              </w:rPr>
            </w:pPr>
            <w:r w:rsidRPr="0068024B">
              <w:rPr>
                <w:rFonts w:ascii="Calibri" w:hAnsi="Calibri" w:cs="Calibri"/>
                <w:b/>
                <w:bCs/>
                <w:color w:val="008000"/>
                <w:sz w:val="16"/>
                <w:szCs w:val="16"/>
              </w:rPr>
              <w:t>G5: AGWR Phase 1 2006</w:t>
            </w:r>
          </w:p>
        </w:tc>
        <w:tc>
          <w:tcPr>
            <w:tcW w:w="3985" w:type="pct"/>
            <w:vAlign w:val="center"/>
          </w:tcPr>
          <w:p w14:paraId="1787C03C" w14:textId="77777777" w:rsidR="009B14B1" w:rsidRPr="002032E5" w:rsidRDefault="00274BC6" w:rsidP="009B14B1">
            <w:pPr>
              <w:pStyle w:val="ListParagraph"/>
              <w:numPr>
                <w:ilvl w:val="0"/>
                <w:numId w:val="27"/>
              </w:numPr>
              <w:spacing w:after="0" w:line="240" w:lineRule="auto"/>
              <w:rPr>
                <w:rFonts w:ascii="Calibri" w:hAnsi="Calibri" w:cs="Calibri"/>
                <w:sz w:val="16"/>
                <w:szCs w:val="16"/>
                <w:lang w:val="en-AU"/>
              </w:rPr>
            </w:pPr>
            <w:r w:rsidRPr="002032E5">
              <w:rPr>
                <w:rFonts w:ascii="Calibri" w:hAnsi="Calibri" w:cs="Calibri"/>
                <w:sz w:val="16"/>
                <w:szCs w:val="16"/>
                <w:lang w:val="en-AU"/>
              </w:rPr>
              <w:t>“Emerging chemicals and complex mixtures" are addressed on p. 110 of the document. However, the discussion is brief and quite dated.</w:t>
            </w:r>
          </w:p>
        </w:tc>
      </w:tr>
      <w:tr w:rsidR="004254E5" w14:paraId="077FBC14" w14:textId="77777777" w:rsidTr="009B14B1">
        <w:tc>
          <w:tcPr>
            <w:tcW w:w="1015" w:type="pct"/>
            <w:shd w:val="clear" w:color="000000" w:fill="D6EAEB"/>
            <w:vAlign w:val="center"/>
          </w:tcPr>
          <w:p w14:paraId="1D8E70DA" w14:textId="77777777" w:rsidR="009B14B1" w:rsidRPr="0068024B" w:rsidRDefault="00274BC6" w:rsidP="001E4CD0">
            <w:pPr>
              <w:spacing w:before="0" w:after="0" w:line="240" w:lineRule="auto"/>
              <w:rPr>
                <w:rFonts w:ascii="Calibri" w:hAnsi="Calibri" w:cs="Calibri"/>
                <w:b/>
                <w:bCs/>
                <w:color w:val="008000"/>
                <w:sz w:val="16"/>
                <w:szCs w:val="16"/>
              </w:rPr>
            </w:pPr>
            <w:r w:rsidRPr="0068024B">
              <w:rPr>
                <w:rFonts w:ascii="Calibri" w:hAnsi="Calibri" w:cs="Calibri"/>
                <w:b/>
                <w:bCs/>
                <w:color w:val="008000"/>
                <w:sz w:val="16"/>
                <w:szCs w:val="16"/>
              </w:rPr>
              <w:t>G6: AGWR Phase 2 2008*</w:t>
            </w:r>
          </w:p>
        </w:tc>
        <w:tc>
          <w:tcPr>
            <w:tcW w:w="3985" w:type="pct"/>
            <w:vAlign w:val="center"/>
          </w:tcPr>
          <w:p w14:paraId="7C8C2752" w14:textId="77777777" w:rsidR="009B14B1" w:rsidRPr="00406DD2" w:rsidRDefault="00274BC6" w:rsidP="009B14B1">
            <w:pPr>
              <w:pStyle w:val="ListParagraph"/>
              <w:numPr>
                <w:ilvl w:val="0"/>
                <w:numId w:val="27"/>
              </w:numPr>
              <w:spacing w:after="0" w:line="240" w:lineRule="auto"/>
              <w:rPr>
                <w:rFonts w:ascii="Calibri" w:hAnsi="Calibri" w:cs="Calibri"/>
                <w:sz w:val="16"/>
                <w:szCs w:val="16"/>
              </w:rPr>
            </w:pPr>
            <w:r w:rsidRPr="00406DD2">
              <w:rPr>
                <w:rFonts w:ascii="Calibri" w:hAnsi="Calibri" w:cs="Calibri"/>
                <w:sz w:val="16"/>
                <w:szCs w:val="16"/>
              </w:rPr>
              <w:t xml:space="preserve">States (p. 42) that data (not cited) for organic chemicals indicate exceedances in recycled water for </w:t>
            </w:r>
            <w:proofErr w:type="gramStart"/>
            <w:r w:rsidRPr="00406DD2">
              <w:rPr>
                <w:rFonts w:ascii="Calibri" w:hAnsi="Calibri" w:cs="Calibri"/>
                <w:sz w:val="16"/>
                <w:szCs w:val="16"/>
              </w:rPr>
              <w:t>a number of</w:t>
            </w:r>
            <w:proofErr w:type="gramEnd"/>
            <w:r w:rsidRPr="00406DD2">
              <w:rPr>
                <w:rFonts w:ascii="Calibri" w:hAnsi="Calibri" w:cs="Calibri"/>
                <w:sz w:val="16"/>
                <w:szCs w:val="16"/>
              </w:rPr>
              <w:t xml:space="preserve"> disinfection by-products, pesticides and trace organics. The largest exceedances were for:</w:t>
            </w:r>
          </w:p>
          <w:p w14:paraId="27CD639C" w14:textId="77777777" w:rsidR="009B14B1" w:rsidRPr="002032E5" w:rsidRDefault="00274BC6" w:rsidP="009B14B1">
            <w:pPr>
              <w:pStyle w:val="ListParagraph"/>
              <w:numPr>
                <w:ilvl w:val="1"/>
                <w:numId w:val="24"/>
              </w:numPr>
              <w:spacing w:after="0" w:line="240" w:lineRule="auto"/>
              <w:rPr>
                <w:rFonts w:ascii="Calibri" w:hAnsi="Calibri" w:cs="Calibri"/>
                <w:sz w:val="16"/>
                <w:szCs w:val="16"/>
                <w:lang w:val="en-AU"/>
              </w:rPr>
            </w:pPr>
            <w:r w:rsidRPr="002032E5">
              <w:rPr>
                <w:rFonts w:ascii="Calibri" w:hAnsi="Calibri" w:cs="Calibri"/>
                <w:sz w:val="16"/>
                <w:szCs w:val="16"/>
                <w:lang w:val="en-AU"/>
              </w:rPr>
              <w:t>Benzo(a)pyrene (PAH</w:t>
            </w:r>
            <w:proofErr w:type="gramStart"/>
            <w:r w:rsidRPr="002032E5">
              <w:rPr>
                <w:rFonts w:ascii="Calibri" w:hAnsi="Calibri" w:cs="Calibri"/>
                <w:sz w:val="16"/>
                <w:szCs w:val="16"/>
                <w:lang w:val="en-AU"/>
              </w:rPr>
              <w:t>)</w:t>
            </w:r>
            <w:r>
              <w:rPr>
                <w:rFonts w:ascii="Calibri" w:hAnsi="Calibri" w:cs="Calibri"/>
                <w:sz w:val="16"/>
                <w:szCs w:val="16"/>
                <w:lang w:val="en-AU"/>
              </w:rPr>
              <w:t>;</w:t>
            </w:r>
            <w:proofErr w:type="gramEnd"/>
          </w:p>
          <w:p w14:paraId="0D732407" w14:textId="77777777" w:rsidR="009B14B1" w:rsidRPr="002032E5" w:rsidRDefault="00274BC6" w:rsidP="009B14B1">
            <w:pPr>
              <w:pStyle w:val="ListParagraph"/>
              <w:numPr>
                <w:ilvl w:val="1"/>
                <w:numId w:val="24"/>
              </w:numPr>
              <w:spacing w:after="0" w:line="240" w:lineRule="auto"/>
              <w:rPr>
                <w:rFonts w:ascii="Calibri" w:hAnsi="Calibri" w:cs="Calibri"/>
                <w:sz w:val="16"/>
                <w:szCs w:val="16"/>
                <w:lang w:val="en-AU"/>
              </w:rPr>
            </w:pPr>
            <w:r w:rsidRPr="002032E5">
              <w:rPr>
                <w:rFonts w:ascii="Calibri" w:hAnsi="Calibri" w:cs="Calibri"/>
                <w:sz w:val="16"/>
                <w:szCs w:val="16"/>
                <w:lang w:val="en-AU"/>
              </w:rPr>
              <w:t>Bromodichloromethane, chloroform and NDMA (disinfection by-products</w:t>
            </w:r>
            <w:proofErr w:type="gramStart"/>
            <w:r w:rsidRPr="002032E5">
              <w:rPr>
                <w:rFonts w:ascii="Calibri" w:hAnsi="Calibri" w:cs="Calibri"/>
                <w:sz w:val="16"/>
                <w:szCs w:val="16"/>
                <w:lang w:val="en-AU"/>
              </w:rPr>
              <w:t>)</w:t>
            </w:r>
            <w:r>
              <w:rPr>
                <w:rFonts w:ascii="Calibri" w:hAnsi="Calibri" w:cs="Calibri"/>
                <w:sz w:val="16"/>
                <w:szCs w:val="16"/>
                <w:lang w:val="en-AU"/>
              </w:rPr>
              <w:t>;</w:t>
            </w:r>
            <w:proofErr w:type="gramEnd"/>
          </w:p>
          <w:p w14:paraId="1539D78B" w14:textId="77777777" w:rsidR="009B14B1" w:rsidRPr="002032E5" w:rsidRDefault="00274BC6" w:rsidP="009B14B1">
            <w:pPr>
              <w:pStyle w:val="ListParagraph"/>
              <w:numPr>
                <w:ilvl w:val="1"/>
                <w:numId w:val="24"/>
              </w:numPr>
              <w:spacing w:after="0" w:line="240" w:lineRule="auto"/>
              <w:rPr>
                <w:rFonts w:ascii="Calibri" w:hAnsi="Calibri" w:cs="Calibri"/>
                <w:sz w:val="16"/>
                <w:szCs w:val="16"/>
                <w:lang w:val="en-AU"/>
              </w:rPr>
            </w:pPr>
            <w:r w:rsidRPr="002032E5">
              <w:rPr>
                <w:rFonts w:ascii="Calibri" w:hAnsi="Calibri" w:cs="Calibri"/>
                <w:sz w:val="16"/>
                <w:szCs w:val="16"/>
                <w:lang w:val="en-AU"/>
              </w:rPr>
              <w:t>Demeton S (pesticide</w:t>
            </w:r>
            <w:proofErr w:type="gramStart"/>
            <w:r w:rsidRPr="002032E5">
              <w:rPr>
                <w:rFonts w:ascii="Calibri" w:hAnsi="Calibri" w:cs="Calibri"/>
                <w:sz w:val="16"/>
                <w:szCs w:val="16"/>
                <w:lang w:val="en-AU"/>
              </w:rPr>
              <w:t>)</w:t>
            </w:r>
            <w:r>
              <w:rPr>
                <w:rFonts w:ascii="Calibri" w:hAnsi="Calibri" w:cs="Calibri"/>
                <w:sz w:val="16"/>
                <w:szCs w:val="16"/>
                <w:lang w:val="en-AU"/>
              </w:rPr>
              <w:t>;</w:t>
            </w:r>
            <w:proofErr w:type="gramEnd"/>
          </w:p>
          <w:p w14:paraId="670EAF68" w14:textId="77777777" w:rsidR="009B14B1" w:rsidRPr="002032E5" w:rsidRDefault="00274BC6" w:rsidP="009B14B1">
            <w:pPr>
              <w:pStyle w:val="ListParagraph"/>
              <w:numPr>
                <w:ilvl w:val="1"/>
                <w:numId w:val="24"/>
              </w:numPr>
              <w:spacing w:after="0" w:line="240" w:lineRule="auto"/>
              <w:rPr>
                <w:rFonts w:ascii="Calibri" w:hAnsi="Calibri" w:cs="Calibri"/>
                <w:sz w:val="16"/>
                <w:szCs w:val="16"/>
                <w:lang w:val="en-AU"/>
              </w:rPr>
            </w:pPr>
            <w:proofErr w:type="spellStart"/>
            <w:r w:rsidRPr="002032E5">
              <w:rPr>
                <w:rFonts w:ascii="Calibri" w:hAnsi="Calibri" w:cs="Calibri"/>
                <w:sz w:val="16"/>
                <w:szCs w:val="16"/>
                <w:lang w:val="en-AU"/>
              </w:rPr>
              <w:t>Diatrizoic</w:t>
            </w:r>
            <w:proofErr w:type="spellEnd"/>
            <w:r w:rsidRPr="002032E5">
              <w:rPr>
                <w:rFonts w:ascii="Calibri" w:hAnsi="Calibri" w:cs="Calibri"/>
                <w:sz w:val="16"/>
                <w:szCs w:val="16"/>
                <w:lang w:val="en-AU"/>
              </w:rPr>
              <w:t xml:space="preserve"> acid (contrast medium</w:t>
            </w:r>
            <w:proofErr w:type="gramStart"/>
            <w:r w:rsidRPr="002032E5">
              <w:rPr>
                <w:rFonts w:ascii="Calibri" w:hAnsi="Calibri" w:cs="Calibri"/>
                <w:sz w:val="16"/>
                <w:szCs w:val="16"/>
                <w:lang w:val="en-AU"/>
              </w:rPr>
              <w:t>)</w:t>
            </w:r>
            <w:r>
              <w:rPr>
                <w:rFonts w:ascii="Calibri" w:hAnsi="Calibri" w:cs="Calibri"/>
                <w:sz w:val="16"/>
                <w:szCs w:val="16"/>
                <w:lang w:val="en-AU"/>
              </w:rPr>
              <w:t>;</w:t>
            </w:r>
            <w:proofErr w:type="gramEnd"/>
          </w:p>
          <w:p w14:paraId="396C26A9" w14:textId="77777777" w:rsidR="009B14B1" w:rsidRPr="002032E5" w:rsidRDefault="00274BC6" w:rsidP="009B14B1">
            <w:pPr>
              <w:pStyle w:val="ListParagraph"/>
              <w:numPr>
                <w:ilvl w:val="1"/>
                <w:numId w:val="24"/>
              </w:numPr>
              <w:spacing w:after="0" w:line="240" w:lineRule="auto"/>
              <w:rPr>
                <w:rFonts w:ascii="Calibri" w:hAnsi="Calibri" w:cs="Calibri"/>
                <w:sz w:val="16"/>
                <w:szCs w:val="16"/>
                <w:lang w:val="en-AU"/>
              </w:rPr>
            </w:pPr>
            <w:r w:rsidRPr="002032E5">
              <w:rPr>
                <w:rFonts w:ascii="Calibri" w:hAnsi="Calibri" w:cs="Calibri"/>
                <w:sz w:val="16"/>
                <w:szCs w:val="16"/>
                <w:lang w:val="en-AU"/>
              </w:rPr>
              <w:t>2,6-Di-tert-butyl-1,4-benzoquinone (antioxidant</w:t>
            </w:r>
            <w:proofErr w:type="gramStart"/>
            <w:r w:rsidRPr="002032E5">
              <w:rPr>
                <w:rFonts w:ascii="Calibri" w:hAnsi="Calibri" w:cs="Calibri"/>
                <w:sz w:val="16"/>
                <w:szCs w:val="16"/>
                <w:lang w:val="en-AU"/>
              </w:rPr>
              <w:t>)</w:t>
            </w:r>
            <w:r>
              <w:rPr>
                <w:rFonts w:ascii="Calibri" w:hAnsi="Calibri" w:cs="Calibri"/>
                <w:sz w:val="16"/>
                <w:szCs w:val="16"/>
                <w:lang w:val="en-AU"/>
              </w:rPr>
              <w:t>;</w:t>
            </w:r>
            <w:proofErr w:type="gramEnd"/>
          </w:p>
          <w:p w14:paraId="0514013B" w14:textId="77777777" w:rsidR="009B14B1" w:rsidRPr="002032E5" w:rsidRDefault="00274BC6" w:rsidP="009B14B1">
            <w:pPr>
              <w:pStyle w:val="ListParagraph"/>
              <w:numPr>
                <w:ilvl w:val="1"/>
                <w:numId w:val="24"/>
              </w:numPr>
              <w:spacing w:after="0" w:line="240" w:lineRule="auto"/>
              <w:rPr>
                <w:rFonts w:ascii="Calibri" w:hAnsi="Calibri" w:cs="Calibri"/>
                <w:sz w:val="16"/>
                <w:szCs w:val="16"/>
                <w:lang w:val="en-AU"/>
              </w:rPr>
            </w:pPr>
            <w:r w:rsidRPr="002032E5">
              <w:rPr>
                <w:rFonts w:ascii="Calibri" w:hAnsi="Calibri" w:cs="Calibri"/>
                <w:sz w:val="16"/>
                <w:szCs w:val="16"/>
                <w:lang w:val="en-AU"/>
              </w:rPr>
              <w:t>5-Methyl-1H-benzotriazole (industrial anticorrosive</w:t>
            </w:r>
            <w:proofErr w:type="gramStart"/>
            <w:r w:rsidRPr="002032E5">
              <w:rPr>
                <w:rFonts w:ascii="Calibri" w:hAnsi="Calibri" w:cs="Calibri"/>
                <w:sz w:val="16"/>
                <w:szCs w:val="16"/>
                <w:lang w:val="en-AU"/>
              </w:rPr>
              <w:t>)</w:t>
            </w:r>
            <w:r>
              <w:rPr>
                <w:rFonts w:ascii="Calibri" w:hAnsi="Calibri" w:cs="Calibri"/>
                <w:sz w:val="16"/>
                <w:szCs w:val="16"/>
                <w:lang w:val="en-AU"/>
              </w:rPr>
              <w:t>;</w:t>
            </w:r>
            <w:proofErr w:type="gramEnd"/>
          </w:p>
          <w:p w14:paraId="6B7FF41F" w14:textId="77777777" w:rsidR="009B14B1" w:rsidRPr="002032E5" w:rsidRDefault="00274BC6" w:rsidP="009B14B1">
            <w:pPr>
              <w:pStyle w:val="ListParagraph"/>
              <w:numPr>
                <w:ilvl w:val="1"/>
                <w:numId w:val="24"/>
              </w:numPr>
              <w:spacing w:after="0" w:line="240" w:lineRule="auto"/>
              <w:rPr>
                <w:rFonts w:ascii="Calibri" w:hAnsi="Calibri" w:cs="Calibri"/>
                <w:sz w:val="16"/>
                <w:szCs w:val="16"/>
                <w:lang w:val="en-AU"/>
              </w:rPr>
            </w:pPr>
            <w:r w:rsidRPr="002032E5">
              <w:rPr>
                <w:rFonts w:ascii="Calibri" w:hAnsi="Calibri" w:cs="Calibri"/>
                <w:sz w:val="16"/>
                <w:szCs w:val="16"/>
                <w:lang w:val="en-AU"/>
              </w:rPr>
              <w:t>Paraxanthine (caffeine metabolite</w:t>
            </w:r>
            <w:proofErr w:type="gramStart"/>
            <w:r w:rsidRPr="002032E5">
              <w:rPr>
                <w:rFonts w:ascii="Calibri" w:hAnsi="Calibri" w:cs="Calibri"/>
                <w:sz w:val="16"/>
                <w:szCs w:val="16"/>
                <w:lang w:val="en-AU"/>
              </w:rPr>
              <w:t>)</w:t>
            </w:r>
            <w:r>
              <w:rPr>
                <w:rFonts w:ascii="Calibri" w:hAnsi="Calibri" w:cs="Calibri"/>
                <w:sz w:val="16"/>
                <w:szCs w:val="16"/>
                <w:lang w:val="en-AU"/>
              </w:rPr>
              <w:t>;</w:t>
            </w:r>
            <w:proofErr w:type="gramEnd"/>
          </w:p>
          <w:p w14:paraId="26C5323D" w14:textId="77777777" w:rsidR="009B14B1" w:rsidRPr="002032E5" w:rsidRDefault="00274BC6" w:rsidP="009B14B1">
            <w:pPr>
              <w:pStyle w:val="ListParagraph"/>
              <w:numPr>
                <w:ilvl w:val="1"/>
                <w:numId w:val="24"/>
              </w:numPr>
              <w:spacing w:after="0" w:line="240" w:lineRule="auto"/>
              <w:rPr>
                <w:rFonts w:ascii="Calibri" w:hAnsi="Calibri" w:cs="Calibri"/>
                <w:sz w:val="16"/>
                <w:szCs w:val="16"/>
                <w:lang w:val="en-AU"/>
              </w:rPr>
            </w:pPr>
            <w:proofErr w:type="spellStart"/>
            <w:r w:rsidRPr="002032E5">
              <w:rPr>
                <w:rFonts w:ascii="Calibri" w:hAnsi="Calibri" w:cs="Calibri"/>
                <w:sz w:val="16"/>
                <w:szCs w:val="16"/>
                <w:lang w:val="en-AU"/>
              </w:rPr>
              <w:t>Propylenedinitrilotetraacetic</w:t>
            </w:r>
            <w:proofErr w:type="spellEnd"/>
            <w:r w:rsidRPr="002032E5">
              <w:rPr>
                <w:rFonts w:ascii="Calibri" w:hAnsi="Calibri" w:cs="Calibri"/>
                <w:sz w:val="16"/>
                <w:szCs w:val="16"/>
                <w:lang w:val="en-AU"/>
              </w:rPr>
              <w:t xml:space="preserve"> acid (PDTA, chelating agent)</w:t>
            </w:r>
          </w:p>
          <w:p w14:paraId="76251411" w14:textId="77777777" w:rsidR="009B14B1" w:rsidRPr="002032E5" w:rsidRDefault="00274BC6" w:rsidP="009B14B1">
            <w:pPr>
              <w:pStyle w:val="ListParagraph"/>
              <w:numPr>
                <w:ilvl w:val="0"/>
                <w:numId w:val="27"/>
              </w:numPr>
              <w:spacing w:after="0" w:line="240" w:lineRule="auto"/>
              <w:rPr>
                <w:rFonts w:ascii="Calibri" w:hAnsi="Calibri" w:cs="Calibri"/>
                <w:sz w:val="16"/>
                <w:szCs w:val="16"/>
                <w:lang w:val="en-AU"/>
              </w:rPr>
            </w:pPr>
            <w:r w:rsidRPr="002032E5">
              <w:rPr>
                <w:rFonts w:ascii="Calibri" w:hAnsi="Calibri" w:cs="Calibri"/>
                <w:sz w:val="16"/>
                <w:szCs w:val="16"/>
                <w:lang w:val="en-AU"/>
              </w:rPr>
              <w:t xml:space="preserve">[Reviewer's note: concentrations of these compounds would </w:t>
            </w:r>
            <w:r>
              <w:rPr>
                <w:rFonts w:ascii="Calibri" w:hAnsi="Calibri" w:cs="Calibri"/>
                <w:sz w:val="16"/>
                <w:szCs w:val="16"/>
                <w:lang w:val="en-AU"/>
              </w:rPr>
              <w:t xml:space="preserve">most likely </w:t>
            </w:r>
            <w:r w:rsidRPr="002032E5">
              <w:rPr>
                <w:rFonts w:ascii="Calibri" w:hAnsi="Calibri" w:cs="Calibri"/>
                <w:sz w:val="16"/>
                <w:szCs w:val="16"/>
                <w:lang w:val="en-AU"/>
              </w:rPr>
              <w:t xml:space="preserve">be diluted 10-fold or more in the receiving waters and </w:t>
            </w:r>
            <w:r>
              <w:rPr>
                <w:rFonts w:ascii="Calibri" w:hAnsi="Calibri" w:cs="Calibri"/>
                <w:sz w:val="16"/>
                <w:szCs w:val="16"/>
                <w:lang w:val="en-AU"/>
              </w:rPr>
              <w:t>it would also be likely that the</w:t>
            </w:r>
            <w:r w:rsidRPr="002032E5">
              <w:rPr>
                <w:rFonts w:ascii="Calibri" w:hAnsi="Calibri" w:cs="Calibri"/>
                <w:sz w:val="16"/>
                <w:szCs w:val="16"/>
                <w:lang w:val="en-AU"/>
              </w:rPr>
              <w:t xml:space="preserve"> recreational water quality guideline would be based on an assumed dose of 10% or less than the drinking water guideline.  Thus, additional safety factors of 100 or more would apply in a recreational water environment]</w:t>
            </w:r>
          </w:p>
        </w:tc>
      </w:tr>
      <w:tr w:rsidR="004254E5" w14:paraId="24A22E8C" w14:textId="77777777" w:rsidTr="009B14B1">
        <w:tc>
          <w:tcPr>
            <w:tcW w:w="1015" w:type="pct"/>
            <w:shd w:val="clear" w:color="000000" w:fill="D6EAEB"/>
            <w:vAlign w:val="center"/>
          </w:tcPr>
          <w:p w14:paraId="4A5EEDF5" w14:textId="77777777" w:rsidR="009B14B1" w:rsidRPr="0068024B" w:rsidRDefault="00274BC6" w:rsidP="001E4CD0">
            <w:pPr>
              <w:spacing w:before="0" w:after="0" w:line="240" w:lineRule="auto"/>
              <w:rPr>
                <w:rFonts w:ascii="Calibri" w:hAnsi="Calibri" w:cs="Calibri"/>
                <w:b/>
                <w:bCs/>
                <w:color w:val="008000"/>
                <w:sz w:val="16"/>
                <w:szCs w:val="16"/>
              </w:rPr>
            </w:pPr>
            <w:r w:rsidRPr="0068024B">
              <w:rPr>
                <w:rFonts w:ascii="Calibri" w:hAnsi="Calibri" w:cs="Calibri"/>
                <w:b/>
                <w:bCs/>
                <w:color w:val="008000"/>
                <w:sz w:val="16"/>
                <w:szCs w:val="16"/>
              </w:rPr>
              <w:t>G9: US EPA 2019 Algal toxins criteria</w:t>
            </w:r>
          </w:p>
        </w:tc>
        <w:tc>
          <w:tcPr>
            <w:tcW w:w="3985" w:type="pct"/>
            <w:vAlign w:val="center"/>
          </w:tcPr>
          <w:p w14:paraId="36DBADAA" w14:textId="77777777" w:rsidR="009B14B1" w:rsidRPr="002032E5" w:rsidRDefault="00274BC6" w:rsidP="009B14B1">
            <w:pPr>
              <w:pStyle w:val="ListParagraph"/>
              <w:numPr>
                <w:ilvl w:val="0"/>
                <w:numId w:val="27"/>
              </w:numPr>
              <w:spacing w:after="0" w:line="240" w:lineRule="auto"/>
              <w:rPr>
                <w:rFonts w:ascii="Calibri" w:hAnsi="Calibri" w:cs="Calibri"/>
                <w:sz w:val="16"/>
                <w:szCs w:val="16"/>
                <w:lang w:val="en-AU"/>
              </w:rPr>
            </w:pPr>
            <w:r w:rsidRPr="002032E5">
              <w:rPr>
                <w:rFonts w:ascii="Calibri" w:hAnsi="Calibri" w:cs="Calibri"/>
                <w:sz w:val="16"/>
                <w:szCs w:val="16"/>
                <w:lang w:val="en-AU"/>
              </w:rPr>
              <w:t>No data</w:t>
            </w:r>
          </w:p>
        </w:tc>
      </w:tr>
      <w:tr w:rsidR="004254E5" w14:paraId="040AC7F0" w14:textId="77777777" w:rsidTr="009B14B1">
        <w:tc>
          <w:tcPr>
            <w:tcW w:w="1015" w:type="pct"/>
            <w:shd w:val="clear" w:color="000000" w:fill="D6EAEB"/>
            <w:vAlign w:val="center"/>
          </w:tcPr>
          <w:p w14:paraId="7CE077E3" w14:textId="77777777" w:rsidR="009B14B1" w:rsidRPr="0068024B" w:rsidRDefault="00274BC6" w:rsidP="001E4CD0">
            <w:pPr>
              <w:spacing w:before="0" w:after="0" w:line="240" w:lineRule="auto"/>
              <w:rPr>
                <w:rFonts w:ascii="Calibri" w:hAnsi="Calibri" w:cs="Calibri"/>
                <w:b/>
                <w:bCs/>
                <w:color w:val="008000"/>
                <w:sz w:val="16"/>
                <w:szCs w:val="16"/>
              </w:rPr>
            </w:pPr>
            <w:r w:rsidRPr="0068024B">
              <w:rPr>
                <w:rFonts w:ascii="Calibri" w:hAnsi="Calibri" w:cs="Calibri"/>
                <w:b/>
                <w:bCs/>
                <w:color w:val="008000"/>
                <w:sz w:val="16"/>
                <w:szCs w:val="16"/>
              </w:rPr>
              <w:t>G10: WHO 2016 Surface Water RA*</w:t>
            </w:r>
          </w:p>
        </w:tc>
        <w:tc>
          <w:tcPr>
            <w:tcW w:w="3985" w:type="pct"/>
            <w:vAlign w:val="center"/>
          </w:tcPr>
          <w:p w14:paraId="4A644729" w14:textId="77777777" w:rsidR="009B14B1" w:rsidRPr="002032E5" w:rsidRDefault="00274BC6" w:rsidP="009B14B1">
            <w:pPr>
              <w:pStyle w:val="ListParagraph"/>
              <w:numPr>
                <w:ilvl w:val="0"/>
                <w:numId w:val="27"/>
              </w:numPr>
              <w:spacing w:after="0" w:line="240" w:lineRule="auto"/>
              <w:rPr>
                <w:rFonts w:ascii="Calibri" w:hAnsi="Calibri" w:cs="Calibri"/>
                <w:sz w:val="16"/>
                <w:szCs w:val="16"/>
                <w:lang w:val="en-AU"/>
              </w:rPr>
            </w:pPr>
            <w:r w:rsidRPr="002032E5">
              <w:rPr>
                <w:rFonts w:ascii="Calibri" w:hAnsi="Calibri" w:cs="Calibri"/>
                <w:sz w:val="16"/>
                <w:szCs w:val="16"/>
                <w:lang w:val="en-AU"/>
              </w:rPr>
              <w:t>Provides general commentary on broad classes of chemicals, with some specific substances listed, and potential sources in surface waters.  Chemical groups discussed include major ions, nutrients, metals, pesticides, natural organic matter, volatile and semi-volatile organic compounds (VOCs and SVOCs)</w:t>
            </w:r>
            <w:r>
              <w:rPr>
                <w:rFonts w:ascii="Calibri" w:hAnsi="Calibri" w:cs="Calibri"/>
                <w:sz w:val="16"/>
                <w:szCs w:val="16"/>
                <w:lang w:val="en-AU"/>
              </w:rPr>
              <w:t>.</w:t>
            </w:r>
          </w:p>
        </w:tc>
      </w:tr>
      <w:tr w:rsidR="004254E5" w14:paraId="1ECA8768" w14:textId="77777777" w:rsidTr="009B14B1">
        <w:tc>
          <w:tcPr>
            <w:tcW w:w="1015" w:type="pct"/>
            <w:shd w:val="clear" w:color="000000" w:fill="D6EAEB"/>
            <w:vAlign w:val="center"/>
          </w:tcPr>
          <w:p w14:paraId="2CA50613" w14:textId="77777777" w:rsidR="009B14B1" w:rsidRPr="0068024B" w:rsidRDefault="00274BC6" w:rsidP="001E4CD0">
            <w:pPr>
              <w:spacing w:before="0" w:after="0" w:line="240" w:lineRule="auto"/>
              <w:rPr>
                <w:rFonts w:ascii="Calibri" w:hAnsi="Calibri" w:cs="Calibri"/>
                <w:b/>
                <w:bCs/>
                <w:color w:val="008000"/>
                <w:sz w:val="16"/>
                <w:szCs w:val="16"/>
              </w:rPr>
            </w:pPr>
            <w:r w:rsidRPr="0068024B">
              <w:rPr>
                <w:rFonts w:ascii="Calibri" w:hAnsi="Calibri" w:cs="Calibri"/>
                <w:b/>
                <w:bCs/>
                <w:color w:val="008000"/>
                <w:sz w:val="16"/>
                <w:szCs w:val="16"/>
              </w:rPr>
              <w:t>G11: NHMRC 2019 PFAS Recreational WQ Guidance</w:t>
            </w:r>
          </w:p>
        </w:tc>
        <w:tc>
          <w:tcPr>
            <w:tcW w:w="3985" w:type="pct"/>
            <w:vAlign w:val="center"/>
          </w:tcPr>
          <w:p w14:paraId="51E6D01B" w14:textId="77777777" w:rsidR="009B14B1" w:rsidRPr="002032E5" w:rsidRDefault="00274BC6" w:rsidP="009B14B1">
            <w:pPr>
              <w:pStyle w:val="ListParagraph"/>
              <w:numPr>
                <w:ilvl w:val="0"/>
                <w:numId w:val="27"/>
              </w:numPr>
              <w:spacing w:after="0" w:line="240" w:lineRule="auto"/>
              <w:rPr>
                <w:rFonts w:ascii="Calibri" w:hAnsi="Calibri" w:cs="Calibri"/>
                <w:sz w:val="16"/>
                <w:szCs w:val="16"/>
                <w:lang w:val="en-AU"/>
              </w:rPr>
            </w:pPr>
            <w:r w:rsidRPr="002032E5">
              <w:rPr>
                <w:rFonts w:ascii="Calibri" w:hAnsi="Calibri" w:cs="Calibri"/>
                <w:sz w:val="16"/>
                <w:szCs w:val="16"/>
                <w:lang w:val="en-AU"/>
              </w:rPr>
              <w:t>No data</w:t>
            </w:r>
          </w:p>
        </w:tc>
      </w:tr>
    </w:tbl>
    <w:p w14:paraId="5AB97453" w14:textId="77777777" w:rsidR="009B14B1" w:rsidRPr="0068024B" w:rsidRDefault="00274BC6" w:rsidP="009B14B1">
      <w:pPr>
        <w:spacing w:before="0" w:line="240" w:lineRule="auto"/>
        <w:rPr>
          <w:rFonts w:asciiTheme="minorHAnsi" w:hAnsiTheme="minorHAnsi" w:cstheme="minorHAnsi"/>
          <w:sz w:val="16"/>
          <w:szCs w:val="16"/>
        </w:rPr>
      </w:pPr>
      <w:r w:rsidRPr="0068024B">
        <w:rPr>
          <w:rFonts w:asciiTheme="minorHAnsi" w:hAnsiTheme="minorHAnsi" w:cstheme="minorHAnsi"/>
          <w:sz w:val="16"/>
          <w:szCs w:val="16"/>
        </w:rPr>
        <w:t>* Guideline documents that contained satisfactory material for consideration in response to the research question.</w:t>
      </w:r>
    </w:p>
    <w:p w14:paraId="1CCEA3D6" w14:textId="77777777" w:rsidR="009B14B1" w:rsidRDefault="009B14B1" w:rsidP="00701D6C"/>
    <w:p w14:paraId="5C396463" w14:textId="1FD1E3F9" w:rsidR="00500224" w:rsidRPr="00595884" w:rsidRDefault="00274BC6" w:rsidP="008341EF">
      <w:pPr>
        <w:spacing w:after="0" w:line="276" w:lineRule="auto"/>
        <w:ind w:left="360"/>
        <w:textAlignment w:val="center"/>
        <w:rPr>
          <w:rFonts w:cs="Arial"/>
          <w:i/>
          <w:iCs/>
          <w:szCs w:val="20"/>
        </w:rPr>
      </w:pPr>
      <w:bookmarkStart w:id="332" w:name="_Hlk72425817"/>
      <w:r w:rsidRPr="00595884">
        <w:rPr>
          <w:rFonts w:cs="Arial"/>
          <w:i/>
          <w:iCs/>
          <w:szCs w:val="20"/>
        </w:rPr>
        <w:t>2. What chemicals are of most concern due to their physicochemical properties which may enhance their uptake via dermal, inhalation or ingestion exposure pathways? How can we adjust exposure assumptions for these chemicals?</w:t>
      </w:r>
    </w:p>
    <w:bookmarkEnd w:id="332"/>
    <w:p w14:paraId="4915D129" w14:textId="6BF45C46" w:rsidR="00001A68" w:rsidRPr="00001A68" w:rsidRDefault="00274BC6" w:rsidP="00001A68">
      <w:r w:rsidRPr="00001A68">
        <w:t xml:space="preserve">Three </w:t>
      </w:r>
      <w:r w:rsidR="00170EF6">
        <w:t>g</w:t>
      </w:r>
      <w:r w:rsidRPr="00001A68">
        <w:t xml:space="preserve">uideline documents contained satisfactory material for consideration in response to secondary research question </w:t>
      </w:r>
      <w:r w:rsidRPr="00595884">
        <w:t>2</w:t>
      </w:r>
      <w:r w:rsidRPr="00001A68">
        <w:t xml:space="preserve"> (G</w:t>
      </w:r>
      <w:r w:rsidRPr="00595884">
        <w:t>5</w:t>
      </w:r>
      <w:r w:rsidRPr="00001A68">
        <w:t>, G</w:t>
      </w:r>
      <w:r w:rsidRPr="00595884">
        <w:t>9</w:t>
      </w:r>
      <w:r w:rsidRPr="00001A68">
        <w:t xml:space="preserve"> and G10, </w:t>
      </w:r>
      <w:r w:rsidR="009B14B1">
        <w:fldChar w:fldCharType="begin"/>
      </w:r>
      <w:r w:rsidR="009B14B1">
        <w:instrText xml:space="preserve"> REF _Ref77090505 \h </w:instrText>
      </w:r>
      <w:r w:rsidR="009B14B1">
        <w:fldChar w:fldCharType="separate"/>
      </w:r>
      <w:r w:rsidR="003132AF">
        <w:t xml:space="preserve">Table </w:t>
      </w:r>
      <w:r w:rsidR="003132AF">
        <w:rPr>
          <w:noProof/>
        </w:rPr>
        <w:t>6</w:t>
      </w:r>
      <w:r w:rsidR="003132AF">
        <w:noBreakHyphen/>
      </w:r>
      <w:r w:rsidR="003132AF">
        <w:rPr>
          <w:noProof/>
        </w:rPr>
        <w:t>3</w:t>
      </w:r>
      <w:r w:rsidR="009B14B1">
        <w:fldChar w:fldCharType="end"/>
      </w:r>
      <w:r w:rsidR="009B14B1">
        <w:t xml:space="preserve">, </w:t>
      </w:r>
      <w:r w:rsidRPr="00001A68">
        <w:fldChar w:fldCharType="begin"/>
      </w:r>
      <w:r w:rsidRPr="00001A68">
        <w:instrText xml:space="preserve"> REF _Ref72146504 \h </w:instrText>
      </w:r>
      <w:r w:rsidRPr="00001A68">
        <w:fldChar w:fldCharType="separate"/>
      </w:r>
      <w:r w:rsidR="003132AF" w:rsidRPr="00595884">
        <w:t xml:space="preserve">Table </w:t>
      </w:r>
      <w:r w:rsidR="003132AF">
        <w:rPr>
          <w:noProof/>
        </w:rPr>
        <w:t>6</w:t>
      </w:r>
      <w:r w:rsidR="003132AF">
        <w:noBreakHyphen/>
      </w:r>
      <w:r w:rsidR="003132AF">
        <w:rPr>
          <w:noProof/>
        </w:rPr>
        <w:t>5</w:t>
      </w:r>
      <w:r w:rsidRPr="00001A68">
        <w:fldChar w:fldCharType="end"/>
      </w:r>
      <w:r w:rsidRPr="00001A68">
        <w:t xml:space="preserve">). </w:t>
      </w:r>
    </w:p>
    <w:p w14:paraId="1CD0397F" w14:textId="76A86810" w:rsidR="00E0719B" w:rsidRPr="00595884" w:rsidRDefault="00274BC6" w:rsidP="00E0719B">
      <w:r w:rsidRPr="001F5444">
        <w:rPr>
          <w:i/>
        </w:rPr>
        <w:t>AGWR Phase 2</w:t>
      </w:r>
      <w:r w:rsidRPr="00595884">
        <w:t xml:space="preserve"> </w:t>
      </w:r>
      <w:r w:rsidRPr="00595884">
        <w:fldChar w:fldCharType="begin"/>
      </w:r>
      <w:r w:rsidR="00F32B4F" w:rsidRPr="00595884">
        <w:instrText xml:space="preserve"> ADDIN ZOTERO_ITEM CSL_CITATION {"citationID":"akjYinKF","properties":{"formattedCitation":"(NRMMC, EPHC, et al., 2008)","plainCitation":"(NRMMC, EPHC, et al., 2008)","noteIndex":0},"citationItems":[{"id":1344,"uris":["http://zotero.org/users/148142/items/HCCZKNFZ"],"uri":["http://zotero.org/users/148142/items/HCCZKNFZ"],"itemData":{"id":1344,"type":"report","event-place":"Canberra, Australia.","publisher":"Natural Resource Management Ministerial Council, Environmental Protection and Heritage Council and National Health and Medical Research Council","publisher-place":"Canberra, Australia.","title":"Australian Guidelines for Water Recycling (Phase 2): Augmentation of Drinking Water Supplies","author":[{"literal":"NRMMC"},{"literal":"EPHC"},{"literal":"NHMRC"}],"issued":{"date-parts":[["2008"]]}}}],"schema":"https://github.com/citation-style-language/schema/raw/master/csl-citation.json"} </w:instrText>
      </w:r>
      <w:r w:rsidRPr="00595884">
        <w:fldChar w:fldCharType="separate"/>
      </w:r>
      <w:r w:rsidRPr="00595884">
        <w:rPr>
          <w:rFonts w:cs="Arial"/>
        </w:rPr>
        <w:t>(NRMMC, EPHC, et al., 2008)</w:t>
      </w:r>
      <w:r w:rsidRPr="00595884">
        <w:fldChar w:fldCharType="end"/>
      </w:r>
      <w:r w:rsidRPr="00595884">
        <w:t xml:space="preserve"> notes that the presence of emerging compounds in treated sewage, such as </w:t>
      </w:r>
      <w:bookmarkStart w:id="333" w:name="_Hlk72425888"/>
      <w:r w:rsidRPr="00595884">
        <w:t>endocrine</w:t>
      </w:r>
      <w:r w:rsidR="004A5157">
        <w:t>-</w:t>
      </w:r>
      <w:r w:rsidRPr="00595884">
        <w:t xml:space="preserve">disrupting chemicals (EDCs), pharmaceuticals, new disinfection by-products </w:t>
      </w:r>
      <w:bookmarkEnd w:id="333"/>
      <w:r w:rsidRPr="00595884">
        <w:t>(e.g. NDMA), and complex mixtures, is less well understood and required further research</w:t>
      </w:r>
      <w:r w:rsidR="0082337B" w:rsidRPr="00595884">
        <w:t>.  Although</w:t>
      </w:r>
      <w:r w:rsidRPr="00595884">
        <w:t xml:space="preserve"> the</w:t>
      </w:r>
      <w:r w:rsidR="004A5157">
        <w:t>se</w:t>
      </w:r>
      <w:r w:rsidRPr="00595884">
        <w:t xml:space="preserve"> guidelines were published in 2006 </w:t>
      </w:r>
      <w:r w:rsidR="0082337B" w:rsidRPr="00595884">
        <w:t>and this</w:t>
      </w:r>
      <w:r w:rsidRPr="00595884">
        <w:t xml:space="preserve"> conclusion may be </w:t>
      </w:r>
      <w:r w:rsidR="0082337B" w:rsidRPr="00595884">
        <w:t>dated, such compounds are known for their persistence through conventional wastewater treatment processes and should be considered for evaluation in recreational water sources influenced by treated wastewater discharges.</w:t>
      </w:r>
    </w:p>
    <w:p w14:paraId="163B1DE7" w14:textId="0A454198" w:rsidR="00A45FFB" w:rsidRPr="00595884" w:rsidRDefault="00274BC6" w:rsidP="00E0719B">
      <w:r w:rsidRPr="00595884">
        <w:t>Aside from certain cyanotoxins</w:t>
      </w:r>
      <w:r w:rsidR="00AF139E">
        <w:t>,</w:t>
      </w:r>
      <w:r w:rsidRPr="00595884">
        <w:t xml:space="preserve"> which are out of </w:t>
      </w:r>
      <w:r w:rsidR="00CE0625" w:rsidRPr="00595884">
        <w:t xml:space="preserve">the </w:t>
      </w:r>
      <w:r w:rsidRPr="00595884">
        <w:t xml:space="preserve">scope of this </w:t>
      </w:r>
      <w:r w:rsidR="00CE0625" w:rsidRPr="00595884">
        <w:t xml:space="preserve">Evidence Evaluation report, </w:t>
      </w:r>
      <w:r w:rsidRPr="00595884">
        <w:t>t</w:t>
      </w:r>
      <w:r w:rsidR="00935C0E" w:rsidRPr="00595884">
        <w:t xml:space="preserve">he </w:t>
      </w:r>
      <w:r w:rsidR="00935C0E" w:rsidRPr="005B6ACD">
        <w:rPr>
          <w:i/>
        </w:rPr>
        <w:t>US EPA Recreational Ambient Water Quality Criteria for Cyanotoxins</w:t>
      </w:r>
      <w:r w:rsidR="00935C0E" w:rsidRPr="00595884">
        <w:t xml:space="preserve"> </w:t>
      </w:r>
      <w:r w:rsidR="00935C0E" w:rsidRPr="00595884">
        <w:fldChar w:fldCharType="begin"/>
      </w:r>
      <w:r w:rsidR="00935C0E" w:rsidRPr="00595884">
        <w:instrText xml:space="preserve"> ADDIN ZOTERO_ITEM CSL_CITATION {"citationID":"73exD4ip","properties":{"formattedCitation":"(US EPA, 2019)","plainCitation":"(US EPA, 2019)","noteIndex":0},"citationItems":[{"id":11715,"uris":["http://zotero.org/users/148142/items/DP8HIETM"],"uri":["http://zotero.org/users/148142/items/DP8HIETM"],"itemData":{"id":11715,"type":"report","publisher":"U.S. Environmental Protection Agency (EPA)","title":"Recommended Human Health Recreational Ambient Water Quality Criteria or Swimming Advisories for Microcystins and Cylindrospermopsin. EPA Document Number: 822-R-19-001, and online at http://www.epa.gov/ncea/efh.","URL":"http://www.epa.gov/ncea/efh.","author":[{"literal":"US EPA"}],"issued":{"date-parts":[["2019",5]]}}}],"schema":"https://github.com/citation-style-language/schema/raw/master/csl-citation.json"} </w:instrText>
      </w:r>
      <w:r w:rsidR="00935C0E" w:rsidRPr="00595884">
        <w:fldChar w:fldCharType="separate"/>
      </w:r>
      <w:r w:rsidR="00935C0E" w:rsidRPr="00595884">
        <w:rPr>
          <w:rFonts w:cs="Arial"/>
        </w:rPr>
        <w:t>(US EPA, 2019)</w:t>
      </w:r>
      <w:r w:rsidR="00935C0E" w:rsidRPr="00595884">
        <w:fldChar w:fldCharType="end"/>
      </w:r>
      <w:r w:rsidRPr="00595884">
        <w:t xml:space="preserve"> does not list any </w:t>
      </w:r>
      <w:r w:rsidR="00CE0625" w:rsidRPr="00595884">
        <w:t xml:space="preserve">other </w:t>
      </w:r>
      <w:r w:rsidRPr="00595884">
        <w:t xml:space="preserve">chemicals </w:t>
      </w:r>
      <w:r w:rsidR="00CE0625" w:rsidRPr="00595884">
        <w:t xml:space="preserve">of concern.  However, the document does </w:t>
      </w:r>
      <w:r w:rsidR="00E0719B" w:rsidRPr="00595884">
        <w:t xml:space="preserve">provide a </w:t>
      </w:r>
      <w:r w:rsidR="00CE0625" w:rsidRPr="00595884">
        <w:t xml:space="preserve">clear </w:t>
      </w:r>
      <w:r w:rsidR="00E0719B" w:rsidRPr="00595884">
        <w:t xml:space="preserve">method for quantifying chemical uptake due to ingestion, inhalation and dermal exposure for water-associated chemical toxins.  Exposure formulas </w:t>
      </w:r>
      <w:r w:rsidR="00897865">
        <w:t>described in the document</w:t>
      </w:r>
      <w:r w:rsidR="00E0719B" w:rsidRPr="00595884">
        <w:t xml:space="preserve"> identify the relevant physicochemical properties for which estimates are required</w:t>
      </w:r>
      <w:r w:rsidR="001A1CF8" w:rsidRPr="00595884">
        <w:t xml:space="preserve"> (details are given in the Technical Report in Section 5.5.2).  Key </w:t>
      </w:r>
      <w:proofErr w:type="spellStart"/>
      <w:r w:rsidR="001A1CF8" w:rsidRPr="00595884">
        <w:t>physico</w:t>
      </w:r>
      <w:proofErr w:type="spellEnd"/>
      <w:r w:rsidR="001A1CF8" w:rsidRPr="00595884">
        <w:t>-chemical properties are:</w:t>
      </w:r>
    </w:p>
    <w:p w14:paraId="08E5A54F" w14:textId="2CF3E5AF" w:rsidR="001A1CF8" w:rsidRPr="00595884" w:rsidRDefault="00274BC6" w:rsidP="00700FDF">
      <w:pPr>
        <w:pStyle w:val="ListParagraph"/>
        <w:numPr>
          <w:ilvl w:val="0"/>
          <w:numId w:val="17"/>
        </w:numPr>
        <w:ind w:left="714" w:hanging="357"/>
        <w:contextualSpacing/>
        <w:rPr>
          <w:lang w:val="en-AU"/>
        </w:rPr>
      </w:pPr>
      <w:r w:rsidRPr="00595884">
        <w:rPr>
          <w:lang w:val="en-AU"/>
        </w:rPr>
        <w:t>Log</w:t>
      </w:r>
      <w:r w:rsidRPr="00595884">
        <w:rPr>
          <w:vertAlign w:val="subscript"/>
          <w:lang w:val="en-AU"/>
        </w:rPr>
        <w:t>10</w:t>
      </w:r>
      <w:r w:rsidRPr="00595884">
        <w:rPr>
          <w:lang w:val="en-AU"/>
        </w:rPr>
        <w:t xml:space="preserve"> </w:t>
      </w:r>
      <w:r w:rsidR="00045472" w:rsidRPr="00595884">
        <w:rPr>
          <w:lang w:val="en-AU"/>
        </w:rPr>
        <w:t>K</w:t>
      </w:r>
      <w:r w:rsidR="00045472" w:rsidRPr="00595884">
        <w:rPr>
          <w:vertAlign w:val="subscript"/>
          <w:lang w:val="en-AU"/>
        </w:rPr>
        <w:t>OW</w:t>
      </w:r>
      <w:r w:rsidRPr="00595884">
        <w:rPr>
          <w:lang w:val="en-AU"/>
        </w:rPr>
        <w:t xml:space="preserve"> = octanol-water partition coefficient (dimensionless)</w:t>
      </w:r>
      <w:r w:rsidR="00045472" w:rsidRPr="00595884">
        <w:rPr>
          <w:lang w:val="en-AU"/>
        </w:rPr>
        <w:t>; and</w:t>
      </w:r>
    </w:p>
    <w:p w14:paraId="6D038ECE" w14:textId="4401EF98" w:rsidR="001A1CF8" w:rsidRPr="00595884" w:rsidRDefault="00274BC6" w:rsidP="00700FDF">
      <w:pPr>
        <w:pStyle w:val="ListParagraph"/>
        <w:numPr>
          <w:ilvl w:val="0"/>
          <w:numId w:val="17"/>
        </w:numPr>
        <w:ind w:left="714" w:hanging="357"/>
        <w:contextualSpacing/>
        <w:rPr>
          <w:lang w:val="en-AU"/>
        </w:rPr>
      </w:pPr>
      <w:r w:rsidRPr="00595884">
        <w:rPr>
          <w:lang w:val="en-AU"/>
        </w:rPr>
        <w:t>MW = molecular weight (g/mole)</w:t>
      </w:r>
      <w:r w:rsidR="00045472" w:rsidRPr="00595884">
        <w:rPr>
          <w:lang w:val="en-AU"/>
        </w:rPr>
        <w:t>.</w:t>
      </w:r>
    </w:p>
    <w:p w14:paraId="41413708" w14:textId="45995E9A" w:rsidR="00A45FFB" w:rsidRPr="00595884" w:rsidRDefault="00274BC6" w:rsidP="00E0719B">
      <w:r w:rsidRPr="00595884">
        <w:t xml:space="preserve">These attributes are used in the determination of dermal permeability which is used in the dermal absorbed dose.  </w:t>
      </w:r>
      <w:r w:rsidR="00897865">
        <w:t>F</w:t>
      </w:r>
      <w:r w:rsidRPr="00595884">
        <w:t>or the cyanotoxin concentration in air</w:t>
      </w:r>
      <w:r w:rsidR="00897865">
        <w:t>, a standard value is used</w:t>
      </w:r>
      <w:r w:rsidRPr="00595884">
        <w:t xml:space="preserve"> </w:t>
      </w:r>
      <w:r w:rsidR="009647B5" w:rsidRPr="00595884">
        <w:t>(citing</w:t>
      </w:r>
      <w:r w:rsidR="00F32B4F" w:rsidRPr="00595884">
        <w:t xml:space="preserve"> </w:t>
      </w:r>
      <w:r w:rsidR="00F32B4F" w:rsidRPr="00595884">
        <w:fldChar w:fldCharType="begin"/>
      </w:r>
      <w:r w:rsidR="00F32B4F" w:rsidRPr="00595884">
        <w:instrText xml:space="preserve"> ADDIN ZOTERO_ITEM CSL_CITATION {"citationID":"Be8P8inh","properties":{"custom":"Cheng, Yue, et al., 2007)","formattedCitation":"Cheng, Yue, et al., 2007)","plainCitation":"Cheng, Yue, et al., 2007)","noteIndex":0},"citationItems":[{"id":17495,"uris":["http://zotero.org/users/148142/items/F6DJRWGF"],"uri":["http://zotero.org/users/148142/items/F6DJRWGF"],"itemData":{"id":17495,"type":"article-journal","abstract":"Toxic blooms of cyanobacteria are ubiquitous in both freshwater and brackishwater sources throughout the world. One class of cyanobacterial toxins, calledmicrocystins, is cyclic peptides. In addition to ingestion and dermal, inhalation is a likelyroute of human exposure. A significant increase in reporting of minor symptoms,particularly respiratory symptoms was associated with exposure to higher levels ofcyanobacteria during recreational activities. Algae cells, bacteria, and waterborne toxinscan be aerosolized by a bubble-bursting process with a wind-driven white-capped wavemechanism. The purposes of this study were to: evaluate sampling and analysis techniquesfor microcystin aerosol, produce aerosol droplets containing microcystin in the laboratory,and deploy the sampling instruments in field studies. A high-volume impactor and an IOMfilter sampler were tried first in the laboratory to collect droplets containing microcystins.Samples were extracted and analyzed for microcystin using an ELISA method. Thelaboratory study showed that cyanotoxins in water could be transferred to air via a bubble-bursting process. The droplets containing microcystins showed a bimodal size distributionwith the mass median aerodynamic diameter (MMAD) of 1.4 and 27.8 μm. The samplingand analysis methods were successfully used in a pilot field study to measure microcystinaerosol in situ.","container-title":"Marine Drugs","DOI":"10.3390/md504136","issue":"4","language":"en","note":"number: 4\npublisher: Molecular Diversity Preservation International","page":"136-150","source":"www.mdpi.com","title":"Characterization of Aerosols Containing Microcystin","volume":"5","author":[{"family":"Cheng","given":"Yung Sung"},{"family":"Yue","given":"Zhou"},{"family":"Irvin","given":"C. Mitch"},{"family":"Kirkpatrick","given":"Barbara"},{"family":"Backer","given":"Lorraine C."}],"issued":{"date-parts":[["2007",12]]}}}],"schema":"https://github.com/citation-style-language/schema/raw/master/csl-citation.json"} </w:instrText>
      </w:r>
      <w:r w:rsidR="00F32B4F" w:rsidRPr="00595884">
        <w:fldChar w:fldCharType="separate"/>
      </w:r>
      <w:r w:rsidR="00F32B4F" w:rsidRPr="00595884">
        <w:rPr>
          <w:rFonts w:cs="Arial"/>
        </w:rPr>
        <w:t>Cheng, Yue, et al., 2007)</w:t>
      </w:r>
      <w:r w:rsidR="00F32B4F" w:rsidRPr="00595884">
        <w:fldChar w:fldCharType="end"/>
      </w:r>
      <w:r w:rsidR="00897865">
        <w:t xml:space="preserve">. </w:t>
      </w:r>
      <w:r w:rsidR="00441B84">
        <w:t>[Reviewers comment: For non-cyanotoxin chemicals, i</w:t>
      </w:r>
      <w:r w:rsidR="009647B5" w:rsidRPr="00595884">
        <w:t xml:space="preserve">t seems likely that chemical specific values could be </w:t>
      </w:r>
      <w:r w:rsidR="00045472" w:rsidRPr="00595884">
        <w:t>determined from</w:t>
      </w:r>
      <w:r w:rsidR="009647B5" w:rsidRPr="00595884">
        <w:t xml:space="preserve"> knowledge of each substances’ Henry’s Law Constant, concentration in water and assumptions on the air-water exchange rate</w:t>
      </w:r>
      <w:r w:rsidR="00441B84">
        <w:t>]</w:t>
      </w:r>
      <w:r w:rsidR="009647B5" w:rsidRPr="00595884">
        <w:t>.</w:t>
      </w:r>
    </w:p>
    <w:p w14:paraId="526C5451" w14:textId="5B998FD3" w:rsidR="004B13EC" w:rsidRPr="00B6714C" w:rsidRDefault="00274BC6" w:rsidP="00595884">
      <w:r w:rsidRPr="00B6714C">
        <w:t xml:space="preserve">The WHO guideline </w:t>
      </w:r>
      <w:r w:rsidRPr="00B6714C">
        <w:rPr>
          <w:i/>
          <w:iCs/>
        </w:rPr>
        <w:t>Protecting surface water for health</w:t>
      </w:r>
      <w:r w:rsidRPr="00B6714C">
        <w:t xml:space="preserve"> </w:t>
      </w:r>
      <w:r w:rsidRPr="00B6714C">
        <w:fldChar w:fldCharType="begin"/>
      </w:r>
      <w:r w:rsidR="00935C0E" w:rsidRPr="00B6714C">
        <w:instrText xml:space="preserve"> ADDIN ZOTERO_ITEM CSL_CITATION {"citationID":"BBT2kwxf","properties":{"formattedCitation":"(WHO, 2016)","plainCitation":"(WHO, 2016)","noteIndex":0},"citationItems":[{"id":6792,"uris":["http://zotero.org/users/148142/items/NSTZ3WFZ"],"uri":["http://zotero.org/users/148142/items/NSTZ3WFZ"],"itemData":{"id":6792,"type":"book","event-place":"Geneva","ISBN":"978-92-4-154815-1","language":"English","publisher":"World Health Organization","publisher-place":"Geneva","source":"Open WorldCat","title":"Protecting surface water for health Identifying, assessing and managing drinking-water quality risks in surface-water catchments","author":[{"literal":"WHO"}],"issued":{"date-parts":[["2016"]]}}}],"schema":"https://github.com/citation-style-language/schema/raw/master/csl-citation.json"} </w:instrText>
      </w:r>
      <w:r w:rsidRPr="00B6714C">
        <w:fldChar w:fldCharType="separate"/>
      </w:r>
      <w:r w:rsidRPr="00B6714C">
        <w:rPr>
          <w:rFonts w:cs="Arial"/>
        </w:rPr>
        <w:t>(WHO, 2016)</w:t>
      </w:r>
      <w:r w:rsidRPr="00B6714C">
        <w:fldChar w:fldCharType="end"/>
      </w:r>
      <w:r w:rsidRPr="00B6714C">
        <w:t xml:space="preserve"> describes key physical properties of VOCs and SVOCs that influence their environmental fate and potential for uptake via dermal, inhalation or ingestion pathways.  WHO notes that:</w:t>
      </w:r>
    </w:p>
    <w:p w14:paraId="13C88651" w14:textId="470FDEBC" w:rsidR="004B13EC" w:rsidRPr="00B6714C" w:rsidRDefault="00274BC6" w:rsidP="00700FDF">
      <w:pPr>
        <w:pStyle w:val="ListParagraph"/>
        <w:numPr>
          <w:ilvl w:val="0"/>
          <w:numId w:val="18"/>
        </w:numPr>
        <w:ind w:left="714" w:hanging="357"/>
        <w:contextualSpacing/>
        <w:rPr>
          <w:lang w:val="en-AU"/>
        </w:rPr>
      </w:pPr>
      <w:r w:rsidRPr="00B6714C">
        <w:rPr>
          <w:lang w:val="en-AU"/>
        </w:rPr>
        <w:t>VOCs are small, often relatively polar, molecules that are sparingly to very soluble in water, with solubilities spanning 100–20 000 mg/</w:t>
      </w:r>
      <w:proofErr w:type="gramStart"/>
      <w:r w:rsidRPr="00B6714C">
        <w:rPr>
          <w:lang w:val="en-AU"/>
        </w:rPr>
        <w:t>L</w:t>
      </w:r>
      <w:r w:rsidR="00595884" w:rsidRPr="00B6714C">
        <w:rPr>
          <w:lang w:val="en-AU"/>
        </w:rPr>
        <w:t>;</w:t>
      </w:r>
      <w:proofErr w:type="gramEnd"/>
      <w:r w:rsidR="00595884" w:rsidRPr="00B6714C">
        <w:rPr>
          <w:lang w:val="en-AU"/>
        </w:rPr>
        <w:t xml:space="preserve"> </w:t>
      </w:r>
    </w:p>
    <w:p w14:paraId="3218CF6B" w14:textId="33723B66" w:rsidR="004B13EC" w:rsidRPr="00B6714C" w:rsidRDefault="00274BC6" w:rsidP="00700FDF">
      <w:pPr>
        <w:pStyle w:val="ListParagraph"/>
        <w:numPr>
          <w:ilvl w:val="0"/>
          <w:numId w:val="18"/>
        </w:numPr>
        <w:ind w:left="714" w:hanging="357"/>
        <w:contextualSpacing/>
        <w:rPr>
          <w:lang w:val="en-AU"/>
        </w:rPr>
      </w:pPr>
      <w:r w:rsidRPr="00B6714C">
        <w:rPr>
          <w:lang w:val="en-AU"/>
        </w:rPr>
        <w:t xml:space="preserve">VOCs are poorly sorbed to solids (due to their low </w:t>
      </w:r>
      <w:r w:rsidR="00552FBF">
        <w:rPr>
          <w:lang w:val="en-AU"/>
        </w:rPr>
        <w:t>l</w:t>
      </w:r>
      <w:r w:rsidRPr="00B6714C">
        <w:rPr>
          <w:lang w:val="en-AU"/>
        </w:rPr>
        <w:t>og K</w:t>
      </w:r>
      <w:r w:rsidR="00595884" w:rsidRPr="00B6714C">
        <w:rPr>
          <w:vertAlign w:val="subscript"/>
          <w:lang w:val="en-AU"/>
        </w:rPr>
        <w:t>OW</w:t>
      </w:r>
      <w:r w:rsidRPr="00B6714C">
        <w:rPr>
          <w:lang w:val="en-AU"/>
        </w:rPr>
        <w:t>) and are primarily</w:t>
      </w:r>
      <w:r w:rsidR="00595884" w:rsidRPr="00B6714C">
        <w:rPr>
          <w:lang w:val="en-AU"/>
        </w:rPr>
        <w:t xml:space="preserve"> </w:t>
      </w:r>
      <w:r w:rsidRPr="00B6714C">
        <w:rPr>
          <w:lang w:val="en-AU"/>
        </w:rPr>
        <w:t xml:space="preserve">attenuated in surface waters by simple volatilisation to the atmosphere. This significantly reduces VOC risks to surface </w:t>
      </w:r>
      <w:proofErr w:type="gramStart"/>
      <w:r w:rsidRPr="00B6714C">
        <w:rPr>
          <w:lang w:val="en-AU"/>
        </w:rPr>
        <w:t>waters</w:t>
      </w:r>
      <w:r w:rsidR="00595884" w:rsidRPr="00B6714C">
        <w:rPr>
          <w:lang w:val="en-AU"/>
        </w:rPr>
        <w:t>;</w:t>
      </w:r>
      <w:proofErr w:type="gramEnd"/>
      <w:r w:rsidR="00595884" w:rsidRPr="00B6714C">
        <w:rPr>
          <w:lang w:val="en-AU"/>
        </w:rPr>
        <w:t xml:space="preserve"> </w:t>
      </w:r>
    </w:p>
    <w:p w14:paraId="51132BBE" w14:textId="7B82DEC6" w:rsidR="004B13EC" w:rsidRPr="00B6714C" w:rsidRDefault="00274BC6" w:rsidP="00700FDF">
      <w:pPr>
        <w:pStyle w:val="ListParagraph"/>
        <w:numPr>
          <w:ilvl w:val="0"/>
          <w:numId w:val="18"/>
        </w:numPr>
        <w:ind w:left="714" w:hanging="357"/>
        <w:contextualSpacing/>
        <w:rPr>
          <w:lang w:val="en-AU"/>
        </w:rPr>
      </w:pPr>
      <w:r w:rsidRPr="00B6714C">
        <w:rPr>
          <w:lang w:val="en-AU"/>
        </w:rPr>
        <w:t xml:space="preserve">In comparison, SVOCs have boiling points higher than water and include PAHs, chloro- and nitro-phenols, anilines, phthalates, halogenated benzenes and </w:t>
      </w:r>
      <w:proofErr w:type="gramStart"/>
      <w:r w:rsidRPr="00B6714C">
        <w:rPr>
          <w:lang w:val="en-AU"/>
        </w:rPr>
        <w:t>ethers;</w:t>
      </w:r>
      <w:proofErr w:type="gramEnd"/>
      <w:r w:rsidRPr="00B6714C">
        <w:rPr>
          <w:lang w:val="en-AU"/>
        </w:rPr>
        <w:t xml:space="preserve"> </w:t>
      </w:r>
    </w:p>
    <w:p w14:paraId="00F46845" w14:textId="66992B6E" w:rsidR="004B13EC" w:rsidRPr="00B6714C" w:rsidRDefault="00274BC6" w:rsidP="00700FDF">
      <w:pPr>
        <w:pStyle w:val="ListParagraph"/>
        <w:numPr>
          <w:ilvl w:val="0"/>
          <w:numId w:val="18"/>
        </w:numPr>
        <w:ind w:left="714" w:hanging="357"/>
        <w:contextualSpacing/>
        <w:rPr>
          <w:lang w:val="en-AU"/>
        </w:rPr>
      </w:pPr>
      <w:r w:rsidRPr="00B6714C">
        <w:rPr>
          <w:lang w:val="en-AU"/>
        </w:rPr>
        <w:t>As a generali</w:t>
      </w:r>
      <w:r w:rsidR="00595884" w:rsidRPr="00B6714C">
        <w:rPr>
          <w:lang w:val="en-AU"/>
        </w:rPr>
        <w:t>s</w:t>
      </w:r>
      <w:r w:rsidRPr="00B6714C">
        <w:rPr>
          <w:lang w:val="en-AU"/>
        </w:rPr>
        <w:t>ation, with increasing molecular weight (size), SVOCs are likely to be less volatile, have lower aqueous solubility, be increasingly hydrophobic (higher Log K</w:t>
      </w:r>
      <w:r w:rsidR="00595884" w:rsidRPr="00B6714C">
        <w:rPr>
          <w:vertAlign w:val="subscript"/>
          <w:lang w:val="en-AU"/>
        </w:rPr>
        <w:t>OW</w:t>
      </w:r>
      <w:r w:rsidRPr="00B6714C">
        <w:rPr>
          <w:lang w:val="en-AU"/>
        </w:rPr>
        <w:t xml:space="preserve">) and prone to greater sorption to sediments. They will also be less bioavailable for </w:t>
      </w:r>
      <w:proofErr w:type="gramStart"/>
      <w:r w:rsidRPr="00B6714C">
        <w:rPr>
          <w:lang w:val="en-AU"/>
        </w:rPr>
        <w:t>biodegradation, and</w:t>
      </w:r>
      <w:proofErr w:type="gramEnd"/>
      <w:r w:rsidRPr="00B6714C">
        <w:rPr>
          <w:lang w:val="en-AU"/>
        </w:rPr>
        <w:t xml:space="preserve"> undergo greater partitioning to biota and to bioaccumulation (i.e. the accumulation of a compound in the tissue of an organism over time). An approximate trigger value of </w:t>
      </w:r>
      <w:r w:rsidR="00552FBF">
        <w:rPr>
          <w:lang w:val="en-AU"/>
        </w:rPr>
        <w:t>l</w:t>
      </w:r>
      <w:r w:rsidRPr="00B6714C">
        <w:rPr>
          <w:lang w:val="en-AU"/>
        </w:rPr>
        <w:t>og K</w:t>
      </w:r>
      <w:r w:rsidR="00595884" w:rsidRPr="00B6714C">
        <w:rPr>
          <w:vertAlign w:val="subscript"/>
          <w:lang w:val="en-AU"/>
        </w:rPr>
        <w:t>OW</w:t>
      </w:r>
      <w:r w:rsidRPr="00B6714C">
        <w:rPr>
          <w:lang w:val="en-AU"/>
        </w:rPr>
        <w:t xml:space="preserve"> &gt;</w:t>
      </w:r>
      <w:r w:rsidR="00897865">
        <w:rPr>
          <w:lang w:val="en-AU"/>
        </w:rPr>
        <w:t xml:space="preserve"> </w:t>
      </w:r>
      <w:r w:rsidRPr="00B6714C">
        <w:rPr>
          <w:lang w:val="en-AU"/>
        </w:rPr>
        <w:t>3 is used to identify compounds that may bioaccumulate or significantly sorb to sediments.</w:t>
      </w:r>
    </w:p>
    <w:p w14:paraId="385CBACE" w14:textId="228F2084" w:rsidR="00241A6B" w:rsidRDefault="00274BC6" w:rsidP="00001A68">
      <w:r>
        <w:t>Although the WHO document provides useful discussion on environmental fate of certain chemical hazards</w:t>
      </w:r>
      <w:r w:rsidR="00552FBF">
        <w:t xml:space="preserve"> in surface waters</w:t>
      </w:r>
      <w:r>
        <w:t xml:space="preserve"> and their likely exposure pathways, the document is largely aimed at a general audience and lacks the technical detail necessary to provide confidence in its conclusions and recommendations.  </w:t>
      </w:r>
      <w:r w:rsidR="00552FBF">
        <w:t>For example, if chemicals with a log K</w:t>
      </w:r>
      <w:r w:rsidR="00552FBF" w:rsidRPr="00552FBF">
        <w:rPr>
          <w:vertAlign w:val="subscript"/>
        </w:rPr>
        <w:t>OW</w:t>
      </w:r>
      <w:r w:rsidR="00552FBF">
        <w:t xml:space="preserve"> &gt; 3 sorb to sediments</w:t>
      </w:r>
      <w:r>
        <w:t>,</w:t>
      </w:r>
      <w:r w:rsidR="00552FBF">
        <w:t xml:space="preserve"> does </w:t>
      </w:r>
      <w:r>
        <w:t>this reduce their concentration in the water column and thus reduce the risk of exposure for recreational water users</w:t>
      </w:r>
      <w:r w:rsidR="001F5444">
        <w:t xml:space="preserve"> (notwithstanding the possibility of resuspension)</w:t>
      </w:r>
      <w:r>
        <w:t xml:space="preserve">?  </w:t>
      </w:r>
    </w:p>
    <w:p w14:paraId="37286397" w14:textId="15A9F8EB" w:rsidR="00560534" w:rsidRDefault="00274BC6" w:rsidP="00001A68">
      <w:r>
        <w:t xml:space="preserve">No specific discussion of methods for </w:t>
      </w:r>
      <w:r w:rsidRPr="00241A6B">
        <w:t>adjust</w:t>
      </w:r>
      <w:r>
        <w:t>ing</w:t>
      </w:r>
      <w:r w:rsidRPr="00241A6B">
        <w:t xml:space="preserve"> exposure assumptions </w:t>
      </w:r>
      <w:r>
        <w:t xml:space="preserve">for persistent, bioaccumulative, mobile or toxic chemicals was identified in the </w:t>
      </w:r>
      <w:r w:rsidR="00170EF6">
        <w:t>g</w:t>
      </w:r>
      <w:r>
        <w:t xml:space="preserve">uideline literature.  Although such information </w:t>
      </w:r>
      <w:r w:rsidR="008626B4">
        <w:t xml:space="preserve">is likely to be abundant in </w:t>
      </w:r>
      <w:r>
        <w:t xml:space="preserve">the broader </w:t>
      </w:r>
      <w:r w:rsidR="008626B4">
        <w:t xml:space="preserve">scientific literature the scope of the current review was limited to </w:t>
      </w:r>
      <w:r w:rsidR="009A0D3B">
        <w:t xml:space="preserve">assessing existing guidance and reviews on </w:t>
      </w:r>
      <w:r w:rsidR="008626B4">
        <w:t>recreational waters.</w:t>
      </w:r>
    </w:p>
    <w:p w14:paraId="77AB3711" w14:textId="76E4F6C8" w:rsidR="009B14B1" w:rsidRPr="002032E5" w:rsidRDefault="00274BC6" w:rsidP="009B14B1">
      <w:pPr>
        <w:pStyle w:val="Caption"/>
        <w:rPr>
          <w:iCs/>
        </w:rPr>
      </w:pPr>
      <w:bookmarkStart w:id="334" w:name="_Ref77090505"/>
      <w:bookmarkStart w:id="335" w:name="_Toc106811177"/>
      <w:r>
        <w:t xml:space="preserve">Table </w:t>
      </w:r>
      <w:r w:rsidR="003132AF">
        <w:fldChar w:fldCharType="begin"/>
      </w:r>
      <w:r w:rsidR="003132AF">
        <w:instrText xml:space="preserve"> STYLEREF 1 \s </w:instrText>
      </w:r>
      <w:r w:rsidR="003132AF">
        <w:fldChar w:fldCharType="separate"/>
      </w:r>
      <w:r w:rsidR="003132AF">
        <w:rPr>
          <w:noProof/>
        </w:rPr>
        <w:t>6</w:t>
      </w:r>
      <w:r w:rsidR="003132AF">
        <w:rPr>
          <w:noProof/>
        </w:rPr>
        <w:fldChar w:fldCharType="end"/>
      </w:r>
      <w:r w:rsidR="00CE064A">
        <w:noBreakHyphen/>
      </w:r>
      <w:r w:rsidR="003132AF">
        <w:fldChar w:fldCharType="begin"/>
      </w:r>
      <w:r w:rsidR="003132AF">
        <w:instrText xml:space="preserve"> SEQ Table \* ARABIC \s 1 </w:instrText>
      </w:r>
      <w:r w:rsidR="003132AF">
        <w:fldChar w:fldCharType="separate"/>
      </w:r>
      <w:r w:rsidR="003132AF">
        <w:rPr>
          <w:noProof/>
        </w:rPr>
        <w:t>3</w:t>
      </w:r>
      <w:r w:rsidR="003132AF">
        <w:rPr>
          <w:noProof/>
        </w:rPr>
        <w:fldChar w:fldCharType="end"/>
      </w:r>
      <w:bookmarkEnd w:id="334"/>
      <w:r>
        <w:t xml:space="preserve">. </w:t>
      </w:r>
      <w:r w:rsidRPr="002032E5">
        <w:t>Summary of guideline review results for Secondary Research Question 2: What chemicals are of most concern due to their physicochemical properties which may enhance their uptake via dermal, inhalation or ingestion exposure pathways? How can we adjust exposure assumptions for these chemicals?</w:t>
      </w:r>
      <w:bookmarkEnd w:id="335"/>
    </w:p>
    <w:tbl>
      <w:tblPr>
        <w:tblW w:w="5000" w:type="pct"/>
        <w:tblBorders>
          <w:top w:val="single" w:sz="8" w:space="0" w:color="B5DDDC"/>
          <w:left w:val="single" w:sz="8" w:space="0" w:color="B5DDDC"/>
          <w:bottom w:val="single" w:sz="8" w:space="0" w:color="B5DDDC"/>
          <w:right w:val="single" w:sz="8" w:space="0" w:color="B5DDDC"/>
          <w:insideH w:val="single" w:sz="8" w:space="0" w:color="B5DDDC"/>
          <w:insideV w:val="single" w:sz="8" w:space="0" w:color="B5DDDC"/>
        </w:tblBorders>
        <w:tblLook w:val="04A0" w:firstRow="1" w:lastRow="0" w:firstColumn="1" w:lastColumn="0" w:noHBand="0" w:noVBand="1"/>
      </w:tblPr>
      <w:tblGrid>
        <w:gridCol w:w="1266"/>
        <w:gridCol w:w="6367"/>
      </w:tblGrid>
      <w:tr w:rsidR="004254E5" w14:paraId="09F713DA" w14:textId="77777777" w:rsidTr="009B14B1">
        <w:trPr>
          <w:trHeight w:hRule="exact" w:val="587"/>
          <w:tblHeader/>
        </w:trPr>
        <w:tc>
          <w:tcPr>
            <w:tcW w:w="829" w:type="pct"/>
            <w:shd w:val="clear" w:color="auto" w:fill="B5DDDC"/>
            <w:vAlign w:val="center"/>
            <w:hideMark/>
          </w:tcPr>
          <w:p w14:paraId="7E6C7D2F" w14:textId="77777777" w:rsidR="009B14B1" w:rsidRPr="0068024B" w:rsidRDefault="00274BC6" w:rsidP="001E4CD0">
            <w:pPr>
              <w:spacing w:before="0" w:after="0" w:line="240" w:lineRule="auto"/>
              <w:rPr>
                <w:rFonts w:ascii="Calibri" w:hAnsi="Calibri" w:cs="Calibri"/>
                <w:b/>
                <w:bCs/>
                <w:color w:val="008000"/>
                <w:sz w:val="16"/>
                <w:szCs w:val="16"/>
              </w:rPr>
            </w:pPr>
            <w:r w:rsidRPr="0068024B">
              <w:rPr>
                <w:rFonts w:ascii="Calibri" w:hAnsi="Calibri" w:cs="Calibri"/>
                <w:b/>
                <w:bCs/>
                <w:color w:val="008000"/>
                <w:sz w:val="16"/>
                <w:szCs w:val="16"/>
              </w:rPr>
              <w:t>Guideline</w:t>
            </w:r>
          </w:p>
        </w:tc>
        <w:tc>
          <w:tcPr>
            <w:tcW w:w="4171" w:type="pct"/>
            <w:shd w:val="clear" w:color="000000" w:fill="B5DDDC"/>
            <w:vAlign w:val="center"/>
            <w:hideMark/>
          </w:tcPr>
          <w:p w14:paraId="230B7793" w14:textId="77777777" w:rsidR="009B14B1" w:rsidRPr="002032E5" w:rsidRDefault="00274BC6" w:rsidP="001E4CD0">
            <w:pPr>
              <w:spacing w:before="0" w:after="0" w:line="240" w:lineRule="auto"/>
              <w:rPr>
                <w:rFonts w:ascii="Calibri" w:hAnsi="Calibri" w:cs="Calibri"/>
                <w:b/>
                <w:bCs/>
                <w:color w:val="008000"/>
                <w:sz w:val="16"/>
                <w:szCs w:val="16"/>
              </w:rPr>
            </w:pPr>
            <w:r w:rsidRPr="002032E5">
              <w:rPr>
                <w:rFonts w:ascii="Calibri" w:hAnsi="Calibri" w:cs="Calibri"/>
                <w:b/>
                <w:bCs/>
                <w:color w:val="008000"/>
                <w:sz w:val="16"/>
                <w:szCs w:val="16"/>
              </w:rPr>
              <w:t>Summary</w:t>
            </w:r>
          </w:p>
        </w:tc>
      </w:tr>
      <w:tr w:rsidR="004254E5" w14:paraId="53C8221A" w14:textId="77777777" w:rsidTr="009B14B1">
        <w:tc>
          <w:tcPr>
            <w:tcW w:w="829" w:type="pct"/>
            <w:shd w:val="clear" w:color="000000" w:fill="D6EAEB"/>
            <w:vAlign w:val="center"/>
            <w:hideMark/>
          </w:tcPr>
          <w:p w14:paraId="66C156AD" w14:textId="77777777" w:rsidR="009B14B1" w:rsidRPr="0068024B" w:rsidRDefault="00274BC6" w:rsidP="001E4CD0">
            <w:pPr>
              <w:spacing w:before="0" w:after="0" w:line="240" w:lineRule="auto"/>
              <w:rPr>
                <w:rFonts w:ascii="Calibri" w:hAnsi="Calibri" w:cs="Calibri"/>
                <w:b/>
                <w:bCs/>
                <w:color w:val="000000"/>
                <w:sz w:val="16"/>
                <w:szCs w:val="16"/>
              </w:rPr>
            </w:pPr>
            <w:r w:rsidRPr="0068024B">
              <w:rPr>
                <w:rFonts w:ascii="Calibri" w:hAnsi="Calibri" w:cs="Calibri"/>
                <w:b/>
                <w:bCs/>
                <w:color w:val="008000"/>
                <w:sz w:val="16"/>
                <w:szCs w:val="16"/>
              </w:rPr>
              <w:t>G2: Canadian 2012 RWQ Guidelines</w:t>
            </w:r>
          </w:p>
        </w:tc>
        <w:tc>
          <w:tcPr>
            <w:tcW w:w="4171" w:type="pct"/>
            <w:vAlign w:val="center"/>
          </w:tcPr>
          <w:p w14:paraId="22272BCD" w14:textId="77777777" w:rsidR="009B14B1" w:rsidRPr="002032E5" w:rsidRDefault="00274BC6" w:rsidP="009B14B1">
            <w:pPr>
              <w:pStyle w:val="ListParagraph"/>
              <w:numPr>
                <w:ilvl w:val="0"/>
                <w:numId w:val="27"/>
              </w:numPr>
              <w:spacing w:after="0" w:line="240" w:lineRule="auto"/>
              <w:rPr>
                <w:rFonts w:ascii="Calibri" w:hAnsi="Calibri" w:cs="Calibri"/>
                <w:sz w:val="16"/>
                <w:szCs w:val="16"/>
                <w:lang w:val="en-AU"/>
              </w:rPr>
            </w:pPr>
            <w:r w:rsidRPr="002032E5">
              <w:rPr>
                <w:rFonts w:ascii="Calibri" w:hAnsi="Calibri" w:cs="Calibri"/>
                <w:sz w:val="16"/>
                <w:szCs w:val="16"/>
                <w:lang w:val="en-AU"/>
              </w:rPr>
              <w:t>No data</w:t>
            </w:r>
          </w:p>
        </w:tc>
      </w:tr>
      <w:tr w:rsidR="004254E5" w14:paraId="27091901" w14:textId="77777777" w:rsidTr="009B14B1">
        <w:tc>
          <w:tcPr>
            <w:tcW w:w="829" w:type="pct"/>
            <w:shd w:val="clear" w:color="000000" w:fill="D6EAEB"/>
            <w:vAlign w:val="center"/>
          </w:tcPr>
          <w:p w14:paraId="3FD115FD" w14:textId="77777777" w:rsidR="009B14B1" w:rsidRPr="0068024B" w:rsidRDefault="00274BC6" w:rsidP="001E4CD0">
            <w:pPr>
              <w:spacing w:before="0" w:after="0" w:line="240" w:lineRule="auto"/>
              <w:rPr>
                <w:rFonts w:ascii="Calibri" w:hAnsi="Calibri" w:cs="Calibri"/>
                <w:b/>
                <w:bCs/>
                <w:color w:val="008000"/>
                <w:sz w:val="16"/>
                <w:szCs w:val="16"/>
              </w:rPr>
            </w:pPr>
            <w:r w:rsidRPr="0068024B">
              <w:rPr>
                <w:rFonts w:ascii="Calibri" w:hAnsi="Calibri" w:cs="Calibri"/>
                <w:b/>
                <w:bCs/>
                <w:color w:val="008000"/>
                <w:sz w:val="16"/>
                <w:szCs w:val="16"/>
              </w:rPr>
              <w:t>G3: HEPA 2020 Environmental Management Plan</w:t>
            </w:r>
          </w:p>
        </w:tc>
        <w:tc>
          <w:tcPr>
            <w:tcW w:w="4171" w:type="pct"/>
            <w:vAlign w:val="center"/>
          </w:tcPr>
          <w:p w14:paraId="53455CE1" w14:textId="77777777" w:rsidR="009B14B1" w:rsidRPr="002032E5" w:rsidRDefault="00274BC6" w:rsidP="009B14B1">
            <w:pPr>
              <w:pStyle w:val="ListParagraph"/>
              <w:numPr>
                <w:ilvl w:val="0"/>
                <w:numId w:val="27"/>
              </w:numPr>
              <w:spacing w:after="0" w:line="240" w:lineRule="auto"/>
              <w:rPr>
                <w:rFonts w:ascii="Calibri" w:hAnsi="Calibri" w:cs="Calibri"/>
                <w:sz w:val="16"/>
                <w:szCs w:val="16"/>
                <w:lang w:val="en-AU"/>
              </w:rPr>
            </w:pPr>
            <w:r w:rsidRPr="002032E5">
              <w:rPr>
                <w:rFonts w:ascii="Calibri" w:hAnsi="Calibri" w:cs="Calibri"/>
                <w:sz w:val="16"/>
                <w:szCs w:val="16"/>
                <w:lang w:val="en-AU"/>
              </w:rPr>
              <w:t>No data</w:t>
            </w:r>
          </w:p>
        </w:tc>
      </w:tr>
      <w:tr w:rsidR="004254E5" w14:paraId="478C79B4" w14:textId="77777777" w:rsidTr="009B14B1">
        <w:tc>
          <w:tcPr>
            <w:tcW w:w="829" w:type="pct"/>
            <w:shd w:val="clear" w:color="000000" w:fill="D6EAEB"/>
            <w:vAlign w:val="center"/>
          </w:tcPr>
          <w:p w14:paraId="2310F91B" w14:textId="77777777" w:rsidR="009B14B1" w:rsidRPr="0068024B" w:rsidRDefault="00274BC6" w:rsidP="001E4CD0">
            <w:pPr>
              <w:spacing w:before="0" w:after="0" w:line="240" w:lineRule="auto"/>
              <w:rPr>
                <w:rFonts w:ascii="Calibri" w:hAnsi="Calibri" w:cs="Calibri"/>
                <w:b/>
                <w:bCs/>
                <w:color w:val="008000"/>
                <w:sz w:val="16"/>
                <w:szCs w:val="16"/>
              </w:rPr>
            </w:pPr>
            <w:r w:rsidRPr="0068024B">
              <w:rPr>
                <w:rFonts w:ascii="Calibri" w:hAnsi="Calibri" w:cs="Calibri"/>
                <w:b/>
                <w:bCs/>
                <w:color w:val="008000"/>
                <w:sz w:val="16"/>
                <w:szCs w:val="16"/>
              </w:rPr>
              <w:t>G5: AGWR Phase 1 2006*</w:t>
            </w:r>
          </w:p>
        </w:tc>
        <w:tc>
          <w:tcPr>
            <w:tcW w:w="4171" w:type="pct"/>
            <w:vAlign w:val="center"/>
          </w:tcPr>
          <w:p w14:paraId="5D314E0F" w14:textId="77777777" w:rsidR="009B14B1" w:rsidRPr="002032E5" w:rsidRDefault="00274BC6" w:rsidP="009B14B1">
            <w:pPr>
              <w:pStyle w:val="ListParagraph"/>
              <w:numPr>
                <w:ilvl w:val="0"/>
                <w:numId w:val="27"/>
              </w:numPr>
              <w:spacing w:after="0" w:line="240" w:lineRule="auto"/>
              <w:rPr>
                <w:rFonts w:ascii="Calibri" w:hAnsi="Calibri" w:cs="Calibri"/>
                <w:sz w:val="16"/>
                <w:szCs w:val="16"/>
                <w:lang w:val="en-AU"/>
              </w:rPr>
            </w:pPr>
            <w:r w:rsidRPr="002032E5">
              <w:rPr>
                <w:rFonts w:ascii="Calibri" w:hAnsi="Calibri" w:cs="Calibri"/>
                <w:sz w:val="16"/>
                <w:szCs w:val="16"/>
                <w:lang w:val="en-AU"/>
              </w:rPr>
              <w:t>AGWR notes that the presence of emerging compounds in treated sewage, such as endocrine-disrupting chemicals (EDCs), pharmaceuticals, new disinfection by-products (e.g. NDMA), and complex mixtures, was less well understood and required further research. [Reviewer's note: The guidelines were published in 2006 and this conclusion is somewhat dated]</w:t>
            </w:r>
            <w:r>
              <w:rPr>
                <w:rFonts w:ascii="Calibri" w:hAnsi="Calibri" w:cs="Calibri"/>
                <w:sz w:val="16"/>
                <w:szCs w:val="16"/>
                <w:lang w:val="en-AU"/>
              </w:rPr>
              <w:t>.</w:t>
            </w:r>
          </w:p>
        </w:tc>
      </w:tr>
      <w:tr w:rsidR="004254E5" w14:paraId="6F4AC43A" w14:textId="77777777" w:rsidTr="009B14B1">
        <w:tc>
          <w:tcPr>
            <w:tcW w:w="829" w:type="pct"/>
            <w:shd w:val="clear" w:color="000000" w:fill="D6EAEB"/>
            <w:vAlign w:val="center"/>
          </w:tcPr>
          <w:p w14:paraId="7325C993" w14:textId="77777777" w:rsidR="009B14B1" w:rsidRPr="0068024B" w:rsidRDefault="00274BC6" w:rsidP="001E4CD0">
            <w:pPr>
              <w:spacing w:before="0" w:after="0" w:line="240" w:lineRule="auto"/>
              <w:rPr>
                <w:rFonts w:ascii="Calibri" w:hAnsi="Calibri" w:cs="Calibri"/>
                <w:b/>
                <w:bCs/>
                <w:color w:val="008000"/>
                <w:sz w:val="16"/>
                <w:szCs w:val="16"/>
              </w:rPr>
            </w:pPr>
            <w:r w:rsidRPr="0068024B">
              <w:rPr>
                <w:rFonts w:ascii="Calibri" w:hAnsi="Calibri" w:cs="Calibri"/>
                <w:b/>
                <w:bCs/>
                <w:color w:val="008000"/>
                <w:sz w:val="16"/>
                <w:szCs w:val="16"/>
              </w:rPr>
              <w:t>G6: AGWR Phase 2 2008</w:t>
            </w:r>
          </w:p>
        </w:tc>
        <w:tc>
          <w:tcPr>
            <w:tcW w:w="4171" w:type="pct"/>
            <w:vAlign w:val="center"/>
          </w:tcPr>
          <w:p w14:paraId="0BB30EC8" w14:textId="77777777" w:rsidR="009B14B1" w:rsidRPr="002032E5" w:rsidRDefault="00274BC6" w:rsidP="009B14B1">
            <w:pPr>
              <w:pStyle w:val="ListParagraph"/>
              <w:numPr>
                <w:ilvl w:val="0"/>
                <w:numId w:val="27"/>
              </w:numPr>
              <w:spacing w:after="0" w:line="240" w:lineRule="auto"/>
              <w:rPr>
                <w:rFonts w:ascii="Calibri" w:hAnsi="Calibri" w:cs="Calibri"/>
                <w:sz w:val="16"/>
                <w:szCs w:val="16"/>
                <w:lang w:val="en-AU"/>
              </w:rPr>
            </w:pPr>
            <w:r w:rsidRPr="002032E5">
              <w:rPr>
                <w:rFonts w:ascii="Calibri" w:hAnsi="Calibri" w:cs="Calibri"/>
                <w:sz w:val="16"/>
                <w:szCs w:val="16"/>
                <w:lang w:val="en-AU"/>
              </w:rPr>
              <w:t>No data</w:t>
            </w:r>
          </w:p>
        </w:tc>
      </w:tr>
      <w:tr w:rsidR="004254E5" w14:paraId="60B21BAE" w14:textId="77777777" w:rsidTr="009B14B1">
        <w:tc>
          <w:tcPr>
            <w:tcW w:w="829" w:type="pct"/>
            <w:shd w:val="clear" w:color="000000" w:fill="D6EAEB"/>
            <w:vAlign w:val="center"/>
          </w:tcPr>
          <w:p w14:paraId="2256E068" w14:textId="77777777" w:rsidR="009B14B1" w:rsidRPr="0068024B" w:rsidRDefault="00274BC6" w:rsidP="001E4CD0">
            <w:pPr>
              <w:spacing w:before="0" w:after="0" w:line="240" w:lineRule="auto"/>
              <w:rPr>
                <w:rFonts w:ascii="Calibri" w:hAnsi="Calibri" w:cs="Calibri"/>
                <w:b/>
                <w:bCs/>
                <w:color w:val="008000"/>
                <w:sz w:val="16"/>
                <w:szCs w:val="16"/>
              </w:rPr>
            </w:pPr>
            <w:r w:rsidRPr="0068024B">
              <w:rPr>
                <w:rFonts w:ascii="Calibri" w:hAnsi="Calibri" w:cs="Calibri"/>
                <w:b/>
                <w:bCs/>
                <w:color w:val="008000"/>
                <w:sz w:val="16"/>
                <w:szCs w:val="16"/>
              </w:rPr>
              <w:t>G9: US EPA 2019 Algal toxins criteria*</w:t>
            </w:r>
          </w:p>
        </w:tc>
        <w:tc>
          <w:tcPr>
            <w:tcW w:w="4171" w:type="pct"/>
            <w:vAlign w:val="center"/>
          </w:tcPr>
          <w:p w14:paraId="79EBA8A8" w14:textId="77777777" w:rsidR="009B14B1" w:rsidRPr="002032E5" w:rsidRDefault="00274BC6" w:rsidP="009B14B1">
            <w:pPr>
              <w:pStyle w:val="ListParagraph"/>
              <w:numPr>
                <w:ilvl w:val="0"/>
                <w:numId w:val="27"/>
              </w:numPr>
              <w:spacing w:after="0" w:line="240" w:lineRule="auto"/>
              <w:rPr>
                <w:rFonts w:ascii="Calibri" w:hAnsi="Calibri" w:cs="Calibri"/>
                <w:sz w:val="16"/>
                <w:szCs w:val="16"/>
                <w:lang w:val="en-AU"/>
              </w:rPr>
            </w:pPr>
            <w:r w:rsidRPr="002032E5">
              <w:rPr>
                <w:rFonts w:ascii="Calibri" w:hAnsi="Calibri" w:cs="Calibri"/>
                <w:sz w:val="16"/>
                <w:szCs w:val="16"/>
                <w:lang w:val="en-AU"/>
              </w:rPr>
              <w:t>The document provides a method for quantifying chemical uptake due to ingestion, inhalation, and dermal exposure for water-associated chemical toxins.  Exposure formulas presented identify the relevant physicochemical properties for which estimates are required.  The octanol-water partition coefficient (K</w:t>
            </w:r>
            <w:r w:rsidRPr="002032E5">
              <w:rPr>
                <w:rFonts w:ascii="Calibri" w:hAnsi="Calibri" w:cs="Calibri"/>
                <w:sz w:val="16"/>
                <w:szCs w:val="16"/>
                <w:vertAlign w:val="subscript"/>
                <w:lang w:val="en-AU"/>
              </w:rPr>
              <w:t>OW</w:t>
            </w:r>
            <w:r w:rsidRPr="002032E5">
              <w:rPr>
                <w:rFonts w:ascii="Calibri" w:hAnsi="Calibri" w:cs="Calibri"/>
                <w:sz w:val="16"/>
                <w:szCs w:val="16"/>
                <w:lang w:val="en-AU"/>
              </w:rPr>
              <w:t>) and molecular weight are used in calculations for dermal absorbed dose.</w:t>
            </w:r>
          </w:p>
        </w:tc>
      </w:tr>
      <w:tr w:rsidR="004254E5" w14:paraId="5D16A842" w14:textId="77777777" w:rsidTr="009B14B1">
        <w:tc>
          <w:tcPr>
            <w:tcW w:w="829" w:type="pct"/>
            <w:shd w:val="clear" w:color="000000" w:fill="D6EAEB"/>
            <w:vAlign w:val="center"/>
          </w:tcPr>
          <w:p w14:paraId="2BDCDCB8" w14:textId="77777777" w:rsidR="009B14B1" w:rsidRPr="0068024B" w:rsidRDefault="00274BC6" w:rsidP="001E4CD0">
            <w:pPr>
              <w:spacing w:before="0" w:after="0" w:line="240" w:lineRule="auto"/>
              <w:rPr>
                <w:rFonts w:ascii="Calibri" w:hAnsi="Calibri" w:cs="Calibri"/>
                <w:b/>
                <w:bCs/>
                <w:color w:val="008000"/>
                <w:sz w:val="16"/>
                <w:szCs w:val="16"/>
              </w:rPr>
            </w:pPr>
            <w:r w:rsidRPr="0068024B">
              <w:rPr>
                <w:rFonts w:ascii="Calibri" w:hAnsi="Calibri" w:cs="Calibri"/>
                <w:b/>
                <w:bCs/>
                <w:color w:val="008000"/>
                <w:sz w:val="16"/>
                <w:szCs w:val="16"/>
              </w:rPr>
              <w:t>G10: WHO 2016 Surface Water RA*</w:t>
            </w:r>
          </w:p>
        </w:tc>
        <w:tc>
          <w:tcPr>
            <w:tcW w:w="4171" w:type="pct"/>
            <w:vAlign w:val="center"/>
          </w:tcPr>
          <w:p w14:paraId="530C5802" w14:textId="77777777" w:rsidR="009B14B1" w:rsidRPr="002032E5" w:rsidRDefault="00274BC6" w:rsidP="009B14B1">
            <w:pPr>
              <w:pStyle w:val="ListParagraph"/>
              <w:numPr>
                <w:ilvl w:val="0"/>
                <w:numId w:val="27"/>
              </w:numPr>
              <w:spacing w:after="0" w:line="240" w:lineRule="auto"/>
              <w:rPr>
                <w:rFonts w:ascii="Calibri" w:hAnsi="Calibri" w:cs="Calibri"/>
                <w:sz w:val="16"/>
                <w:szCs w:val="16"/>
                <w:lang w:val="en-AU"/>
              </w:rPr>
            </w:pPr>
            <w:r w:rsidRPr="002032E5">
              <w:rPr>
                <w:rFonts w:ascii="Calibri" w:hAnsi="Calibri" w:cs="Calibri"/>
                <w:sz w:val="16"/>
                <w:szCs w:val="16"/>
                <w:lang w:val="en-AU"/>
              </w:rPr>
              <w:t>Describes key physical properties of VOCs and SVOCs that influence their environmental fate and potential for uptake via dermal, inhalation or ingestion pathways.</w:t>
            </w:r>
          </w:p>
          <w:p w14:paraId="1B99246A" w14:textId="77777777" w:rsidR="009B14B1" w:rsidRPr="002032E5" w:rsidRDefault="00274BC6" w:rsidP="009B14B1">
            <w:pPr>
              <w:pStyle w:val="ListParagraph"/>
              <w:numPr>
                <w:ilvl w:val="0"/>
                <w:numId w:val="27"/>
              </w:numPr>
              <w:spacing w:after="0" w:line="240" w:lineRule="auto"/>
              <w:rPr>
                <w:rFonts w:ascii="Calibri" w:hAnsi="Calibri" w:cs="Calibri"/>
                <w:sz w:val="16"/>
                <w:szCs w:val="16"/>
                <w:lang w:val="en-AU"/>
              </w:rPr>
            </w:pPr>
            <w:r w:rsidRPr="002032E5">
              <w:rPr>
                <w:rFonts w:ascii="Calibri" w:hAnsi="Calibri" w:cs="Calibri"/>
                <w:sz w:val="16"/>
                <w:szCs w:val="16"/>
                <w:lang w:val="en-AU"/>
              </w:rPr>
              <w:t>Compounds with a log Kow &lt; 3 are more likely to be found in surface waters as above this value, the compounds are likely to sorb to sediments</w:t>
            </w:r>
            <w:r>
              <w:rPr>
                <w:rFonts w:ascii="Calibri" w:hAnsi="Calibri" w:cs="Calibri"/>
                <w:sz w:val="16"/>
                <w:szCs w:val="16"/>
                <w:lang w:val="en-AU"/>
              </w:rPr>
              <w:t>.</w:t>
            </w:r>
          </w:p>
        </w:tc>
      </w:tr>
      <w:tr w:rsidR="004254E5" w14:paraId="7B4438DB" w14:textId="77777777" w:rsidTr="009B14B1">
        <w:tc>
          <w:tcPr>
            <w:tcW w:w="829" w:type="pct"/>
            <w:shd w:val="clear" w:color="000000" w:fill="D6EAEB"/>
            <w:vAlign w:val="center"/>
          </w:tcPr>
          <w:p w14:paraId="4941DD31" w14:textId="77777777" w:rsidR="009B14B1" w:rsidRPr="0068024B" w:rsidRDefault="00274BC6" w:rsidP="001E4CD0">
            <w:pPr>
              <w:spacing w:before="0" w:after="0" w:line="240" w:lineRule="auto"/>
              <w:rPr>
                <w:rFonts w:ascii="Calibri" w:hAnsi="Calibri" w:cs="Calibri"/>
                <w:b/>
                <w:bCs/>
                <w:color w:val="008000"/>
                <w:sz w:val="16"/>
                <w:szCs w:val="16"/>
              </w:rPr>
            </w:pPr>
            <w:r w:rsidRPr="0068024B">
              <w:rPr>
                <w:rFonts w:ascii="Calibri" w:hAnsi="Calibri" w:cs="Calibri"/>
                <w:b/>
                <w:bCs/>
                <w:color w:val="008000"/>
                <w:sz w:val="16"/>
                <w:szCs w:val="16"/>
              </w:rPr>
              <w:t>G11: NHMRC 2019 PFAS Recreational WQ Guidance</w:t>
            </w:r>
          </w:p>
        </w:tc>
        <w:tc>
          <w:tcPr>
            <w:tcW w:w="4171" w:type="pct"/>
            <w:vAlign w:val="center"/>
          </w:tcPr>
          <w:p w14:paraId="7ECF8C3F" w14:textId="77777777" w:rsidR="009B14B1" w:rsidRPr="002032E5" w:rsidRDefault="00274BC6" w:rsidP="009B14B1">
            <w:pPr>
              <w:pStyle w:val="ListParagraph"/>
              <w:numPr>
                <w:ilvl w:val="0"/>
                <w:numId w:val="27"/>
              </w:numPr>
              <w:spacing w:after="0" w:line="240" w:lineRule="auto"/>
              <w:rPr>
                <w:rFonts w:ascii="Calibri" w:hAnsi="Calibri" w:cs="Calibri"/>
                <w:sz w:val="16"/>
                <w:szCs w:val="16"/>
                <w:lang w:val="en-AU"/>
              </w:rPr>
            </w:pPr>
            <w:r w:rsidRPr="002032E5">
              <w:rPr>
                <w:rFonts w:ascii="Calibri" w:hAnsi="Calibri" w:cs="Calibri"/>
                <w:sz w:val="16"/>
                <w:szCs w:val="16"/>
                <w:lang w:val="en-AU"/>
              </w:rPr>
              <w:t>No data</w:t>
            </w:r>
          </w:p>
        </w:tc>
      </w:tr>
    </w:tbl>
    <w:p w14:paraId="03462006" w14:textId="77777777" w:rsidR="009B14B1" w:rsidRPr="0068024B" w:rsidRDefault="00274BC6" w:rsidP="009B14B1">
      <w:pPr>
        <w:spacing w:before="0" w:line="240" w:lineRule="auto"/>
        <w:rPr>
          <w:rFonts w:asciiTheme="minorHAnsi" w:hAnsiTheme="minorHAnsi" w:cstheme="minorHAnsi"/>
          <w:sz w:val="16"/>
          <w:szCs w:val="16"/>
        </w:rPr>
      </w:pPr>
      <w:r w:rsidRPr="0068024B">
        <w:rPr>
          <w:rFonts w:asciiTheme="minorHAnsi" w:hAnsiTheme="minorHAnsi" w:cstheme="minorHAnsi"/>
          <w:sz w:val="16"/>
          <w:szCs w:val="16"/>
        </w:rPr>
        <w:t>* Guideline documents that contained satisfactory material for consideration in response to the research question.</w:t>
      </w:r>
    </w:p>
    <w:p w14:paraId="31FF7BE6" w14:textId="77777777" w:rsidR="009B14B1" w:rsidRDefault="009B14B1" w:rsidP="00001A68"/>
    <w:p w14:paraId="20CD1989" w14:textId="52237A2F" w:rsidR="00500224" w:rsidRPr="00740877" w:rsidRDefault="00274BC6" w:rsidP="004B587F">
      <w:pPr>
        <w:spacing w:after="0" w:line="276" w:lineRule="auto"/>
        <w:ind w:left="360"/>
        <w:textAlignment w:val="center"/>
        <w:rPr>
          <w:rFonts w:cs="Arial"/>
          <w:i/>
          <w:iCs/>
          <w:szCs w:val="20"/>
        </w:rPr>
      </w:pPr>
      <w:r w:rsidRPr="00740877">
        <w:rPr>
          <w:rFonts w:cs="Arial"/>
          <w:i/>
          <w:iCs/>
          <w:szCs w:val="20"/>
        </w:rPr>
        <w:t>3. Should the focus be on “hot spots” i.e. site-specific rather than chemical specific, and/or include periodic toxicity screening of sites to complement chemical testing?</w:t>
      </w:r>
    </w:p>
    <w:p w14:paraId="24FBE704" w14:textId="250D3B44" w:rsidR="00B94030" w:rsidRPr="00B94030" w:rsidRDefault="00274BC6" w:rsidP="002120F7">
      <w:r w:rsidRPr="00B94030">
        <w:t xml:space="preserve">As noted earlier, the body of evidence contained in the </w:t>
      </w:r>
      <w:r w:rsidR="00170EF6">
        <w:t>g</w:t>
      </w:r>
      <w:r w:rsidRPr="00B94030">
        <w:t xml:space="preserve">uideline literature is </w:t>
      </w:r>
      <w:r w:rsidR="00451924">
        <w:t>limited</w:t>
      </w:r>
      <w:r w:rsidR="00451924" w:rsidRPr="00B94030">
        <w:t xml:space="preserve"> </w:t>
      </w:r>
      <w:r w:rsidRPr="00B94030">
        <w:t xml:space="preserve">and this is particularly the case with respect to secondary research question 3.  </w:t>
      </w:r>
      <w:r w:rsidR="001A2867">
        <w:t>Only</w:t>
      </w:r>
      <w:r w:rsidRPr="00B94030">
        <w:t xml:space="preserve"> </w:t>
      </w:r>
      <w:r w:rsidR="001A2867">
        <w:t xml:space="preserve">one </w:t>
      </w:r>
      <w:r w:rsidRPr="00B94030">
        <w:t xml:space="preserve">document contained satisfactory material for consideration </w:t>
      </w:r>
      <w:r w:rsidR="00845720">
        <w:t>of</w:t>
      </w:r>
      <w:r w:rsidRPr="00B94030">
        <w:t xml:space="preserve"> secondary research question 3 (G5, </w:t>
      </w:r>
      <w:r w:rsidR="00CF0477">
        <w:fldChar w:fldCharType="begin"/>
      </w:r>
      <w:r w:rsidR="00CF0477">
        <w:instrText xml:space="preserve"> REF _Ref77090574 \h </w:instrText>
      </w:r>
      <w:r w:rsidR="00CF0477">
        <w:fldChar w:fldCharType="separate"/>
      </w:r>
      <w:r w:rsidR="003132AF">
        <w:t xml:space="preserve">Table </w:t>
      </w:r>
      <w:r w:rsidR="003132AF">
        <w:rPr>
          <w:noProof/>
        </w:rPr>
        <w:t>6</w:t>
      </w:r>
      <w:r w:rsidR="003132AF">
        <w:noBreakHyphen/>
      </w:r>
      <w:r w:rsidR="003132AF">
        <w:rPr>
          <w:noProof/>
        </w:rPr>
        <w:t>4</w:t>
      </w:r>
      <w:r w:rsidR="00CF0477">
        <w:fldChar w:fldCharType="end"/>
      </w:r>
      <w:r w:rsidR="00CF0477">
        <w:t xml:space="preserve">, </w:t>
      </w:r>
      <w:r w:rsidRPr="00B94030">
        <w:fldChar w:fldCharType="begin"/>
      </w:r>
      <w:r w:rsidRPr="00B94030">
        <w:instrText xml:space="preserve"> REF _Ref72146504 \h </w:instrText>
      </w:r>
      <w:r w:rsidRPr="00B94030">
        <w:fldChar w:fldCharType="separate"/>
      </w:r>
      <w:r w:rsidR="003132AF" w:rsidRPr="00595884">
        <w:t xml:space="preserve">Table </w:t>
      </w:r>
      <w:r w:rsidR="003132AF">
        <w:rPr>
          <w:noProof/>
        </w:rPr>
        <w:t>6</w:t>
      </w:r>
      <w:r w:rsidR="003132AF">
        <w:noBreakHyphen/>
      </w:r>
      <w:r w:rsidR="003132AF">
        <w:rPr>
          <w:noProof/>
        </w:rPr>
        <w:t>5</w:t>
      </w:r>
      <w:r w:rsidRPr="00B94030">
        <w:fldChar w:fldCharType="end"/>
      </w:r>
      <w:r w:rsidRPr="00B94030">
        <w:t xml:space="preserve">). </w:t>
      </w:r>
    </w:p>
    <w:p w14:paraId="07900E90" w14:textId="090111C9" w:rsidR="00B94030" w:rsidRPr="00B94030" w:rsidRDefault="00274BC6" w:rsidP="00B94030">
      <w:r w:rsidRPr="00B94030">
        <w:t>In this review we have included lines of evidence from the AGWR</w:t>
      </w:r>
      <w:r w:rsidR="00845720">
        <w:t>. This is because</w:t>
      </w:r>
      <w:r w:rsidRPr="00B94030">
        <w:t xml:space="preserve"> discharges of treated municipal wastewater/recycled water in the catchment area of recreational water bodies are common in Australia and the recycled water constituents are more consistent and better understood than other sources.  </w:t>
      </w:r>
      <w:r w:rsidR="002120F7" w:rsidRPr="009A0D3B">
        <w:t>AGWR</w:t>
      </w:r>
      <w:r w:rsidR="00845720" w:rsidRPr="009A0D3B">
        <w:t xml:space="preserve"> Phase 1</w:t>
      </w:r>
      <w:r w:rsidR="002120F7" w:rsidRPr="00B94030">
        <w:t xml:space="preserve"> </w:t>
      </w:r>
      <w:r w:rsidRPr="00B94030">
        <w:fldChar w:fldCharType="begin"/>
      </w:r>
      <w:r w:rsidRPr="00B94030">
        <w:instrText xml:space="preserve"> ADDIN ZOTERO_ITEM CSL_CITATION {"citationID":"072qcrei","properties":{"custom":"(NRMMC, EPHC, et al., 2006)","formattedCitation":"(NRMMC, EPHC, et al., 2006)","plainCitation":"(NRMMC, EPHC, et al., 2006)","noteIndex":0},"citationItems":[{"id":1341,"uris":["http://zotero.org/users/148142/items/D8JRZKWD"],"uri":["http://zotero.org/users/148142/items/D8JRZKWD"],"itemData":{"id":1341,"type":"report","event-place":"Canberra, Australia","publisher":"Natural Resource Management Ministerial Council. Environment Protection and Heritage Council Australian Health Ministers’ Conference","publisher-place":"Canberra, Australia","title":"Australian Guidelines for Water Recycling: Managing Health and Environmental Risks (Phase 1)","URL":"https://www.nhmrc.gov.au/about-us/publications/australian-guidelines-water-recycling","author":[{"family":"NRMMC","given":""},{"family":"EPHC","given":""},{"family":"AHMC","given":""}],"issued":{"date-parts":[["2006"]]}},"locator":"1","label":"page"}],"schema":"https://github.com/citation-style-language/schema/raw/master/csl-citation.json"} </w:instrText>
      </w:r>
      <w:r w:rsidRPr="00B94030">
        <w:fldChar w:fldCharType="separate"/>
      </w:r>
      <w:r w:rsidRPr="00B94030">
        <w:rPr>
          <w:rFonts w:cs="Arial"/>
        </w:rPr>
        <w:t>(NRMMC, EPHC, et al., 2006)</w:t>
      </w:r>
      <w:r w:rsidRPr="00B94030">
        <w:fldChar w:fldCharType="end"/>
      </w:r>
      <w:r w:rsidRPr="00B94030">
        <w:t xml:space="preserve"> notes that:</w:t>
      </w:r>
    </w:p>
    <w:p w14:paraId="79DED29A" w14:textId="0F8C5473" w:rsidR="00820A42" w:rsidRPr="00B94030" w:rsidRDefault="00274BC6" w:rsidP="00700FDF">
      <w:pPr>
        <w:pStyle w:val="ListParagraph"/>
        <w:numPr>
          <w:ilvl w:val="0"/>
          <w:numId w:val="19"/>
        </w:numPr>
      </w:pPr>
      <w:r w:rsidRPr="00B94030">
        <w:t>T</w:t>
      </w:r>
      <w:r w:rsidR="002120F7" w:rsidRPr="00B94030">
        <w:t>he risk to human health from chemicals in treated sewage is low, providing that preventive measures (e.g. trade-waste programs) are established and maintained to ensure that industrial discharges do not lead to elevated chemical concentrations in recycled water.</w:t>
      </w:r>
    </w:p>
    <w:p w14:paraId="2DCD3827" w14:textId="3B4CDC8D" w:rsidR="00820A42" w:rsidRDefault="00274BC6" w:rsidP="00700FDF">
      <w:pPr>
        <w:pStyle w:val="ListParagraph"/>
        <w:numPr>
          <w:ilvl w:val="0"/>
          <w:numId w:val="18"/>
        </w:numPr>
        <w:ind w:left="714" w:hanging="357"/>
        <w:contextualSpacing/>
        <w:rPr>
          <w:lang w:val="en-AU"/>
        </w:rPr>
      </w:pPr>
      <w:r w:rsidRPr="00B94030">
        <w:rPr>
          <w:lang w:val="en-AU"/>
        </w:rPr>
        <w:t>S</w:t>
      </w:r>
      <w:r w:rsidR="002120F7" w:rsidRPr="00B94030">
        <w:rPr>
          <w:lang w:val="en-AU"/>
        </w:rPr>
        <w:t>mall treatment plants and on-site recycled water treatment plants are more susceptible than large plants to unauthorised discharges of industrial and domestic origin</w:t>
      </w:r>
      <w:r w:rsidRPr="00B94030">
        <w:rPr>
          <w:lang w:val="en-AU"/>
        </w:rPr>
        <w:t xml:space="preserve"> and greater vigilance is required in managing recycled water quality of such plants</w:t>
      </w:r>
      <w:r w:rsidR="002120F7" w:rsidRPr="00B94030">
        <w:rPr>
          <w:lang w:val="en-AU"/>
        </w:rPr>
        <w:t>.</w:t>
      </w:r>
    </w:p>
    <w:p w14:paraId="56913D62" w14:textId="193CA10A" w:rsidR="00845720" w:rsidRDefault="00274BC6" w:rsidP="00740877">
      <w:r>
        <w:t xml:space="preserve">Overall, aside from the </w:t>
      </w:r>
      <w:r w:rsidRPr="009A0D3B">
        <w:t>AGWR</w:t>
      </w:r>
      <w:r>
        <w:rPr>
          <w:i/>
        </w:rPr>
        <w:t xml:space="preserve"> </w:t>
      </w:r>
      <w:r w:rsidRPr="009A0D3B">
        <w:t>Phase 1</w:t>
      </w:r>
      <w:r>
        <w:t xml:space="preserve"> commentary, there was no significant discussion of </w:t>
      </w:r>
      <w:bookmarkStart w:id="336" w:name="_Hlk72234384"/>
      <w:r>
        <w:t>site-specific versus chemical-specific approach</w:t>
      </w:r>
      <w:r w:rsidR="00897865">
        <w:t>es</w:t>
      </w:r>
      <w:r>
        <w:t xml:space="preserve"> </w:t>
      </w:r>
      <w:bookmarkEnd w:id="336"/>
      <w:r>
        <w:t xml:space="preserve">to chemical hazard risk management for recreational water quality in the guideline literature. </w:t>
      </w:r>
      <w:r w:rsidR="00FE3A37">
        <w:t xml:space="preserve"> </w:t>
      </w:r>
    </w:p>
    <w:p w14:paraId="397F72B5" w14:textId="0913F2E9" w:rsidR="00FE3A37" w:rsidRDefault="00274BC6" w:rsidP="00740877">
      <w:r>
        <w:t xml:space="preserve">Earlier, in response to the primary research question, it was noted that the Canadian recreational water quality guidelines recommended that </w:t>
      </w:r>
      <w:r w:rsidRPr="00595884">
        <w:t xml:space="preserve">since chemical water quality hazards are dependent on the </w:t>
      </w:r>
      <w:proofErr w:type="gramStart"/>
      <w:r w:rsidRPr="00595884">
        <w:t>particular circumstances</w:t>
      </w:r>
      <w:proofErr w:type="gramEnd"/>
      <w:r w:rsidRPr="00595884">
        <w:t xml:space="preserve"> of the area in question they should be assessed on a case-by-case basis</w:t>
      </w:r>
      <w:r w:rsidR="00845720">
        <w:t>. This</w:t>
      </w:r>
      <w:r>
        <w:t xml:space="preserve"> suggests that the dichotomy between site-specific versus chemical-specific approach</w:t>
      </w:r>
      <w:r w:rsidR="00676540">
        <w:t>es</w:t>
      </w:r>
      <w:r>
        <w:t xml:space="preserve"> is not particularly useful.</w:t>
      </w:r>
    </w:p>
    <w:p w14:paraId="544CCB9B" w14:textId="0933D23D" w:rsidR="007A4209" w:rsidRDefault="00274BC6" w:rsidP="00740877">
      <w:r>
        <w:t>With respect to the use of use of</w:t>
      </w:r>
      <w:r w:rsidRPr="00665070">
        <w:t xml:space="preserve"> periodic toxicity screening of sites to complement chemical testing</w:t>
      </w:r>
      <w:r>
        <w:t>, no discussion of this topic was identified in the guideline literature.</w:t>
      </w:r>
    </w:p>
    <w:p w14:paraId="7DFAD2B1" w14:textId="59AE2D3B" w:rsidR="00CF0477" w:rsidRPr="002032E5" w:rsidRDefault="00274BC6" w:rsidP="00CF0477">
      <w:pPr>
        <w:pStyle w:val="Caption"/>
        <w:rPr>
          <w:iCs/>
        </w:rPr>
      </w:pPr>
      <w:bookmarkStart w:id="337" w:name="_Ref77090574"/>
      <w:bookmarkStart w:id="338" w:name="_Toc106811178"/>
      <w:r>
        <w:t xml:space="preserve">Table </w:t>
      </w:r>
      <w:r w:rsidR="003132AF">
        <w:fldChar w:fldCharType="begin"/>
      </w:r>
      <w:r w:rsidR="003132AF">
        <w:instrText xml:space="preserve"> STYLEREF 1 \s </w:instrText>
      </w:r>
      <w:r w:rsidR="003132AF">
        <w:fldChar w:fldCharType="separate"/>
      </w:r>
      <w:r w:rsidR="003132AF">
        <w:rPr>
          <w:noProof/>
        </w:rPr>
        <w:t>6</w:t>
      </w:r>
      <w:r w:rsidR="003132AF">
        <w:rPr>
          <w:noProof/>
        </w:rPr>
        <w:fldChar w:fldCharType="end"/>
      </w:r>
      <w:r w:rsidR="00CE064A">
        <w:noBreakHyphen/>
      </w:r>
      <w:r w:rsidR="003132AF">
        <w:fldChar w:fldCharType="begin"/>
      </w:r>
      <w:r w:rsidR="003132AF">
        <w:instrText xml:space="preserve"> SEQ Table \* ARABIC \s 1 </w:instrText>
      </w:r>
      <w:r w:rsidR="003132AF">
        <w:fldChar w:fldCharType="separate"/>
      </w:r>
      <w:r w:rsidR="003132AF">
        <w:rPr>
          <w:noProof/>
        </w:rPr>
        <w:t>4</w:t>
      </w:r>
      <w:r w:rsidR="003132AF">
        <w:rPr>
          <w:noProof/>
        </w:rPr>
        <w:fldChar w:fldCharType="end"/>
      </w:r>
      <w:bookmarkEnd w:id="337"/>
      <w:r>
        <w:t xml:space="preserve">.  </w:t>
      </w:r>
      <w:r w:rsidRPr="002032E5">
        <w:t>Summary of guideline review results for Secondary Research Question 3: Should the focus be on “hot spots” i.e. site-specific rather than chemical specific, and/or include periodic toxicity screening of sites to complement chemical testing?</w:t>
      </w:r>
      <w:bookmarkEnd w:id="338"/>
    </w:p>
    <w:tbl>
      <w:tblPr>
        <w:tblW w:w="5000" w:type="pct"/>
        <w:tblBorders>
          <w:top w:val="single" w:sz="8" w:space="0" w:color="B5DDDC"/>
          <w:left w:val="single" w:sz="8" w:space="0" w:color="B5DDDC"/>
          <w:bottom w:val="single" w:sz="8" w:space="0" w:color="B5DDDC"/>
          <w:right w:val="single" w:sz="8" w:space="0" w:color="B5DDDC"/>
          <w:insideH w:val="single" w:sz="8" w:space="0" w:color="B5DDDC"/>
          <w:insideV w:val="single" w:sz="8" w:space="0" w:color="B5DDDC"/>
        </w:tblBorders>
        <w:tblLook w:val="04A0" w:firstRow="1" w:lastRow="0" w:firstColumn="1" w:lastColumn="0" w:noHBand="0" w:noVBand="1"/>
      </w:tblPr>
      <w:tblGrid>
        <w:gridCol w:w="1975"/>
        <w:gridCol w:w="5658"/>
      </w:tblGrid>
      <w:tr w:rsidR="004254E5" w14:paraId="6685FEE3" w14:textId="77777777" w:rsidTr="00CF0477">
        <w:trPr>
          <w:trHeight w:hRule="exact" w:val="587"/>
          <w:tblHeader/>
        </w:trPr>
        <w:tc>
          <w:tcPr>
            <w:tcW w:w="1294" w:type="pct"/>
            <w:shd w:val="clear" w:color="auto" w:fill="B5DDDC"/>
            <w:vAlign w:val="center"/>
            <w:hideMark/>
          </w:tcPr>
          <w:p w14:paraId="1A71D4A0" w14:textId="77777777" w:rsidR="00CF0477" w:rsidRPr="0068024B" w:rsidRDefault="00274BC6" w:rsidP="001E4CD0">
            <w:pPr>
              <w:spacing w:before="0" w:after="0" w:line="240" w:lineRule="auto"/>
              <w:rPr>
                <w:rFonts w:ascii="Calibri" w:hAnsi="Calibri" w:cs="Calibri"/>
                <w:b/>
                <w:bCs/>
                <w:color w:val="008000"/>
                <w:sz w:val="16"/>
                <w:szCs w:val="16"/>
              </w:rPr>
            </w:pPr>
            <w:r w:rsidRPr="0068024B">
              <w:rPr>
                <w:rFonts w:ascii="Calibri" w:hAnsi="Calibri" w:cs="Calibri"/>
                <w:b/>
                <w:bCs/>
                <w:color w:val="008000"/>
                <w:sz w:val="16"/>
                <w:szCs w:val="16"/>
              </w:rPr>
              <w:t>Guideline</w:t>
            </w:r>
          </w:p>
        </w:tc>
        <w:tc>
          <w:tcPr>
            <w:tcW w:w="3706" w:type="pct"/>
            <w:shd w:val="clear" w:color="000000" w:fill="B5DDDC"/>
            <w:vAlign w:val="center"/>
            <w:hideMark/>
          </w:tcPr>
          <w:p w14:paraId="1BF6CF93" w14:textId="77777777" w:rsidR="00CF0477" w:rsidRPr="002032E5" w:rsidRDefault="00274BC6" w:rsidP="001E4CD0">
            <w:pPr>
              <w:spacing w:before="0" w:after="0" w:line="240" w:lineRule="auto"/>
              <w:rPr>
                <w:rFonts w:ascii="Calibri" w:hAnsi="Calibri" w:cs="Calibri"/>
                <w:b/>
                <w:bCs/>
                <w:color w:val="008000"/>
                <w:sz w:val="16"/>
                <w:szCs w:val="16"/>
              </w:rPr>
            </w:pPr>
            <w:r w:rsidRPr="002032E5">
              <w:rPr>
                <w:rFonts w:ascii="Calibri" w:hAnsi="Calibri" w:cs="Calibri"/>
                <w:b/>
                <w:bCs/>
                <w:color w:val="008000"/>
                <w:sz w:val="16"/>
                <w:szCs w:val="16"/>
              </w:rPr>
              <w:t>Summary</w:t>
            </w:r>
          </w:p>
        </w:tc>
      </w:tr>
      <w:tr w:rsidR="004254E5" w14:paraId="01C0C707" w14:textId="77777777" w:rsidTr="00CF0477">
        <w:tc>
          <w:tcPr>
            <w:tcW w:w="1294" w:type="pct"/>
            <w:shd w:val="clear" w:color="000000" w:fill="D6EAEB"/>
            <w:vAlign w:val="center"/>
            <w:hideMark/>
          </w:tcPr>
          <w:p w14:paraId="3D90250E" w14:textId="77777777" w:rsidR="00CF0477" w:rsidRPr="0068024B" w:rsidRDefault="00274BC6" w:rsidP="001E4CD0">
            <w:pPr>
              <w:spacing w:before="0" w:after="0" w:line="240" w:lineRule="auto"/>
              <w:rPr>
                <w:rFonts w:ascii="Calibri" w:hAnsi="Calibri" w:cs="Calibri"/>
                <w:b/>
                <w:bCs/>
                <w:color w:val="000000"/>
                <w:sz w:val="16"/>
                <w:szCs w:val="16"/>
              </w:rPr>
            </w:pPr>
            <w:r w:rsidRPr="0068024B">
              <w:rPr>
                <w:rFonts w:ascii="Calibri" w:hAnsi="Calibri" w:cs="Calibri"/>
                <w:b/>
                <w:bCs/>
                <w:color w:val="008000"/>
                <w:sz w:val="16"/>
                <w:szCs w:val="16"/>
              </w:rPr>
              <w:t>G2: Canadian 2012 RWQ Guidelines</w:t>
            </w:r>
          </w:p>
        </w:tc>
        <w:tc>
          <w:tcPr>
            <w:tcW w:w="3706" w:type="pct"/>
            <w:vAlign w:val="center"/>
          </w:tcPr>
          <w:p w14:paraId="5DEA54B7" w14:textId="77777777" w:rsidR="00CF0477" w:rsidRPr="002032E5" w:rsidRDefault="00274BC6" w:rsidP="00CF0477">
            <w:pPr>
              <w:pStyle w:val="ListParagraph"/>
              <w:numPr>
                <w:ilvl w:val="0"/>
                <w:numId w:val="28"/>
              </w:numPr>
              <w:spacing w:after="0" w:line="240" w:lineRule="auto"/>
              <w:ind w:left="456"/>
              <w:rPr>
                <w:rFonts w:ascii="Calibri" w:hAnsi="Calibri" w:cs="Calibri"/>
                <w:sz w:val="16"/>
                <w:szCs w:val="16"/>
                <w:lang w:val="en-AU"/>
              </w:rPr>
            </w:pPr>
            <w:r w:rsidRPr="002032E5">
              <w:rPr>
                <w:rFonts w:ascii="Calibri" w:hAnsi="Calibri" w:cs="Calibri"/>
                <w:sz w:val="16"/>
                <w:szCs w:val="16"/>
                <w:lang w:val="en-AU"/>
              </w:rPr>
              <w:t>No data</w:t>
            </w:r>
          </w:p>
        </w:tc>
      </w:tr>
      <w:tr w:rsidR="004254E5" w14:paraId="05798D49" w14:textId="77777777" w:rsidTr="00CF0477">
        <w:tc>
          <w:tcPr>
            <w:tcW w:w="1294" w:type="pct"/>
            <w:shd w:val="clear" w:color="000000" w:fill="D6EAEB"/>
            <w:vAlign w:val="center"/>
          </w:tcPr>
          <w:p w14:paraId="5BA00326" w14:textId="77777777" w:rsidR="00CF0477" w:rsidRPr="0068024B" w:rsidRDefault="00274BC6" w:rsidP="001E4CD0">
            <w:pPr>
              <w:spacing w:before="0" w:after="0" w:line="240" w:lineRule="auto"/>
              <w:rPr>
                <w:rFonts w:ascii="Calibri" w:hAnsi="Calibri" w:cs="Calibri"/>
                <w:b/>
                <w:bCs/>
                <w:color w:val="008000"/>
                <w:sz w:val="16"/>
                <w:szCs w:val="16"/>
              </w:rPr>
            </w:pPr>
            <w:r w:rsidRPr="0068024B">
              <w:rPr>
                <w:rFonts w:ascii="Calibri" w:hAnsi="Calibri" w:cs="Calibri"/>
                <w:b/>
                <w:bCs/>
                <w:color w:val="008000"/>
                <w:sz w:val="16"/>
                <w:szCs w:val="16"/>
              </w:rPr>
              <w:t>G3: HEPA 2020 Environmental Management Plan</w:t>
            </w:r>
          </w:p>
        </w:tc>
        <w:tc>
          <w:tcPr>
            <w:tcW w:w="3706" w:type="pct"/>
            <w:vAlign w:val="center"/>
          </w:tcPr>
          <w:p w14:paraId="24A5BE12" w14:textId="77777777" w:rsidR="00CF0477" w:rsidRPr="002032E5" w:rsidRDefault="00274BC6" w:rsidP="00CF0477">
            <w:pPr>
              <w:pStyle w:val="ListParagraph"/>
              <w:numPr>
                <w:ilvl w:val="0"/>
                <w:numId w:val="28"/>
              </w:numPr>
              <w:spacing w:after="0" w:line="240" w:lineRule="auto"/>
              <w:ind w:left="456"/>
              <w:rPr>
                <w:rFonts w:ascii="Calibri" w:hAnsi="Calibri" w:cs="Calibri"/>
                <w:sz w:val="16"/>
                <w:szCs w:val="16"/>
                <w:lang w:val="en-AU"/>
              </w:rPr>
            </w:pPr>
            <w:r w:rsidRPr="002032E5">
              <w:rPr>
                <w:rFonts w:ascii="Calibri" w:hAnsi="Calibri" w:cs="Calibri"/>
                <w:sz w:val="16"/>
                <w:szCs w:val="16"/>
                <w:lang w:val="en-AU"/>
              </w:rPr>
              <w:t>No data</w:t>
            </w:r>
          </w:p>
        </w:tc>
      </w:tr>
      <w:tr w:rsidR="004254E5" w14:paraId="1A2BEF2C" w14:textId="77777777" w:rsidTr="00CF0477">
        <w:tc>
          <w:tcPr>
            <w:tcW w:w="1294" w:type="pct"/>
            <w:shd w:val="clear" w:color="000000" w:fill="D6EAEB"/>
            <w:vAlign w:val="center"/>
          </w:tcPr>
          <w:p w14:paraId="232DEDB5" w14:textId="77777777" w:rsidR="00CF0477" w:rsidRPr="0068024B" w:rsidRDefault="00274BC6" w:rsidP="001E4CD0">
            <w:pPr>
              <w:spacing w:before="0" w:after="0" w:line="240" w:lineRule="auto"/>
              <w:rPr>
                <w:rFonts w:ascii="Calibri" w:hAnsi="Calibri" w:cs="Calibri"/>
                <w:b/>
                <w:bCs/>
                <w:color w:val="008000"/>
                <w:sz w:val="16"/>
                <w:szCs w:val="16"/>
              </w:rPr>
            </w:pPr>
            <w:r w:rsidRPr="0068024B">
              <w:rPr>
                <w:rFonts w:ascii="Calibri" w:hAnsi="Calibri" w:cs="Calibri"/>
                <w:b/>
                <w:bCs/>
                <w:color w:val="008000"/>
                <w:sz w:val="16"/>
                <w:szCs w:val="16"/>
              </w:rPr>
              <w:t>G5: AGWR Phase 1 2006*</w:t>
            </w:r>
          </w:p>
        </w:tc>
        <w:tc>
          <w:tcPr>
            <w:tcW w:w="3706" w:type="pct"/>
            <w:vAlign w:val="center"/>
          </w:tcPr>
          <w:p w14:paraId="3404F778" w14:textId="77777777" w:rsidR="00CF0477" w:rsidRPr="002032E5" w:rsidRDefault="00274BC6" w:rsidP="00CF0477">
            <w:pPr>
              <w:pStyle w:val="ListParagraph"/>
              <w:numPr>
                <w:ilvl w:val="0"/>
                <w:numId w:val="28"/>
              </w:numPr>
              <w:spacing w:after="0" w:line="240" w:lineRule="auto"/>
              <w:ind w:left="456"/>
              <w:rPr>
                <w:rFonts w:ascii="Calibri" w:hAnsi="Calibri" w:cs="Calibri"/>
                <w:sz w:val="16"/>
                <w:szCs w:val="16"/>
                <w:lang w:val="en-AU"/>
              </w:rPr>
            </w:pPr>
            <w:r w:rsidRPr="002032E5">
              <w:rPr>
                <w:rFonts w:ascii="Calibri" w:hAnsi="Calibri" w:cs="Calibri"/>
                <w:sz w:val="16"/>
                <w:szCs w:val="16"/>
                <w:lang w:val="en-AU"/>
              </w:rPr>
              <w:t>AGWR concludes that the risk to human health from chemicals in treated sewage is low, providing that preventive measures (e.g. trade-waste programs) are established and maintained to ensure that industrial discharges do not lead to elevated chemical concentrations in recycled water.</w:t>
            </w:r>
          </w:p>
          <w:p w14:paraId="3D9691B5" w14:textId="77777777" w:rsidR="00CF0477" w:rsidRPr="002032E5" w:rsidRDefault="00274BC6" w:rsidP="00CF0477">
            <w:pPr>
              <w:pStyle w:val="ListParagraph"/>
              <w:numPr>
                <w:ilvl w:val="0"/>
                <w:numId w:val="28"/>
              </w:numPr>
              <w:spacing w:after="0" w:line="240" w:lineRule="auto"/>
              <w:ind w:left="456"/>
              <w:rPr>
                <w:rFonts w:ascii="Calibri" w:hAnsi="Calibri" w:cs="Calibri"/>
                <w:sz w:val="16"/>
                <w:szCs w:val="16"/>
                <w:lang w:val="en-AU"/>
              </w:rPr>
            </w:pPr>
            <w:r w:rsidRPr="002032E5">
              <w:rPr>
                <w:rFonts w:ascii="Calibri" w:hAnsi="Calibri" w:cs="Calibri"/>
                <w:sz w:val="16"/>
                <w:szCs w:val="16"/>
                <w:lang w:val="en-AU"/>
              </w:rPr>
              <w:t xml:space="preserve">It is noted </w:t>
            </w:r>
            <w:r>
              <w:rPr>
                <w:rFonts w:ascii="Calibri" w:hAnsi="Calibri" w:cs="Calibri"/>
                <w:sz w:val="16"/>
                <w:szCs w:val="16"/>
                <w:lang w:val="en-AU"/>
              </w:rPr>
              <w:t xml:space="preserve">(AGWR Section 3.5.5, p.11) </w:t>
            </w:r>
            <w:r w:rsidRPr="002032E5">
              <w:rPr>
                <w:rFonts w:ascii="Calibri" w:hAnsi="Calibri" w:cs="Calibri"/>
                <w:sz w:val="16"/>
                <w:szCs w:val="16"/>
                <w:lang w:val="en-AU"/>
              </w:rPr>
              <w:t xml:space="preserve">that small treatment plants and on-site recycled water treatment plants are more susceptible than large plants to unauthorised discharges of industrial and domestic origin. </w:t>
            </w:r>
          </w:p>
          <w:p w14:paraId="5460A1CC" w14:textId="77777777" w:rsidR="00CF0477" w:rsidRPr="002032E5" w:rsidRDefault="00274BC6" w:rsidP="00CF0477">
            <w:pPr>
              <w:pStyle w:val="ListParagraph"/>
              <w:numPr>
                <w:ilvl w:val="0"/>
                <w:numId w:val="28"/>
              </w:numPr>
              <w:spacing w:after="0" w:line="240" w:lineRule="auto"/>
              <w:ind w:left="456"/>
              <w:rPr>
                <w:rFonts w:ascii="Calibri" w:hAnsi="Calibri" w:cs="Calibri"/>
                <w:sz w:val="16"/>
                <w:szCs w:val="16"/>
                <w:lang w:val="en-AU"/>
              </w:rPr>
            </w:pPr>
            <w:r w:rsidRPr="002032E5">
              <w:rPr>
                <w:rFonts w:ascii="Calibri" w:hAnsi="Calibri" w:cs="Calibri"/>
                <w:sz w:val="16"/>
                <w:szCs w:val="16"/>
                <w:lang w:val="en-AU"/>
              </w:rPr>
              <w:t>Greater vigilance is required to minimise the occurrence of unauthorised discharges if small plants are used as sources of recycled water.</w:t>
            </w:r>
          </w:p>
        </w:tc>
      </w:tr>
      <w:tr w:rsidR="004254E5" w14:paraId="1D0DA12E" w14:textId="77777777" w:rsidTr="00CF0477">
        <w:tc>
          <w:tcPr>
            <w:tcW w:w="1294" w:type="pct"/>
            <w:shd w:val="clear" w:color="000000" w:fill="D6EAEB"/>
            <w:vAlign w:val="center"/>
          </w:tcPr>
          <w:p w14:paraId="22831938" w14:textId="77777777" w:rsidR="00CF0477" w:rsidRPr="0068024B" w:rsidRDefault="00274BC6" w:rsidP="001E4CD0">
            <w:pPr>
              <w:spacing w:before="0" w:after="0" w:line="240" w:lineRule="auto"/>
              <w:rPr>
                <w:rFonts w:ascii="Calibri" w:hAnsi="Calibri" w:cs="Calibri"/>
                <w:b/>
                <w:bCs/>
                <w:color w:val="008000"/>
                <w:sz w:val="16"/>
                <w:szCs w:val="16"/>
              </w:rPr>
            </w:pPr>
            <w:r w:rsidRPr="0068024B">
              <w:rPr>
                <w:rFonts w:ascii="Calibri" w:hAnsi="Calibri" w:cs="Calibri"/>
                <w:b/>
                <w:bCs/>
                <w:color w:val="008000"/>
                <w:sz w:val="16"/>
                <w:szCs w:val="16"/>
              </w:rPr>
              <w:t>G6: AGWR Phase 2 2008</w:t>
            </w:r>
          </w:p>
        </w:tc>
        <w:tc>
          <w:tcPr>
            <w:tcW w:w="3706" w:type="pct"/>
            <w:vAlign w:val="center"/>
          </w:tcPr>
          <w:p w14:paraId="1A6B2F98" w14:textId="77777777" w:rsidR="00CF0477" w:rsidRPr="002032E5" w:rsidRDefault="00274BC6" w:rsidP="00CF0477">
            <w:pPr>
              <w:pStyle w:val="ListParagraph"/>
              <w:numPr>
                <w:ilvl w:val="0"/>
                <w:numId w:val="28"/>
              </w:numPr>
              <w:spacing w:after="0" w:line="240" w:lineRule="auto"/>
              <w:ind w:left="456"/>
              <w:rPr>
                <w:rFonts w:ascii="Calibri" w:hAnsi="Calibri" w:cs="Calibri"/>
                <w:sz w:val="16"/>
                <w:szCs w:val="16"/>
                <w:lang w:val="en-AU"/>
              </w:rPr>
            </w:pPr>
            <w:r w:rsidRPr="002032E5">
              <w:rPr>
                <w:rFonts w:ascii="Calibri" w:hAnsi="Calibri" w:cs="Calibri"/>
                <w:sz w:val="16"/>
                <w:szCs w:val="16"/>
                <w:lang w:val="en-AU"/>
              </w:rPr>
              <w:t>No data</w:t>
            </w:r>
          </w:p>
        </w:tc>
      </w:tr>
      <w:tr w:rsidR="004254E5" w14:paraId="795B84CB" w14:textId="77777777" w:rsidTr="00CF0477">
        <w:tc>
          <w:tcPr>
            <w:tcW w:w="1294" w:type="pct"/>
            <w:shd w:val="clear" w:color="000000" w:fill="D6EAEB"/>
            <w:vAlign w:val="center"/>
          </w:tcPr>
          <w:p w14:paraId="2EED15B6" w14:textId="77777777" w:rsidR="00CF0477" w:rsidRPr="0068024B" w:rsidRDefault="00274BC6" w:rsidP="001E4CD0">
            <w:pPr>
              <w:spacing w:before="0" w:after="0" w:line="240" w:lineRule="auto"/>
              <w:rPr>
                <w:rFonts w:ascii="Calibri" w:hAnsi="Calibri" w:cs="Calibri"/>
                <w:b/>
                <w:bCs/>
                <w:color w:val="008000"/>
                <w:sz w:val="16"/>
                <w:szCs w:val="16"/>
              </w:rPr>
            </w:pPr>
            <w:r w:rsidRPr="0068024B">
              <w:rPr>
                <w:rFonts w:ascii="Calibri" w:hAnsi="Calibri" w:cs="Calibri"/>
                <w:b/>
                <w:bCs/>
                <w:color w:val="008000"/>
                <w:sz w:val="16"/>
                <w:szCs w:val="16"/>
              </w:rPr>
              <w:t>G9: US EPA 2019 Algal toxins criteria</w:t>
            </w:r>
          </w:p>
        </w:tc>
        <w:tc>
          <w:tcPr>
            <w:tcW w:w="3706" w:type="pct"/>
            <w:vAlign w:val="center"/>
          </w:tcPr>
          <w:p w14:paraId="5866C334" w14:textId="77777777" w:rsidR="00CF0477" w:rsidRPr="002032E5" w:rsidRDefault="00274BC6" w:rsidP="00CF0477">
            <w:pPr>
              <w:pStyle w:val="ListParagraph"/>
              <w:numPr>
                <w:ilvl w:val="0"/>
                <w:numId w:val="28"/>
              </w:numPr>
              <w:spacing w:after="0" w:line="240" w:lineRule="auto"/>
              <w:ind w:left="456"/>
              <w:rPr>
                <w:rFonts w:ascii="Calibri" w:hAnsi="Calibri" w:cs="Calibri"/>
                <w:sz w:val="16"/>
                <w:szCs w:val="16"/>
                <w:lang w:val="en-AU"/>
              </w:rPr>
            </w:pPr>
            <w:r w:rsidRPr="002032E5">
              <w:rPr>
                <w:rFonts w:ascii="Calibri" w:hAnsi="Calibri" w:cs="Calibri"/>
                <w:sz w:val="16"/>
                <w:szCs w:val="16"/>
                <w:lang w:val="en-AU"/>
              </w:rPr>
              <w:t>No data</w:t>
            </w:r>
          </w:p>
        </w:tc>
      </w:tr>
      <w:tr w:rsidR="004254E5" w14:paraId="7BD686A8" w14:textId="77777777" w:rsidTr="00CF0477">
        <w:tc>
          <w:tcPr>
            <w:tcW w:w="1294" w:type="pct"/>
            <w:shd w:val="clear" w:color="000000" w:fill="D6EAEB"/>
            <w:vAlign w:val="center"/>
          </w:tcPr>
          <w:p w14:paraId="470256F5" w14:textId="77777777" w:rsidR="00CF0477" w:rsidRPr="0068024B" w:rsidRDefault="00274BC6" w:rsidP="001E4CD0">
            <w:pPr>
              <w:spacing w:before="0" w:after="0" w:line="240" w:lineRule="auto"/>
              <w:rPr>
                <w:rFonts w:ascii="Calibri" w:hAnsi="Calibri" w:cs="Calibri"/>
                <w:b/>
                <w:bCs/>
                <w:color w:val="008000"/>
                <w:sz w:val="16"/>
                <w:szCs w:val="16"/>
              </w:rPr>
            </w:pPr>
            <w:r w:rsidRPr="0068024B">
              <w:rPr>
                <w:rFonts w:ascii="Calibri" w:hAnsi="Calibri" w:cs="Calibri"/>
                <w:b/>
                <w:bCs/>
                <w:color w:val="008000"/>
                <w:sz w:val="16"/>
                <w:szCs w:val="16"/>
              </w:rPr>
              <w:t>G10: WHO 2016 Surface Water RA</w:t>
            </w:r>
          </w:p>
        </w:tc>
        <w:tc>
          <w:tcPr>
            <w:tcW w:w="3706" w:type="pct"/>
            <w:vAlign w:val="center"/>
          </w:tcPr>
          <w:p w14:paraId="3FCECE8B" w14:textId="77777777" w:rsidR="00CF0477" w:rsidRPr="002032E5" w:rsidRDefault="00274BC6" w:rsidP="00CF0477">
            <w:pPr>
              <w:pStyle w:val="ListParagraph"/>
              <w:numPr>
                <w:ilvl w:val="0"/>
                <w:numId w:val="28"/>
              </w:numPr>
              <w:spacing w:after="0" w:line="240" w:lineRule="auto"/>
              <w:ind w:left="456"/>
              <w:rPr>
                <w:rFonts w:ascii="Calibri" w:hAnsi="Calibri" w:cs="Calibri"/>
                <w:sz w:val="16"/>
                <w:szCs w:val="16"/>
                <w:lang w:val="en-AU"/>
              </w:rPr>
            </w:pPr>
            <w:r w:rsidRPr="002032E5">
              <w:rPr>
                <w:rFonts w:ascii="Calibri" w:hAnsi="Calibri" w:cs="Calibri"/>
                <w:sz w:val="16"/>
                <w:szCs w:val="16"/>
                <w:lang w:val="en-AU"/>
              </w:rPr>
              <w:t>No data, but the broader catchment or source water safety plan development described in the document would be a useful approach to consider for management of recreational water quality areas</w:t>
            </w:r>
          </w:p>
        </w:tc>
      </w:tr>
      <w:tr w:rsidR="004254E5" w14:paraId="59E39783" w14:textId="77777777" w:rsidTr="00CF0477">
        <w:tc>
          <w:tcPr>
            <w:tcW w:w="1294" w:type="pct"/>
            <w:shd w:val="clear" w:color="000000" w:fill="D6EAEB"/>
            <w:vAlign w:val="center"/>
          </w:tcPr>
          <w:p w14:paraId="6FF8C4E7" w14:textId="77777777" w:rsidR="00CF0477" w:rsidRPr="0068024B" w:rsidRDefault="00274BC6" w:rsidP="001E4CD0">
            <w:pPr>
              <w:spacing w:before="0" w:after="0" w:line="240" w:lineRule="auto"/>
              <w:rPr>
                <w:rFonts w:ascii="Calibri" w:hAnsi="Calibri" w:cs="Calibri"/>
                <w:b/>
                <w:bCs/>
                <w:color w:val="008000"/>
                <w:sz w:val="16"/>
                <w:szCs w:val="16"/>
              </w:rPr>
            </w:pPr>
            <w:r w:rsidRPr="0068024B">
              <w:rPr>
                <w:rFonts w:ascii="Calibri" w:hAnsi="Calibri" w:cs="Calibri"/>
                <w:b/>
                <w:bCs/>
                <w:color w:val="008000"/>
                <w:sz w:val="16"/>
                <w:szCs w:val="16"/>
              </w:rPr>
              <w:t>G11: NHMRC 2019 PFAS Recreational WQ Guidance</w:t>
            </w:r>
          </w:p>
        </w:tc>
        <w:tc>
          <w:tcPr>
            <w:tcW w:w="3706" w:type="pct"/>
            <w:vAlign w:val="center"/>
          </w:tcPr>
          <w:p w14:paraId="35A6C515" w14:textId="77777777" w:rsidR="00CF0477" w:rsidRPr="002032E5" w:rsidRDefault="00274BC6" w:rsidP="00CF0477">
            <w:pPr>
              <w:pStyle w:val="ListParagraph"/>
              <w:numPr>
                <w:ilvl w:val="0"/>
                <w:numId w:val="28"/>
              </w:numPr>
              <w:spacing w:after="0" w:line="240" w:lineRule="auto"/>
              <w:ind w:left="456"/>
              <w:rPr>
                <w:rFonts w:ascii="Calibri" w:hAnsi="Calibri" w:cs="Calibri"/>
                <w:sz w:val="16"/>
                <w:szCs w:val="16"/>
                <w:lang w:val="en-AU"/>
              </w:rPr>
            </w:pPr>
            <w:r w:rsidRPr="002032E5">
              <w:rPr>
                <w:rFonts w:ascii="Calibri" w:hAnsi="Calibri" w:cs="Calibri"/>
                <w:sz w:val="16"/>
                <w:szCs w:val="16"/>
                <w:lang w:val="en-AU"/>
              </w:rPr>
              <w:t>No data</w:t>
            </w:r>
          </w:p>
        </w:tc>
      </w:tr>
    </w:tbl>
    <w:p w14:paraId="0B38511D" w14:textId="77777777" w:rsidR="00CF0477" w:rsidRPr="0068024B" w:rsidRDefault="00274BC6" w:rsidP="00CF0477">
      <w:pPr>
        <w:spacing w:before="0" w:line="240" w:lineRule="auto"/>
        <w:rPr>
          <w:rFonts w:asciiTheme="minorHAnsi" w:hAnsiTheme="minorHAnsi" w:cstheme="minorHAnsi"/>
          <w:sz w:val="16"/>
          <w:szCs w:val="16"/>
        </w:rPr>
      </w:pPr>
      <w:r w:rsidRPr="0068024B">
        <w:rPr>
          <w:rFonts w:asciiTheme="minorHAnsi" w:hAnsiTheme="minorHAnsi" w:cstheme="minorHAnsi"/>
          <w:sz w:val="16"/>
          <w:szCs w:val="16"/>
        </w:rPr>
        <w:t>* Guideline documents that contained satisfactory material for consideration in response to the research question.</w:t>
      </w:r>
    </w:p>
    <w:p w14:paraId="614FD5F1" w14:textId="04241DE6" w:rsidR="00EB2A78" w:rsidRPr="00595884" w:rsidRDefault="00EB2A78" w:rsidP="006F7E5B"/>
    <w:p w14:paraId="41B284A1" w14:textId="77777777" w:rsidR="00C246CB" w:rsidRPr="00595884" w:rsidRDefault="00C246CB" w:rsidP="00C246CB">
      <w:pPr>
        <w:sectPr w:rsidR="00C246CB" w:rsidRPr="00595884" w:rsidSect="005B6ACD">
          <w:headerReference w:type="first" r:id="rId32"/>
          <w:pgSz w:w="11906" w:h="16838"/>
          <w:pgMar w:top="1588" w:right="1418" w:bottom="1418" w:left="2835" w:header="680" w:footer="709" w:gutter="0"/>
          <w:cols w:space="708"/>
          <w:docGrid w:linePitch="360"/>
        </w:sectPr>
      </w:pPr>
    </w:p>
    <w:p w14:paraId="406CE144" w14:textId="74E360BE" w:rsidR="00A45418" w:rsidRPr="00595884" w:rsidRDefault="00274BC6" w:rsidP="00A45418">
      <w:pPr>
        <w:pStyle w:val="Caption"/>
      </w:pPr>
      <w:bookmarkStart w:id="339" w:name="_Ref72146504"/>
      <w:bookmarkStart w:id="340" w:name="_Toc106811179"/>
      <w:r w:rsidRPr="00595884">
        <w:t xml:space="preserve">Table </w:t>
      </w:r>
      <w:r w:rsidR="003132AF">
        <w:fldChar w:fldCharType="begin"/>
      </w:r>
      <w:r w:rsidR="003132AF">
        <w:instrText xml:space="preserve"> STYLEREF 1 \s </w:instrText>
      </w:r>
      <w:r w:rsidR="003132AF">
        <w:fldChar w:fldCharType="separate"/>
      </w:r>
      <w:r w:rsidR="003132AF">
        <w:rPr>
          <w:noProof/>
        </w:rPr>
        <w:t>6</w:t>
      </w:r>
      <w:r w:rsidR="003132AF">
        <w:rPr>
          <w:noProof/>
        </w:rPr>
        <w:fldChar w:fldCharType="end"/>
      </w:r>
      <w:r w:rsidR="00CE064A">
        <w:noBreakHyphen/>
      </w:r>
      <w:r w:rsidR="003132AF">
        <w:fldChar w:fldCharType="begin"/>
      </w:r>
      <w:r w:rsidR="003132AF">
        <w:instrText xml:space="preserve"> SEQ Table \* ARABIC \s 1 </w:instrText>
      </w:r>
      <w:r w:rsidR="003132AF">
        <w:fldChar w:fldCharType="separate"/>
      </w:r>
      <w:r w:rsidR="003132AF">
        <w:rPr>
          <w:noProof/>
        </w:rPr>
        <w:t>5</w:t>
      </w:r>
      <w:r w:rsidR="003132AF">
        <w:rPr>
          <w:noProof/>
        </w:rPr>
        <w:fldChar w:fldCharType="end"/>
      </w:r>
      <w:bookmarkEnd w:id="339"/>
      <w:r w:rsidRPr="00595884">
        <w:t xml:space="preserve">. </w:t>
      </w:r>
      <w:r w:rsidR="005733CB" w:rsidRPr="00595884">
        <w:t>B</w:t>
      </w:r>
      <w:r w:rsidRPr="00595884">
        <w:t xml:space="preserve">ody of evidence summary for </w:t>
      </w:r>
      <w:r w:rsidR="00D8794C">
        <w:t>included g</w:t>
      </w:r>
      <w:r w:rsidR="00F03193" w:rsidRPr="00595884">
        <w:t>uidelines</w:t>
      </w:r>
      <w:bookmarkEnd w:id="340"/>
    </w:p>
    <w:tbl>
      <w:tblPr>
        <w:tblW w:w="14742" w:type="dxa"/>
        <w:tblInd w:w="-147" w:type="dxa"/>
        <w:tblLook w:val="04A0" w:firstRow="1" w:lastRow="0" w:firstColumn="1" w:lastColumn="0" w:noHBand="0" w:noVBand="1"/>
      </w:tblPr>
      <w:tblGrid>
        <w:gridCol w:w="1198"/>
        <w:gridCol w:w="1069"/>
        <w:gridCol w:w="1136"/>
        <w:gridCol w:w="2126"/>
        <w:gridCol w:w="1243"/>
        <w:gridCol w:w="1413"/>
        <w:gridCol w:w="1414"/>
        <w:gridCol w:w="3049"/>
        <w:gridCol w:w="2094"/>
      </w:tblGrid>
      <w:tr w:rsidR="004254E5" w14:paraId="30FB8561" w14:textId="77777777" w:rsidTr="003C0A46">
        <w:trPr>
          <w:tblHeader/>
        </w:trPr>
        <w:tc>
          <w:tcPr>
            <w:tcW w:w="1198" w:type="dxa"/>
            <w:tcBorders>
              <w:top w:val="single" w:sz="4" w:space="0" w:color="B5DDDC"/>
              <w:left w:val="single" w:sz="4" w:space="0" w:color="B5DDDC"/>
              <w:bottom w:val="single" w:sz="4" w:space="0" w:color="B5DDDC"/>
              <w:right w:val="single" w:sz="4" w:space="0" w:color="B5DDDC"/>
            </w:tcBorders>
            <w:shd w:val="clear" w:color="000000" w:fill="B5DDDC"/>
            <w:vAlign w:val="center"/>
            <w:hideMark/>
          </w:tcPr>
          <w:p w14:paraId="70F529A1" w14:textId="1E3C550F" w:rsidR="006C28FC" w:rsidRPr="00595884" w:rsidRDefault="00274BC6" w:rsidP="003C0A46">
            <w:pPr>
              <w:spacing w:before="0" w:after="0" w:line="240" w:lineRule="auto"/>
              <w:rPr>
                <w:rFonts w:ascii="Calibri" w:hAnsi="Calibri" w:cs="Calibri"/>
                <w:b/>
                <w:bCs/>
                <w:color w:val="008000"/>
                <w:sz w:val="16"/>
                <w:szCs w:val="16"/>
              </w:rPr>
            </w:pPr>
            <w:bookmarkStart w:id="341" w:name="OLE_LINK1"/>
            <w:r w:rsidRPr="00595884">
              <w:rPr>
                <w:rFonts w:ascii="Calibri" w:hAnsi="Calibri" w:cs="Calibri"/>
                <w:b/>
                <w:bCs/>
                <w:color w:val="008000"/>
                <w:sz w:val="16"/>
                <w:szCs w:val="16"/>
              </w:rPr>
              <w:t>Guideline</w:t>
            </w:r>
          </w:p>
        </w:tc>
        <w:tc>
          <w:tcPr>
            <w:tcW w:w="1069" w:type="dxa"/>
            <w:tcBorders>
              <w:top w:val="single" w:sz="4" w:space="0" w:color="B5DDDC"/>
              <w:left w:val="nil"/>
              <w:bottom w:val="single" w:sz="4" w:space="0" w:color="B5DDDC"/>
              <w:right w:val="single" w:sz="4" w:space="0" w:color="B5DDDC"/>
            </w:tcBorders>
            <w:shd w:val="clear" w:color="000000" w:fill="B5DDDC"/>
            <w:vAlign w:val="center"/>
            <w:hideMark/>
          </w:tcPr>
          <w:p w14:paraId="084AF403" w14:textId="77777777" w:rsidR="006C28FC" w:rsidRPr="00595884" w:rsidRDefault="00274BC6" w:rsidP="003C0A46">
            <w:pPr>
              <w:spacing w:before="0" w:after="0" w:line="240" w:lineRule="auto"/>
              <w:rPr>
                <w:rFonts w:ascii="Calibri" w:hAnsi="Calibri" w:cs="Calibri"/>
                <w:b/>
                <w:bCs/>
                <w:color w:val="008000"/>
                <w:sz w:val="16"/>
                <w:szCs w:val="16"/>
              </w:rPr>
            </w:pPr>
            <w:r w:rsidRPr="00595884">
              <w:rPr>
                <w:rFonts w:ascii="Calibri" w:hAnsi="Calibri" w:cs="Calibri"/>
                <w:b/>
                <w:bCs/>
                <w:color w:val="008000"/>
                <w:sz w:val="16"/>
                <w:szCs w:val="16"/>
              </w:rPr>
              <w:t>Contribution to primary research question outcome?</w:t>
            </w:r>
          </w:p>
        </w:tc>
        <w:tc>
          <w:tcPr>
            <w:tcW w:w="1136" w:type="dxa"/>
            <w:tcBorders>
              <w:top w:val="single" w:sz="4" w:space="0" w:color="B5DDDC"/>
              <w:left w:val="nil"/>
              <w:bottom w:val="single" w:sz="4" w:space="0" w:color="B5DDDC"/>
              <w:right w:val="single" w:sz="4" w:space="0" w:color="B5DDDC"/>
            </w:tcBorders>
            <w:shd w:val="clear" w:color="000000" w:fill="B5DDDC"/>
            <w:vAlign w:val="center"/>
            <w:hideMark/>
          </w:tcPr>
          <w:p w14:paraId="3E7FC792" w14:textId="77777777" w:rsidR="006C28FC" w:rsidRPr="00595884" w:rsidRDefault="00274BC6" w:rsidP="003C0A46">
            <w:pPr>
              <w:spacing w:before="0" w:after="0" w:line="240" w:lineRule="auto"/>
              <w:rPr>
                <w:rFonts w:ascii="Calibri" w:hAnsi="Calibri" w:cs="Calibri"/>
                <w:b/>
                <w:bCs/>
                <w:color w:val="008000"/>
                <w:sz w:val="16"/>
                <w:szCs w:val="16"/>
              </w:rPr>
            </w:pPr>
            <w:r w:rsidRPr="00595884">
              <w:rPr>
                <w:rFonts w:ascii="Calibri" w:hAnsi="Calibri" w:cs="Calibri"/>
                <w:b/>
                <w:bCs/>
                <w:color w:val="008000"/>
                <w:sz w:val="16"/>
                <w:szCs w:val="16"/>
              </w:rPr>
              <w:t>Contribution to secondary research questions outcomes?</w:t>
            </w:r>
          </w:p>
        </w:tc>
        <w:tc>
          <w:tcPr>
            <w:tcW w:w="2126" w:type="dxa"/>
            <w:tcBorders>
              <w:top w:val="single" w:sz="4" w:space="0" w:color="B5DDDC"/>
              <w:left w:val="nil"/>
              <w:bottom w:val="single" w:sz="4" w:space="0" w:color="B5DDDC"/>
              <w:right w:val="single" w:sz="4" w:space="0" w:color="B5DDDC"/>
            </w:tcBorders>
            <w:shd w:val="clear" w:color="000000" w:fill="B5DDDC"/>
            <w:vAlign w:val="center"/>
            <w:hideMark/>
          </w:tcPr>
          <w:p w14:paraId="4717F385" w14:textId="77777777" w:rsidR="006C28FC" w:rsidRPr="00595884" w:rsidRDefault="00274BC6" w:rsidP="003C0A46">
            <w:pPr>
              <w:spacing w:before="0" w:after="0" w:line="240" w:lineRule="auto"/>
              <w:rPr>
                <w:rFonts w:ascii="Calibri" w:hAnsi="Calibri" w:cs="Calibri"/>
                <w:b/>
                <w:bCs/>
                <w:color w:val="008000"/>
                <w:sz w:val="16"/>
                <w:szCs w:val="16"/>
              </w:rPr>
            </w:pPr>
            <w:r w:rsidRPr="00595884">
              <w:rPr>
                <w:rFonts w:ascii="Calibri" w:hAnsi="Calibri" w:cs="Calibri"/>
                <w:b/>
                <w:bCs/>
                <w:color w:val="008000"/>
                <w:sz w:val="16"/>
                <w:szCs w:val="16"/>
              </w:rPr>
              <w:t>Lists key contaminants of concern in recreational waters?</w:t>
            </w:r>
          </w:p>
        </w:tc>
        <w:tc>
          <w:tcPr>
            <w:tcW w:w="1243" w:type="dxa"/>
            <w:tcBorders>
              <w:top w:val="single" w:sz="4" w:space="0" w:color="B5DDDC"/>
              <w:left w:val="nil"/>
              <w:bottom w:val="single" w:sz="4" w:space="0" w:color="B5DDDC"/>
              <w:right w:val="single" w:sz="4" w:space="0" w:color="B5DDDC"/>
            </w:tcBorders>
            <w:shd w:val="clear" w:color="000000" w:fill="B5DDDC"/>
            <w:vAlign w:val="center"/>
            <w:hideMark/>
          </w:tcPr>
          <w:p w14:paraId="7CE61A17" w14:textId="60AE05A4" w:rsidR="006C28FC" w:rsidRPr="00595884" w:rsidRDefault="00274BC6" w:rsidP="003C0A46">
            <w:pPr>
              <w:spacing w:before="0" w:after="0" w:line="240" w:lineRule="auto"/>
              <w:rPr>
                <w:rFonts w:ascii="Calibri" w:hAnsi="Calibri" w:cs="Calibri"/>
                <w:b/>
                <w:bCs/>
                <w:color w:val="008000"/>
                <w:sz w:val="16"/>
                <w:szCs w:val="16"/>
              </w:rPr>
            </w:pPr>
            <w:r w:rsidRPr="00595884">
              <w:rPr>
                <w:rFonts w:ascii="Calibri" w:hAnsi="Calibri" w:cs="Calibri"/>
                <w:b/>
                <w:bCs/>
                <w:color w:val="008000"/>
                <w:sz w:val="16"/>
                <w:szCs w:val="16"/>
              </w:rPr>
              <w:t>Contains risk assessment methods</w:t>
            </w:r>
            <w:r w:rsidR="00430867" w:rsidRPr="00595884">
              <w:rPr>
                <w:rFonts w:ascii="Calibri" w:hAnsi="Calibri" w:cs="Calibri"/>
                <w:b/>
                <w:bCs/>
                <w:color w:val="008000"/>
                <w:sz w:val="16"/>
                <w:szCs w:val="16"/>
              </w:rPr>
              <w:t>?</w:t>
            </w:r>
          </w:p>
        </w:tc>
        <w:tc>
          <w:tcPr>
            <w:tcW w:w="1413" w:type="dxa"/>
            <w:tcBorders>
              <w:top w:val="single" w:sz="4" w:space="0" w:color="B5DDDC"/>
              <w:left w:val="nil"/>
              <w:bottom w:val="single" w:sz="4" w:space="0" w:color="B5DDDC"/>
              <w:right w:val="single" w:sz="4" w:space="0" w:color="B5DDDC"/>
            </w:tcBorders>
            <w:shd w:val="clear" w:color="000000" w:fill="B5DDDC"/>
            <w:vAlign w:val="center"/>
            <w:hideMark/>
          </w:tcPr>
          <w:p w14:paraId="2283F053" w14:textId="1A5597D2" w:rsidR="006C28FC" w:rsidRPr="00595884" w:rsidRDefault="00274BC6" w:rsidP="003C0A46">
            <w:pPr>
              <w:spacing w:before="0" w:after="0" w:line="240" w:lineRule="auto"/>
              <w:rPr>
                <w:rFonts w:ascii="Calibri" w:hAnsi="Calibri" w:cs="Calibri"/>
                <w:b/>
                <w:bCs/>
                <w:color w:val="008000"/>
                <w:sz w:val="16"/>
                <w:szCs w:val="16"/>
              </w:rPr>
            </w:pPr>
            <w:r w:rsidRPr="00595884">
              <w:rPr>
                <w:rFonts w:ascii="Calibri" w:hAnsi="Calibri" w:cs="Calibri"/>
                <w:b/>
                <w:bCs/>
                <w:color w:val="008000"/>
                <w:sz w:val="16"/>
                <w:szCs w:val="16"/>
              </w:rPr>
              <w:t>Consideration of short, medium- and long-term exposures</w:t>
            </w:r>
            <w:r w:rsidR="00430867" w:rsidRPr="00595884">
              <w:rPr>
                <w:rFonts w:ascii="Calibri" w:hAnsi="Calibri" w:cs="Calibri"/>
                <w:b/>
                <w:bCs/>
                <w:color w:val="008000"/>
                <w:sz w:val="16"/>
                <w:szCs w:val="16"/>
              </w:rPr>
              <w:t>?</w:t>
            </w:r>
            <w:r w:rsidRPr="00595884">
              <w:rPr>
                <w:rFonts w:ascii="Calibri" w:hAnsi="Calibri" w:cs="Calibri"/>
                <w:b/>
                <w:bCs/>
                <w:color w:val="008000"/>
                <w:sz w:val="16"/>
                <w:szCs w:val="16"/>
              </w:rPr>
              <w:t xml:space="preserve"> </w:t>
            </w:r>
          </w:p>
        </w:tc>
        <w:tc>
          <w:tcPr>
            <w:tcW w:w="1414" w:type="dxa"/>
            <w:tcBorders>
              <w:top w:val="single" w:sz="4" w:space="0" w:color="B5DDDC"/>
              <w:left w:val="nil"/>
              <w:bottom w:val="single" w:sz="4" w:space="0" w:color="B5DDDC"/>
              <w:right w:val="single" w:sz="4" w:space="0" w:color="B5DDDC"/>
            </w:tcBorders>
            <w:shd w:val="clear" w:color="000000" w:fill="B5DDDC"/>
            <w:vAlign w:val="center"/>
            <w:hideMark/>
          </w:tcPr>
          <w:p w14:paraId="3AA75F51" w14:textId="0F1B40D1" w:rsidR="006C28FC" w:rsidRPr="00595884" w:rsidRDefault="00274BC6" w:rsidP="003C0A46">
            <w:pPr>
              <w:spacing w:before="0" w:after="0" w:line="240" w:lineRule="auto"/>
              <w:rPr>
                <w:rFonts w:ascii="Calibri" w:hAnsi="Calibri" w:cs="Calibri"/>
                <w:b/>
                <w:bCs/>
                <w:color w:val="008000"/>
                <w:sz w:val="16"/>
                <w:szCs w:val="16"/>
              </w:rPr>
            </w:pPr>
            <w:r w:rsidRPr="00595884">
              <w:rPr>
                <w:rFonts w:ascii="Calibri" w:hAnsi="Calibri" w:cs="Calibri"/>
                <w:b/>
                <w:bCs/>
                <w:color w:val="008000"/>
                <w:sz w:val="16"/>
                <w:szCs w:val="16"/>
              </w:rPr>
              <w:t>Consideration of the use of indicator substances for chemical risk</w:t>
            </w:r>
            <w:r w:rsidR="00430867" w:rsidRPr="00595884">
              <w:rPr>
                <w:rFonts w:ascii="Calibri" w:hAnsi="Calibri" w:cs="Calibri"/>
                <w:b/>
                <w:bCs/>
                <w:color w:val="008000"/>
                <w:sz w:val="16"/>
                <w:szCs w:val="16"/>
              </w:rPr>
              <w:t>?</w:t>
            </w:r>
          </w:p>
        </w:tc>
        <w:tc>
          <w:tcPr>
            <w:tcW w:w="3049" w:type="dxa"/>
            <w:tcBorders>
              <w:top w:val="single" w:sz="4" w:space="0" w:color="B5DDDC"/>
              <w:left w:val="nil"/>
              <w:bottom w:val="single" w:sz="4" w:space="0" w:color="B5DDDC"/>
              <w:right w:val="single" w:sz="4" w:space="0" w:color="B5DDDC"/>
            </w:tcBorders>
            <w:shd w:val="clear" w:color="000000" w:fill="B5DDDC"/>
            <w:vAlign w:val="center"/>
            <w:hideMark/>
          </w:tcPr>
          <w:p w14:paraId="420084FC" w14:textId="548A7262" w:rsidR="006C28FC" w:rsidRPr="00595884" w:rsidRDefault="00274BC6" w:rsidP="003C0A46">
            <w:pPr>
              <w:spacing w:before="0" w:after="0" w:line="240" w:lineRule="auto"/>
              <w:rPr>
                <w:rFonts w:ascii="Calibri" w:hAnsi="Calibri" w:cs="Calibri"/>
                <w:b/>
                <w:bCs/>
                <w:color w:val="008000"/>
                <w:sz w:val="16"/>
                <w:szCs w:val="16"/>
              </w:rPr>
            </w:pPr>
            <w:r w:rsidRPr="00595884">
              <w:rPr>
                <w:rFonts w:ascii="Calibri" w:hAnsi="Calibri" w:cs="Calibri"/>
                <w:b/>
                <w:bCs/>
                <w:color w:val="008000"/>
                <w:sz w:val="16"/>
                <w:szCs w:val="16"/>
              </w:rPr>
              <w:t>Reviewer’s comments</w:t>
            </w:r>
          </w:p>
        </w:tc>
        <w:tc>
          <w:tcPr>
            <w:tcW w:w="2094" w:type="dxa"/>
            <w:tcBorders>
              <w:top w:val="single" w:sz="4" w:space="0" w:color="B5DDDC"/>
              <w:left w:val="nil"/>
              <w:bottom w:val="single" w:sz="4" w:space="0" w:color="B5DDDC"/>
              <w:right w:val="single" w:sz="4" w:space="0" w:color="B5DDDC"/>
            </w:tcBorders>
            <w:shd w:val="clear" w:color="000000" w:fill="B5DDDC"/>
            <w:vAlign w:val="center"/>
            <w:hideMark/>
          </w:tcPr>
          <w:p w14:paraId="28FA9A3B" w14:textId="77777777" w:rsidR="006C28FC" w:rsidRPr="00595884" w:rsidRDefault="00274BC6" w:rsidP="003C0A46">
            <w:pPr>
              <w:spacing w:before="0" w:after="0" w:line="240" w:lineRule="auto"/>
              <w:rPr>
                <w:rFonts w:ascii="Calibri" w:hAnsi="Calibri" w:cs="Calibri"/>
                <w:b/>
                <w:bCs/>
                <w:color w:val="008000"/>
                <w:sz w:val="16"/>
                <w:szCs w:val="16"/>
              </w:rPr>
            </w:pPr>
            <w:r w:rsidRPr="00595884">
              <w:rPr>
                <w:rFonts w:ascii="Calibri" w:hAnsi="Calibri" w:cs="Calibri"/>
                <w:b/>
                <w:bCs/>
                <w:color w:val="008000"/>
                <w:sz w:val="16"/>
                <w:szCs w:val="16"/>
              </w:rPr>
              <w:t>Overall Assessment</w:t>
            </w:r>
          </w:p>
        </w:tc>
      </w:tr>
      <w:tr w:rsidR="004254E5" w14:paraId="325CFB19" w14:textId="77777777" w:rsidTr="003C0A46">
        <w:tc>
          <w:tcPr>
            <w:tcW w:w="1198" w:type="dxa"/>
            <w:tcBorders>
              <w:top w:val="nil"/>
              <w:left w:val="single" w:sz="4" w:space="0" w:color="B5DDDC"/>
              <w:bottom w:val="single" w:sz="4" w:space="0" w:color="B5DDDC"/>
              <w:right w:val="single" w:sz="4" w:space="0" w:color="B5DDDC"/>
            </w:tcBorders>
            <w:shd w:val="clear" w:color="000000" w:fill="D6EAEB"/>
            <w:hideMark/>
          </w:tcPr>
          <w:p w14:paraId="3C3899B4" w14:textId="77777777" w:rsidR="00812FEC" w:rsidRPr="00595884" w:rsidRDefault="00274BC6" w:rsidP="00812FEC">
            <w:pPr>
              <w:spacing w:before="0" w:after="0" w:line="240" w:lineRule="auto"/>
              <w:rPr>
                <w:rFonts w:ascii="Calibri" w:hAnsi="Calibri" w:cs="Calibri"/>
                <w:sz w:val="16"/>
                <w:szCs w:val="16"/>
              </w:rPr>
            </w:pPr>
            <w:r w:rsidRPr="00595884">
              <w:rPr>
                <w:rFonts w:ascii="Calibri" w:hAnsi="Calibri" w:cs="Calibri"/>
                <w:sz w:val="16"/>
                <w:szCs w:val="16"/>
              </w:rPr>
              <w:t xml:space="preserve">G2: Health Canada (2012) </w:t>
            </w:r>
          </w:p>
        </w:tc>
        <w:tc>
          <w:tcPr>
            <w:tcW w:w="1069" w:type="dxa"/>
            <w:tcBorders>
              <w:top w:val="nil"/>
              <w:left w:val="nil"/>
              <w:bottom w:val="single" w:sz="4" w:space="0" w:color="B5DDDC"/>
              <w:right w:val="single" w:sz="4" w:space="0" w:color="B5DDDC"/>
            </w:tcBorders>
            <w:hideMark/>
          </w:tcPr>
          <w:p w14:paraId="626D6275" w14:textId="77777777" w:rsidR="00812FEC" w:rsidRPr="00595884" w:rsidRDefault="00274BC6" w:rsidP="00812FEC">
            <w:pPr>
              <w:spacing w:before="0" w:after="0" w:line="240" w:lineRule="auto"/>
              <w:rPr>
                <w:rFonts w:ascii="Calibri" w:hAnsi="Calibri" w:cs="Calibri"/>
                <w:sz w:val="16"/>
                <w:szCs w:val="16"/>
              </w:rPr>
            </w:pPr>
            <w:r w:rsidRPr="00595884">
              <w:rPr>
                <w:rFonts w:ascii="Calibri" w:hAnsi="Calibri" w:cs="Calibri"/>
                <w:sz w:val="16"/>
                <w:szCs w:val="16"/>
              </w:rPr>
              <w:t>Yes</w:t>
            </w:r>
          </w:p>
        </w:tc>
        <w:tc>
          <w:tcPr>
            <w:tcW w:w="1136" w:type="dxa"/>
            <w:tcBorders>
              <w:top w:val="nil"/>
              <w:left w:val="nil"/>
              <w:bottom w:val="single" w:sz="4" w:space="0" w:color="B5DDDC"/>
              <w:right w:val="single" w:sz="4" w:space="0" w:color="B5DDDC"/>
            </w:tcBorders>
            <w:hideMark/>
          </w:tcPr>
          <w:p w14:paraId="19671B11" w14:textId="77777777" w:rsidR="00812FEC" w:rsidRPr="00595884" w:rsidRDefault="00274BC6" w:rsidP="00812FEC">
            <w:pPr>
              <w:spacing w:before="0" w:after="0" w:line="240" w:lineRule="auto"/>
              <w:rPr>
                <w:rFonts w:ascii="Calibri" w:hAnsi="Calibri" w:cs="Calibri"/>
                <w:sz w:val="16"/>
                <w:szCs w:val="16"/>
              </w:rPr>
            </w:pPr>
            <w:r w:rsidRPr="00595884">
              <w:rPr>
                <w:rFonts w:ascii="Calibri" w:hAnsi="Calibri" w:cs="Calibri"/>
                <w:sz w:val="16"/>
                <w:szCs w:val="16"/>
              </w:rPr>
              <w:t>No</w:t>
            </w:r>
          </w:p>
        </w:tc>
        <w:tc>
          <w:tcPr>
            <w:tcW w:w="2126" w:type="dxa"/>
            <w:tcBorders>
              <w:top w:val="single" w:sz="4" w:space="0" w:color="B5DDDC"/>
              <w:left w:val="single" w:sz="4" w:space="0" w:color="B5DDDC"/>
              <w:bottom w:val="single" w:sz="4" w:space="0" w:color="B5DDDC"/>
              <w:right w:val="single" w:sz="4" w:space="0" w:color="B5DDDC"/>
            </w:tcBorders>
            <w:hideMark/>
          </w:tcPr>
          <w:p w14:paraId="2386189E" w14:textId="7CB5EA36" w:rsidR="00812FEC" w:rsidRPr="00595884" w:rsidRDefault="00274BC6" w:rsidP="00812FEC">
            <w:pPr>
              <w:spacing w:before="0" w:after="0" w:line="240" w:lineRule="auto"/>
              <w:rPr>
                <w:rFonts w:ascii="Calibri" w:hAnsi="Calibri" w:cs="Calibri"/>
                <w:sz w:val="16"/>
                <w:szCs w:val="16"/>
              </w:rPr>
            </w:pPr>
            <w:r w:rsidRPr="00595884">
              <w:rPr>
                <w:rFonts w:ascii="Calibri" w:hAnsi="Calibri" w:cs="Calibri"/>
                <w:sz w:val="16"/>
                <w:szCs w:val="16"/>
              </w:rPr>
              <w:t>No</w:t>
            </w:r>
          </w:p>
        </w:tc>
        <w:tc>
          <w:tcPr>
            <w:tcW w:w="1243" w:type="dxa"/>
            <w:tcBorders>
              <w:top w:val="nil"/>
              <w:left w:val="nil"/>
              <w:bottom w:val="single" w:sz="4" w:space="0" w:color="B5DDDC"/>
              <w:right w:val="single" w:sz="4" w:space="0" w:color="B5DDDC"/>
            </w:tcBorders>
            <w:hideMark/>
          </w:tcPr>
          <w:p w14:paraId="6A6B3D23" w14:textId="77777777" w:rsidR="00812FEC" w:rsidRPr="00595884" w:rsidRDefault="00274BC6" w:rsidP="00812FEC">
            <w:pPr>
              <w:spacing w:before="0" w:after="0" w:line="240" w:lineRule="auto"/>
              <w:rPr>
                <w:rFonts w:ascii="Calibri" w:hAnsi="Calibri" w:cs="Calibri"/>
                <w:sz w:val="16"/>
                <w:szCs w:val="16"/>
              </w:rPr>
            </w:pPr>
            <w:r w:rsidRPr="00595884">
              <w:rPr>
                <w:rFonts w:ascii="Calibri" w:hAnsi="Calibri" w:cs="Calibri"/>
                <w:sz w:val="16"/>
                <w:szCs w:val="16"/>
              </w:rPr>
              <w:t>No</w:t>
            </w:r>
          </w:p>
        </w:tc>
        <w:tc>
          <w:tcPr>
            <w:tcW w:w="1413" w:type="dxa"/>
            <w:tcBorders>
              <w:top w:val="nil"/>
              <w:left w:val="nil"/>
              <w:bottom w:val="single" w:sz="4" w:space="0" w:color="B5DDDC"/>
              <w:right w:val="single" w:sz="4" w:space="0" w:color="B5DDDC"/>
            </w:tcBorders>
            <w:hideMark/>
          </w:tcPr>
          <w:p w14:paraId="2F155C74" w14:textId="77777777" w:rsidR="00812FEC" w:rsidRPr="00595884" w:rsidRDefault="00274BC6" w:rsidP="00812FEC">
            <w:pPr>
              <w:spacing w:before="0" w:after="0" w:line="240" w:lineRule="auto"/>
              <w:rPr>
                <w:rFonts w:ascii="Calibri" w:hAnsi="Calibri" w:cs="Calibri"/>
                <w:sz w:val="16"/>
                <w:szCs w:val="16"/>
              </w:rPr>
            </w:pPr>
            <w:r w:rsidRPr="00595884">
              <w:rPr>
                <w:rFonts w:ascii="Calibri" w:hAnsi="Calibri" w:cs="Calibri"/>
                <w:sz w:val="16"/>
                <w:szCs w:val="16"/>
              </w:rPr>
              <w:t>No</w:t>
            </w:r>
          </w:p>
        </w:tc>
        <w:tc>
          <w:tcPr>
            <w:tcW w:w="1414" w:type="dxa"/>
            <w:tcBorders>
              <w:top w:val="nil"/>
              <w:left w:val="nil"/>
              <w:bottom w:val="single" w:sz="4" w:space="0" w:color="B5DDDC"/>
              <w:right w:val="single" w:sz="4" w:space="0" w:color="B5DDDC"/>
            </w:tcBorders>
            <w:hideMark/>
          </w:tcPr>
          <w:p w14:paraId="6188A7D4" w14:textId="77777777" w:rsidR="00812FEC" w:rsidRPr="00595884" w:rsidRDefault="00274BC6" w:rsidP="00812FEC">
            <w:pPr>
              <w:spacing w:before="0" w:after="0" w:line="240" w:lineRule="auto"/>
              <w:rPr>
                <w:rFonts w:ascii="Calibri" w:hAnsi="Calibri" w:cs="Calibri"/>
                <w:sz w:val="16"/>
                <w:szCs w:val="16"/>
              </w:rPr>
            </w:pPr>
            <w:r w:rsidRPr="00595884">
              <w:rPr>
                <w:rFonts w:ascii="Calibri" w:hAnsi="Calibri" w:cs="Calibri"/>
                <w:sz w:val="16"/>
                <w:szCs w:val="16"/>
              </w:rPr>
              <w:t>No</w:t>
            </w:r>
          </w:p>
        </w:tc>
        <w:tc>
          <w:tcPr>
            <w:tcW w:w="3049" w:type="dxa"/>
            <w:tcBorders>
              <w:top w:val="nil"/>
              <w:left w:val="nil"/>
              <w:bottom w:val="single" w:sz="4" w:space="0" w:color="B5DDDC"/>
              <w:right w:val="single" w:sz="4" w:space="0" w:color="B5DDDC"/>
            </w:tcBorders>
            <w:hideMark/>
          </w:tcPr>
          <w:p w14:paraId="529B5A1D" w14:textId="77777777" w:rsidR="00812FEC" w:rsidRPr="00595884" w:rsidRDefault="00274BC6" w:rsidP="00812FEC">
            <w:pPr>
              <w:spacing w:before="0" w:after="0" w:line="240" w:lineRule="auto"/>
              <w:rPr>
                <w:rFonts w:ascii="Calibri" w:hAnsi="Calibri" w:cs="Calibri"/>
                <w:sz w:val="16"/>
                <w:szCs w:val="16"/>
              </w:rPr>
            </w:pPr>
            <w:r w:rsidRPr="00595884">
              <w:rPr>
                <w:rFonts w:ascii="Calibri" w:hAnsi="Calibri" w:cs="Calibri"/>
                <w:sz w:val="16"/>
                <w:szCs w:val="16"/>
              </w:rPr>
              <w:t>Important qualitative contribution to response to primary research question. Produced by a national expert group (Canadian National Committee on Health and the Environment).</w:t>
            </w:r>
          </w:p>
        </w:tc>
        <w:tc>
          <w:tcPr>
            <w:tcW w:w="2094" w:type="dxa"/>
            <w:tcBorders>
              <w:top w:val="nil"/>
              <w:left w:val="nil"/>
              <w:bottom w:val="single" w:sz="4" w:space="0" w:color="B5DDDC"/>
              <w:right w:val="single" w:sz="4" w:space="0" w:color="B5DDDC"/>
            </w:tcBorders>
            <w:hideMark/>
          </w:tcPr>
          <w:p w14:paraId="2CDCEC2B" w14:textId="77777777" w:rsidR="00812FEC" w:rsidRPr="00595884" w:rsidRDefault="00274BC6" w:rsidP="00812FEC">
            <w:pPr>
              <w:spacing w:before="0" w:after="0" w:line="240" w:lineRule="auto"/>
              <w:rPr>
                <w:rFonts w:ascii="Calibri" w:hAnsi="Calibri" w:cs="Calibri"/>
                <w:sz w:val="16"/>
                <w:szCs w:val="16"/>
              </w:rPr>
            </w:pPr>
            <w:r w:rsidRPr="00595884">
              <w:rPr>
                <w:rFonts w:ascii="Calibri" w:hAnsi="Calibri" w:cs="Calibri"/>
                <w:sz w:val="16"/>
                <w:szCs w:val="16"/>
              </w:rPr>
              <w:t>Contains helpful commentary relevant to primary research question</w:t>
            </w:r>
          </w:p>
        </w:tc>
      </w:tr>
      <w:tr w:rsidR="004254E5" w14:paraId="56DDBDF6" w14:textId="77777777" w:rsidTr="003C0A46">
        <w:tc>
          <w:tcPr>
            <w:tcW w:w="1198" w:type="dxa"/>
            <w:tcBorders>
              <w:top w:val="nil"/>
              <w:left w:val="single" w:sz="4" w:space="0" w:color="B5DDDC"/>
              <w:bottom w:val="single" w:sz="4" w:space="0" w:color="B5DDDC"/>
              <w:right w:val="single" w:sz="4" w:space="0" w:color="B5DDDC"/>
            </w:tcBorders>
            <w:shd w:val="clear" w:color="000000" w:fill="D6EAEB"/>
            <w:hideMark/>
          </w:tcPr>
          <w:p w14:paraId="3419C0E1" w14:textId="77777777" w:rsidR="0062671B" w:rsidRPr="00595884" w:rsidRDefault="00274BC6" w:rsidP="0062671B">
            <w:pPr>
              <w:spacing w:before="0" w:after="0" w:line="240" w:lineRule="auto"/>
              <w:rPr>
                <w:rFonts w:ascii="Calibri" w:hAnsi="Calibri" w:cs="Calibri"/>
                <w:sz w:val="16"/>
                <w:szCs w:val="16"/>
              </w:rPr>
            </w:pPr>
            <w:r w:rsidRPr="00595884">
              <w:rPr>
                <w:rFonts w:ascii="Calibri" w:hAnsi="Calibri" w:cs="Calibri"/>
                <w:sz w:val="16"/>
                <w:szCs w:val="16"/>
              </w:rPr>
              <w:t xml:space="preserve">G3: HEPA (2020) </w:t>
            </w:r>
          </w:p>
        </w:tc>
        <w:tc>
          <w:tcPr>
            <w:tcW w:w="1069" w:type="dxa"/>
            <w:tcBorders>
              <w:top w:val="nil"/>
              <w:left w:val="nil"/>
              <w:bottom w:val="single" w:sz="4" w:space="0" w:color="B5DDDC"/>
              <w:right w:val="single" w:sz="4" w:space="0" w:color="B5DDDC"/>
            </w:tcBorders>
            <w:hideMark/>
          </w:tcPr>
          <w:p w14:paraId="5B094690" w14:textId="20A8D65E" w:rsidR="0062671B" w:rsidRPr="00595884" w:rsidRDefault="00274BC6" w:rsidP="0062671B">
            <w:pPr>
              <w:spacing w:before="0" w:after="0" w:line="240" w:lineRule="auto"/>
              <w:rPr>
                <w:rFonts w:ascii="Calibri" w:hAnsi="Calibri" w:cs="Calibri"/>
                <w:sz w:val="16"/>
                <w:szCs w:val="16"/>
              </w:rPr>
            </w:pPr>
            <w:r w:rsidRPr="00595884">
              <w:rPr>
                <w:rFonts w:ascii="Calibri" w:hAnsi="Calibri" w:cs="Calibri"/>
                <w:sz w:val="16"/>
                <w:szCs w:val="16"/>
              </w:rPr>
              <w:t>No</w:t>
            </w:r>
          </w:p>
        </w:tc>
        <w:tc>
          <w:tcPr>
            <w:tcW w:w="1136" w:type="dxa"/>
            <w:tcBorders>
              <w:top w:val="nil"/>
              <w:left w:val="nil"/>
              <w:bottom w:val="single" w:sz="4" w:space="0" w:color="B5DDDC"/>
              <w:right w:val="single" w:sz="4" w:space="0" w:color="B5DDDC"/>
            </w:tcBorders>
            <w:hideMark/>
          </w:tcPr>
          <w:p w14:paraId="0DE4DF74" w14:textId="637AF78C" w:rsidR="0062671B" w:rsidRPr="00595884" w:rsidRDefault="00274BC6" w:rsidP="0062671B">
            <w:pPr>
              <w:spacing w:before="0" w:after="0" w:line="240" w:lineRule="auto"/>
              <w:rPr>
                <w:rFonts w:ascii="Calibri" w:hAnsi="Calibri" w:cs="Calibri"/>
                <w:sz w:val="16"/>
                <w:szCs w:val="16"/>
              </w:rPr>
            </w:pPr>
            <w:r w:rsidRPr="00595884">
              <w:rPr>
                <w:rFonts w:ascii="Calibri" w:hAnsi="Calibri" w:cs="Calibri"/>
                <w:sz w:val="16"/>
                <w:szCs w:val="16"/>
              </w:rPr>
              <w:t>Yes (Q.1)</w:t>
            </w:r>
          </w:p>
        </w:tc>
        <w:tc>
          <w:tcPr>
            <w:tcW w:w="2126" w:type="dxa"/>
            <w:tcBorders>
              <w:top w:val="nil"/>
              <w:left w:val="single" w:sz="4" w:space="0" w:color="B5DDDC"/>
              <w:bottom w:val="single" w:sz="4" w:space="0" w:color="B5DDDC"/>
              <w:right w:val="single" w:sz="4" w:space="0" w:color="B5DDDC"/>
            </w:tcBorders>
            <w:hideMark/>
          </w:tcPr>
          <w:p w14:paraId="205D1027" w14:textId="61D09F4B" w:rsidR="0062671B" w:rsidRPr="00595884" w:rsidRDefault="00274BC6" w:rsidP="0062671B">
            <w:pPr>
              <w:spacing w:before="0" w:after="0" w:line="240" w:lineRule="auto"/>
              <w:rPr>
                <w:rFonts w:ascii="Calibri" w:hAnsi="Calibri" w:cs="Calibri"/>
                <w:sz w:val="16"/>
                <w:szCs w:val="16"/>
              </w:rPr>
            </w:pPr>
            <w:r w:rsidRPr="00595884">
              <w:rPr>
                <w:rFonts w:ascii="Calibri" w:hAnsi="Calibri" w:cs="Calibri"/>
                <w:sz w:val="16"/>
                <w:szCs w:val="16"/>
              </w:rPr>
              <w:t>Yes, cites recreational water quality guideline for PFAS for Australia and provides context for this group of substances.</w:t>
            </w:r>
          </w:p>
        </w:tc>
        <w:tc>
          <w:tcPr>
            <w:tcW w:w="1243" w:type="dxa"/>
            <w:tcBorders>
              <w:top w:val="nil"/>
              <w:left w:val="nil"/>
              <w:bottom w:val="single" w:sz="4" w:space="0" w:color="B5DDDC"/>
              <w:right w:val="single" w:sz="4" w:space="0" w:color="B5DDDC"/>
            </w:tcBorders>
            <w:hideMark/>
          </w:tcPr>
          <w:p w14:paraId="2D4165B0" w14:textId="77777777" w:rsidR="0062671B" w:rsidRPr="00595884" w:rsidRDefault="00274BC6" w:rsidP="0062671B">
            <w:pPr>
              <w:spacing w:before="0" w:after="0" w:line="240" w:lineRule="auto"/>
              <w:rPr>
                <w:rFonts w:ascii="Calibri" w:hAnsi="Calibri" w:cs="Calibri"/>
                <w:sz w:val="16"/>
                <w:szCs w:val="16"/>
              </w:rPr>
            </w:pPr>
            <w:r w:rsidRPr="00595884">
              <w:rPr>
                <w:rFonts w:ascii="Calibri" w:hAnsi="Calibri" w:cs="Calibri"/>
                <w:sz w:val="16"/>
                <w:szCs w:val="16"/>
              </w:rPr>
              <w:t>No</w:t>
            </w:r>
          </w:p>
        </w:tc>
        <w:tc>
          <w:tcPr>
            <w:tcW w:w="1413" w:type="dxa"/>
            <w:tcBorders>
              <w:top w:val="single" w:sz="4" w:space="0" w:color="B5DDDC"/>
              <w:left w:val="single" w:sz="4" w:space="0" w:color="B5DDDC"/>
              <w:bottom w:val="single" w:sz="4" w:space="0" w:color="B5DDDC"/>
              <w:right w:val="single" w:sz="4" w:space="0" w:color="B5DDDC"/>
            </w:tcBorders>
            <w:hideMark/>
          </w:tcPr>
          <w:p w14:paraId="40E6C949" w14:textId="31376F85" w:rsidR="0062671B" w:rsidRPr="00595884" w:rsidRDefault="00274BC6" w:rsidP="00170EF6">
            <w:pPr>
              <w:spacing w:before="0" w:after="0" w:line="240" w:lineRule="auto"/>
              <w:rPr>
                <w:rFonts w:ascii="Calibri" w:hAnsi="Calibri" w:cs="Calibri"/>
                <w:sz w:val="16"/>
                <w:szCs w:val="16"/>
              </w:rPr>
            </w:pPr>
            <w:r w:rsidRPr="00595884">
              <w:rPr>
                <w:rFonts w:ascii="Calibri" w:hAnsi="Calibri" w:cs="Calibri"/>
                <w:sz w:val="16"/>
                <w:szCs w:val="16"/>
              </w:rPr>
              <w:t xml:space="preserve">Yes, PFAS </w:t>
            </w:r>
            <w:r w:rsidR="00170EF6">
              <w:rPr>
                <w:rFonts w:ascii="Calibri" w:hAnsi="Calibri" w:cs="Calibri"/>
                <w:sz w:val="16"/>
                <w:szCs w:val="16"/>
              </w:rPr>
              <w:t>g</w:t>
            </w:r>
            <w:r w:rsidR="00F03193" w:rsidRPr="00595884">
              <w:rPr>
                <w:rFonts w:ascii="Calibri" w:hAnsi="Calibri" w:cs="Calibri"/>
                <w:sz w:val="16"/>
                <w:szCs w:val="16"/>
              </w:rPr>
              <w:t>uidelines</w:t>
            </w:r>
            <w:r w:rsidRPr="00595884">
              <w:rPr>
                <w:rFonts w:ascii="Calibri" w:hAnsi="Calibri" w:cs="Calibri"/>
                <w:sz w:val="16"/>
                <w:szCs w:val="16"/>
              </w:rPr>
              <w:t xml:space="preserve"> are based on chronic exposure only.</w:t>
            </w:r>
          </w:p>
        </w:tc>
        <w:tc>
          <w:tcPr>
            <w:tcW w:w="1414" w:type="dxa"/>
            <w:tcBorders>
              <w:top w:val="nil"/>
              <w:left w:val="nil"/>
              <w:bottom w:val="single" w:sz="4" w:space="0" w:color="B5DDDC"/>
              <w:right w:val="single" w:sz="4" w:space="0" w:color="B5DDDC"/>
            </w:tcBorders>
            <w:hideMark/>
          </w:tcPr>
          <w:p w14:paraId="70C4BFC5" w14:textId="670A073C" w:rsidR="0062671B" w:rsidRPr="00595884" w:rsidRDefault="00274BC6" w:rsidP="0062671B">
            <w:pPr>
              <w:spacing w:before="0" w:after="0" w:line="240" w:lineRule="auto"/>
              <w:rPr>
                <w:rFonts w:ascii="Calibri" w:hAnsi="Calibri" w:cs="Calibri"/>
                <w:sz w:val="16"/>
                <w:szCs w:val="16"/>
              </w:rPr>
            </w:pPr>
            <w:r w:rsidRPr="00595884">
              <w:rPr>
                <w:rFonts w:ascii="Calibri" w:hAnsi="Calibri" w:cs="Calibri"/>
                <w:sz w:val="16"/>
                <w:szCs w:val="16"/>
              </w:rPr>
              <w:t xml:space="preserve">Yes, for total PFAS recommends PFOA, and sum of PFOS and </w:t>
            </w:r>
            <w:proofErr w:type="spellStart"/>
            <w:r w:rsidRPr="00595884">
              <w:rPr>
                <w:rFonts w:ascii="Calibri" w:hAnsi="Calibri" w:cs="Calibri"/>
                <w:sz w:val="16"/>
                <w:szCs w:val="16"/>
              </w:rPr>
              <w:t>PFHxS</w:t>
            </w:r>
            <w:proofErr w:type="spellEnd"/>
            <w:r w:rsidRPr="00595884">
              <w:rPr>
                <w:rFonts w:ascii="Calibri" w:hAnsi="Calibri" w:cs="Calibri"/>
                <w:sz w:val="16"/>
                <w:szCs w:val="16"/>
              </w:rPr>
              <w:t>.ⴕ</w:t>
            </w:r>
          </w:p>
        </w:tc>
        <w:tc>
          <w:tcPr>
            <w:tcW w:w="3049" w:type="dxa"/>
            <w:tcBorders>
              <w:top w:val="nil"/>
              <w:left w:val="nil"/>
              <w:bottom w:val="single" w:sz="4" w:space="0" w:color="B5DDDC"/>
              <w:right w:val="single" w:sz="4" w:space="0" w:color="B5DDDC"/>
            </w:tcBorders>
            <w:hideMark/>
          </w:tcPr>
          <w:p w14:paraId="46FDE8FE" w14:textId="77777777" w:rsidR="0062671B" w:rsidRPr="00595884" w:rsidRDefault="00274BC6" w:rsidP="0062671B">
            <w:pPr>
              <w:spacing w:before="0" w:after="0" w:line="240" w:lineRule="auto"/>
              <w:rPr>
                <w:rFonts w:ascii="Calibri" w:hAnsi="Calibri" w:cs="Calibri"/>
                <w:sz w:val="16"/>
                <w:szCs w:val="16"/>
              </w:rPr>
            </w:pPr>
            <w:r w:rsidRPr="00595884">
              <w:rPr>
                <w:rFonts w:ascii="Calibri" w:hAnsi="Calibri" w:cs="Calibri"/>
                <w:sz w:val="16"/>
                <w:szCs w:val="16"/>
              </w:rPr>
              <w:t>No data on concentrations in recreational waters but provides useful information on potential sources.</w:t>
            </w:r>
          </w:p>
        </w:tc>
        <w:tc>
          <w:tcPr>
            <w:tcW w:w="2094" w:type="dxa"/>
            <w:tcBorders>
              <w:top w:val="nil"/>
              <w:left w:val="nil"/>
              <w:bottom w:val="single" w:sz="4" w:space="0" w:color="B5DDDC"/>
              <w:right w:val="single" w:sz="4" w:space="0" w:color="B5DDDC"/>
            </w:tcBorders>
            <w:hideMark/>
          </w:tcPr>
          <w:p w14:paraId="15E03F01" w14:textId="77777777" w:rsidR="0062671B" w:rsidRPr="00595884" w:rsidRDefault="00274BC6" w:rsidP="0062671B">
            <w:pPr>
              <w:spacing w:before="0" w:after="0" w:line="240" w:lineRule="auto"/>
              <w:rPr>
                <w:rFonts w:ascii="Calibri" w:hAnsi="Calibri" w:cs="Calibri"/>
                <w:sz w:val="16"/>
                <w:szCs w:val="16"/>
              </w:rPr>
            </w:pPr>
            <w:r w:rsidRPr="00595884">
              <w:rPr>
                <w:rFonts w:ascii="Calibri" w:hAnsi="Calibri" w:cs="Calibri"/>
                <w:sz w:val="16"/>
                <w:szCs w:val="16"/>
              </w:rPr>
              <w:t>Of minor relevance to primary and secondary research questions.</w:t>
            </w:r>
          </w:p>
        </w:tc>
      </w:tr>
      <w:tr w:rsidR="004254E5" w14:paraId="02C67502" w14:textId="77777777" w:rsidTr="003C0A46">
        <w:tc>
          <w:tcPr>
            <w:tcW w:w="1198" w:type="dxa"/>
            <w:tcBorders>
              <w:top w:val="nil"/>
              <w:left w:val="single" w:sz="4" w:space="0" w:color="B5DDDC"/>
              <w:bottom w:val="single" w:sz="4" w:space="0" w:color="B5DDDC"/>
              <w:right w:val="single" w:sz="4" w:space="0" w:color="B5DDDC"/>
            </w:tcBorders>
            <w:shd w:val="clear" w:color="000000" w:fill="D6EAEB"/>
            <w:hideMark/>
          </w:tcPr>
          <w:p w14:paraId="13CD73D7" w14:textId="77777777" w:rsidR="0062671B" w:rsidRPr="00595884" w:rsidRDefault="00274BC6" w:rsidP="0062671B">
            <w:pPr>
              <w:spacing w:before="0" w:after="0" w:line="240" w:lineRule="auto"/>
              <w:rPr>
                <w:rFonts w:ascii="Calibri" w:hAnsi="Calibri" w:cs="Calibri"/>
                <w:sz w:val="16"/>
                <w:szCs w:val="16"/>
              </w:rPr>
            </w:pPr>
            <w:r w:rsidRPr="00595884">
              <w:rPr>
                <w:rFonts w:ascii="Calibri" w:hAnsi="Calibri" w:cs="Calibri"/>
                <w:sz w:val="16"/>
                <w:szCs w:val="16"/>
              </w:rPr>
              <w:t xml:space="preserve">G5: NRMMC, EPHC, and AHMC (2006) </w:t>
            </w:r>
          </w:p>
        </w:tc>
        <w:tc>
          <w:tcPr>
            <w:tcW w:w="1069" w:type="dxa"/>
            <w:tcBorders>
              <w:top w:val="nil"/>
              <w:left w:val="nil"/>
              <w:bottom w:val="single" w:sz="4" w:space="0" w:color="B5DDDC"/>
              <w:right w:val="single" w:sz="4" w:space="0" w:color="B5DDDC"/>
            </w:tcBorders>
            <w:hideMark/>
          </w:tcPr>
          <w:p w14:paraId="4BE1C10B" w14:textId="77777777" w:rsidR="0062671B" w:rsidRPr="00595884" w:rsidRDefault="00274BC6" w:rsidP="0062671B">
            <w:pPr>
              <w:spacing w:before="0" w:after="0" w:line="240" w:lineRule="auto"/>
              <w:rPr>
                <w:rFonts w:ascii="Calibri" w:hAnsi="Calibri" w:cs="Calibri"/>
                <w:sz w:val="16"/>
                <w:szCs w:val="16"/>
              </w:rPr>
            </w:pPr>
            <w:r w:rsidRPr="00595884">
              <w:rPr>
                <w:rFonts w:ascii="Calibri" w:hAnsi="Calibri" w:cs="Calibri"/>
                <w:sz w:val="16"/>
                <w:szCs w:val="16"/>
              </w:rPr>
              <w:t>Yes</w:t>
            </w:r>
          </w:p>
        </w:tc>
        <w:tc>
          <w:tcPr>
            <w:tcW w:w="1136" w:type="dxa"/>
            <w:tcBorders>
              <w:top w:val="nil"/>
              <w:left w:val="nil"/>
              <w:bottom w:val="single" w:sz="4" w:space="0" w:color="B5DDDC"/>
              <w:right w:val="single" w:sz="4" w:space="0" w:color="B5DDDC"/>
            </w:tcBorders>
            <w:hideMark/>
          </w:tcPr>
          <w:p w14:paraId="2EB796D8" w14:textId="182EF9D5" w:rsidR="0062671B" w:rsidRPr="00595884" w:rsidRDefault="00274BC6" w:rsidP="0062671B">
            <w:pPr>
              <w:spacing w:before="0" w:after="0" w:line="240" w:lineRule="auto"/>
              <w:rPr>
                <w:rFonts w:ascii="Calibri" w:hAnsi="Calibri" w:cs="Calibri"/>
                <w:sz w:val="16"/>
                <w:szCs w:val="16"/>
              </w:rPr>
            </w:pPr>
            <w:r w:rsidRPr="00595884">
              <w:rPr>
                <w:rFonts w:ascii="Calibri" w:hAnsi="Calibri" w:cs="Calibri"/>
                <w:sz w:val="16"/>
                <w:szCs w:val="16"/>
              </w:rPr>
              <w:t>Yes (Q. 2 &amp; 3)</w:t>
            </w:r>
          </w:p>
        </w:tc>
        <w:tc>
          <w:tcPr>
            <w:tcW w:w="2126" w:type="dxa"/>
            <w:tcBorders>
              <w:top w:val="nil"/>
              <w:left w:val="single" w:sz="4" w:space="0" w:color="B5DDDC"/>
              <w:bottom w:val="single" w:sz="4" w:space="0" w:color="B5DDDC"/>
              <w:right w:val="single" w:sz="4" w:space="0" w:color="B5DDDC"/>
            </w:tcBorders>
            <w:hideMark/>
          </w:tcPr>
          <w:p w14:paraId="542299C2" w14:textId="7BA0962F" w:rsidR="0062671B" w:rsidRPr="00595884" w:rsidRDefault="00274BC6" w:rsidP="0062671B">
            <w:pPr>
              <w:spacing w:before="0" w:after="0" w:line="240" w:lineRule="auto"/>
              <w:rPr>
                <w:rFonts w:ascii="Calibri" w:hAnsi="Calibri" w:cs="Calibri"/>
                <w:sz w:val="16"/>
                <w:szCs w:val="16"/>
              </w:rPr>
            </w:pPr>
            <w:r w:rsidRPr="00595884">
              <w:rPr>
                <w:rFonts w:ascii="Calibri" w:hAnsi="Calibri" w:cs="Calibri"/>
                <w:sz w:val="16"/>
                <w:szCs w:val="16"/>
              </w:rPr>
              <w:t xml:space="preserve">Yes, lists some classes of contaminants of concern in recycled </w:t>
            </w:r>
            <w:proofErr w:type="gramStart"/>
            <w:r w:rsidRPr="00595884">
              <w:rPr>
                <w:rFonts w:ascii="Calibri" w:hAnsi="Calibri" w:cs="Calibri"/>
                <w:sz w:val="16"/>
                <w:szCs w:val="16"/>
              </w:rPr>
              <w:t>waters.*</w:t>
            </w:r>
            <w:proofErr w:type="gramEnd"/>
          </w:p>
        </w:tc>
        <w:tc>
          <w:tcPr>
            <w:tcW w:w="1243" w:type="dxa"/>
            <w:tcBorders>
              <w:top w:val="nil"/>
              <w:left w:val="nil"/>
              <w:bottom w:val="single" w:sz="4" w:space="0" w:color="B5DDDC"/>
              <w:right w:val="single" w:sz="4" w:space="0" w:color="B5DDDC"/>
            </w:tcBorders>
            <w:hideMark/>
          </w:tcPr>
          <w:p w14:paraId="4E7197A5" w14:textId="77777777" w:rsidR="0062671B" w:rsidRPr="00595884" w:rsidRDefault="00274BC6" w:rsidP="0062671B">
            <w:pPr>
              <w:spacing w:before="0" w:after="0" w:line="240" w:lineRule="auto"/>
              <w:rPr>
                <w:rFonts w:ascii="Calibri" w:hAnsi="Calibri" w:cs="Calibri"/>
                <w:sz w:val="16"/>
                <w:szCs w:val="16"/>
              </w:rPr>
            </w:pPr>
            <w:r w:rsidRPr="00595884">
              <w:rPr>
                <w:rFonts w:ascii="Calibri" w:hAnsi="Calibri" w:cs="Calibri"/>
                <w:sz w:val="16"/>
                <w:szCs w:val="16"/>
              </w:rPr>
              <w:t>No (no data for chemical risk assessment)</w:t>
            </w:r>
          </w:p>
        </w:tc>
        <w:tc>
          <w:tcPr>
            <w:tcW w:w="1413" w:type="dxa"/>
            <w:tcBorders>
              <w:top w:val="nil"/>
              <w:left w:val="single" w:sz="4" w:space="0" w:color="B5DDDC"/>
              <w:bottom w:val="single" w:sz="4" w:space="0" w:color="B5DDDC"/>
              <w:right w:val="single" w:sz="4" w:space="0" w:color="B5DDDC"/>
            </w:tcBorders>
            <w:hideMark/>
          </w:tcPr>
          <w:p w14:paraId="76D36B8E" w14:textId="3431E2C0" w:rsidR="0062671B" w:rsidRPr="00595884" w:rsidRDefault="00274BC6" w:rsidP="0062671B">
            <w:pPr>
              <w:spacing w:before="0" w:after="0" w:line="240" w:lineRule="auto"/>
              <w:rPr>
                <w:rFonts w:ascii="Calibri" w:hAnsi="Calibri" w:cs="Calibri"/>
                <w:sz w:val="16"/>
                <w:szCs w:val="16"/>
              </w:rPr>
            </w:pPr>
            <w:r w:rsidRPr="00595884">
              <w:rPr>
                <w:rFonts w:ascii="Calibri" w:hAnsi="Calibri" w:cs="Calibri"/>
                <w:sz w:val="16"/>
                <w:szCs w:val="16"/>
              </w:rPr>
              <w:t>No</w:t>
            </w:r>
          </w:p>
        </w:tc>
        <w:tc>
          <w:tcPr>
            <w:tcW w:w="1414" w:type="dxa"/>
            <w:tcBorders>
              <w:top w:val="nil"/>
              <w:left w:val="nil"/>
              <w:bottom w:val="single" w:sz="4" w:space="0" w:color="B5DDDC"/>
              <w:right w:val="single" w:sz="4" w:space="0" w:color="B5DDDC"/>
            </w:tcBorders>
            <w:hideMark/>
          </w:tcPr>
          <w:p w14:paraId="27D225E4" w14:textId="77777777" w:rsidR="0062671B" w:rsidRPr="00595884" w:rsidRDefault="00274BC6" w:rsidP="0062671B">
            <w:pPr>
              <w:spacing w:before="0" w:after="0" w:line="240" w:lineRule="auto"/>
              <w:rPr>
                <w:rFonts w:ascii="Calibri" w:hAnsi="Calibri" w:cs="Calibri"/>
                <w:sz w:val="16"/>
                <w:szCs w:val="16"/>
              </w:rPr>
            </w:pPr>
            <w:r w:rsidRPr="00595884">
              <w:rPr>
                <w:rFonts w:ascii="Calibri" w:hAnsi="Calibri" w:cs="Calibri"/>
                <w:sz w:val="16"/>
                <w:szCs w:val="16"/>
              </w:rPr>
              <w:t>No</w:t>
            </w:r>
          </w:p>
        </w:tc>
        <w:tc>
          <w:tcPr>
            <w:tcW w:w="3049" w:type="dxa"/>
            <w:tcBorders>
              <w:top w:val="nil"/>
              <w:left w:val="nil"/>
              <w:bottom w:val="single" w:sz="4" w:space="0" w:color="B5DDDC"/>
              <w:right w:val="single" w:sz="4" w:space="0" w:color="B5DDDC"/>
            </w:tcBorders>
            <w:hideMark/>
          </w:tcPr>
          <w:p w14:paraId="440466AE" w14:textId="77777777" w:rsidR="0062671B" w:rsidRPr="00595884" w:rsidRDefault="00274BC6" w:rsidP="0062671B">
            <w:pPr>
              <w:spacing w:before="0" w:after="0" w:line="240" w:lineRule="auto"/>
              <w:rPr>
                <w:rFonts w:ascii="Calibri" w:hAnsi="Calibri" w:cs="Calibri"/>
                <w:sz w:val="16"/>
                <w:szCs w:val="16"/>
              </w:rPr>
            </w:pPr>
            <w:r w:rsidRPr="00595884">
              <w:rPr>
                <w:rFonts w:ascii="Calibri" w:hAnsi="Calibri" w:cs="Calibri"/>
                <w:sz w:val="16"/>
                <w:szCs w:val="16"/>
              </w:rPr>
              <w:t>No data on concentrations in recreational waters but provides useful information on potential sources.</w:t>
            </w:r>
          </w:p>
        </w:tc>
        <w:tc>
          <w:tcPr>
            <w:tcW w:w="2094" w:type="dxa"/>
            <w:tcBorders>
              <w:top w:val="nil"/>
              <w:left w:val="nil"/>
              <w:bottom w:val="single" w:sz="4" w:space="0" w:color="B5DDDC"/>
              <w:right w:val="single" w:sz="4" w:space="0" w:color="B5DDDC"/>
            </w:tcBorders>
            <w:hideMark/>
          </w:tcPr>
          <w:p w14:paraId="77E40CA8" w14:textId="77777777" w:rsidR="0062671B" w:rsidRPr="00595884" w:rsidRDefault="00274BC6" w:rsidP="0062671B">
            <w:pPr>
              <w:spacing w:before="0" w:after="0" w:line="240" w:lineRule="auto"/>
              <w:rPr>
                <w:rFonts w:ascii="Calibri" w:hAnsi="Calibri" w:cs="Calibri"/>
                <w:sz w:val="16"/>
                <w:szCs w:val="16"/>
              </w:rPr>
            </w:pPr>
            <w:r w:rsidRPr="00595884">
              <w:rPr>
                <w:rFonts w:ascii="Calibri" w:hAnsi="Calibri" w:cs="Calibri"/>
                <w:sz w:val="16"/>
                <w:szCs w:val="16"/>
              </w:rPr>
              <w:t>Of minor relevance to primary and secondary research questions.</w:t>
            </w:r>
          </w:p>
        </w:tc>
      </w:tr>
      <w:tr w:rsidR="004254E5" w14:paraId="2375D4A8" w14:textId="77777777" w:rsidTr="003C0A46">
        <w:tc>
          <w:tcPr>
            <w:tcW w:w="1198" w:type="dxa"/>
            <w:tcBorders>
              <w:top w:val="nil"/>
              <w:left w:val="single" w:sz="4" w:space="0" w:color="B5DDDC"/>
              <w:bottom w:val="single" w:sz="4" w:space="0" w:color="B5DDDC"/>
              <w:right w:val="single" w:sz="4" w:space="0" w:color="B5DDDC"/>
            </w:tcBorders>
            <w:shd w:val="clear" w:color="000000" w:fill="D6EAEB"/>
            <w:hideMark/>
          </w:tcPr>
          <w:p w14:paraId="12837777" w14:textId="77777777" w:rsidR="0062671B" w:rsidRPr="00595884" w:rsidRDefault="00274BC6" w:rsidP="0062671B">
            <w:pPr>
              <w:spacing w:before="0" w:after="0" w:line="240" w:lineRule="auto"/>
              <w:rPr>
                <w:rFonts w:ascii="Calibri" w:hAnsi="Calibri" w:cs="Calibri"/>
                <w:sz w:val="16"/>
                <w:szCs w:val="16"/>
              </w:rPr>
            </w:pPr>
            <w:r w:rsidRPr="00595884">
              <w:rPr>
                <w:rFonts w:ascii="Calibri" w:hAnsi="Calibri" w:cs="Calibri"/>
                <w:sz w:val="16"/>
                <w:szCs w:val="16"/>
              </w:rPr>
              <w:t xml:space="preserve">G6: NRMMC, EPHC, and NHMRC (2008) </w:t>
            </w:r>
          </w:p>
        </w:tc>
        <w:tc>
          <w:tcPr>
            <w:tcW w:w="1069" w:type="dxa"/>
            <w:tcBorders>
              <w:top w:val="nil"/>
              <w:left w:val="nil"/>
              <w:bottom w:val="single" w:sz="4" w:space="0" w:color="B5DDDC"/>
              <w:right w:val="single" w:sz="4" w:space="0" w:color="B5DDDC"/>
            </w:tcBorders>
            <w:hideMark/>
          </w:tcPr>
          <w:p w14:paraId="588ACA60" w14:textId="77777777" w:rsidR="0062671B" w:rsidRPr="00595884" w:rsidRDefault="00274BC6" w:rsidP="0062671B">
            <w:pPr>
              <w:spacing w:before="0" w:after="0" w:line="240" w:lineRule="auto"/>
              <w:rPr>
                <w:rFonts w:ascii="Calibri" w:hAnsi="Calibri" w:cs="Calibri"/>
                <w:sz w:val="16"/>
                <w:szCs w:val="16"/>
              </w:rPr>
            </w:pPr>
            <w:r w:rsidRPr="00595884">
              <w:rPr>
                <w:rFonts w:ascii="Calibri" w:hAnsi="Calibri" w:cs="Calibri"/>
                <w:sz w:val="16"/>
                <w:szCs w:val="16"/>
              </w:rPr>
              <w:t>Yes</w:t>
            </w:r>
          </w:p>
        </w:tc>
        <w:tc>
          <w:tcPr>
            <w:tcW w:w="1136" w:type="dxa"/>
            <w:tcBorders>
              <w:top w:val="nil"/>
              <w:left w:val="nil"/>
              <w:bottom w:val="single" w:sz="4" w:space="0" w:color="B5DDDC"/>
              <w:right w:val="single" w:sz="4" w:space="0" w:color="B5DDDC"/>
            </w:tcBorders>
            <w:hideMark/>
          </w:tcPr>
          <w:p w14:paraId="5F82B3EB" w14:textId="77777777" w:rsidR="0062671B" w:rsidRPr="00595884" w:rsidRDefault="00274BC6" w:rsidP="0062671B">
            <w:pPr>
              <w:spacing w:before="0" w:after="0" w:line="240" w:lineRule="auto"/>
              <w:rPr>
                <w:rFonts w:ascii="Calibri" w:hAnsi="Calibri" w:cs="Calibri"/>
                <w:sz w:val="16"/>
                <w:szCs w:val="16"/>
              </w:rPr>
            </w:pPr>
            <w:r w:rsidRPr="00595884">
              <w:rPr>
                <w:rFonts w:ascii="Calibri" w:hAnsi="Calibri" w:cs="Calibri"/>
                <w:sz w:val="16"/>
                <w:szCs w:val="16"/>
              </w:rPr>
              <w:t>Yes (Q.1)</w:t>
            </w:r>
          </w:p>
        </w:tc>
        <w:tc>
          <w:tcPr>
            <w:tcW w:w="2126" w:type="dxa"/>
            <w:tcBorders>
              <w:top w:val="nil"/>
              <w:left w:val="single" w:sz="4" w:space="0" w:color="B5DDDC"/>
              <w:bottom w:val="single" w:sz="4" w:space="0" w:color="B5DDDC"/>
              <w:right w:val="single" w:sz="4" w:space="0" w:color="B5DDDC"/>
            </w:tcBorders>
            <w:hideMark/>
          </w:tcPr>
          <w:p w14:paraId="343D1F8E" w14:textId="73D5661F" w:rsidR="0062671B" w:rsidRPr="00595884" w:rsidRDefault="00274BC6" w:rsidP="0062671B">
            <w:pPr>
              <w:spacing w:before="0" w:after="0" w:line="240" w:lineRule="auto"/>
              <w:rPr>
                <w:rFonts w:ascii="Calibri" w:hAnsi="Calibri" w:cs="Calibri"/>
                <w:sz w:val="16"/>
                <w:szCs w:val="16"/>
              </w:rPr>
            </w:pPr>
            <w:r w:rsidRPr="00595884">
              <w:rPr>
                <w:rFonts w:ascii="Calibri" w:hAnsi="Calibri" w:cs="Calibri"/>
                <w:sz w:val="16"/>
                <w:szCs w:val="16"/>
              </w:rPr>
              <w:t xml:space="preserve">Yes, extensive listing of contaminants of concern in recycled </w:t>
            </w:r>
            <w:proofErr w:type="gramStart"/>
            <w:r w:rsidRPr="00595884">
              <w:rPr>
                <w:rFonts w:ascii="Calibri" w:hAnsi="Calibri" w:cs="Calibri"/>
                <w:sz w:val="16"/>
                <w:szCs w:val="16"/>
              </w:rPr>
              <w:t>waters.*</w:t>
            </w:r>
            <w:proofErr w:type="gramEnd"/>
            <w:r w:rsidRPr="00595884">
              <w:rPr>
                <w:rFonts w:ascii="Calibri" w:hAnsi="Calibri" w:cs="Calibri"/>
                <w:sz w:val="16"/>
                <w:szCs w:val="16"/>
              </w:rPr>
              <w:t xml:space="preserve">  </w:t>
            </w:r>
          </w:p>
        </w:tc>
        <w:tc>
          <w:tcPr>
            <w:tcW w:w="1243" w:type="dxa"/>
            <w:tcBorders>
              <w:top w:val="nil"/>
              <w:left w:val="nil"/>
              <w:bottom w:val="single" w:sz="4" w:space="0" w:color="B5DDDC"/>
              <w:right w:val="single" w:sz="4" w:space="0" w:color="B5DDDC"/>
            </w:tcBorders>
            <w:hideMark/>
          </w:tcPr>
          <w:p w14:paraId="27F0549E" w14:textId="77777777" w:rsidR="0062671B" w:rsidRPr="00595884" w:rsidRDefault="00274BC6" w:rsidP="0062671B">
            <w:pPr>
              <w:spacing w:before="0" w:after="0" w:line="240" w:lineRule="auto"/>
              <w:rPr>
                <w:rFonts w:ascii="Calibri" w:hAnsi="Calibri" w:cs="Calibri"/>
                <w:sz w:val="16"/>
                <w:szCs w:val="16"/>
              </w:rPr>
            </w:pPr>
            <w:r w:rsidRPr="00595884">
              <w:rPr>
                <w:rFonts w:ascii="Calibri" w:hAnsi="Calibri" w:cs="Calibri"/>
                <w:sz w:val="16"/>
                <w:szCs w:val="16"/>
              </w:rPr>
              <w:t>No</w:t>
            </w:r>
          </w:p>
        </w:tc>
        <w:tc>
          <w:tcPr>
            <w:tcW w:w="1413" w:type="dxa"/>
            <w:tcBorders>
              <w:top w:val="nil"/>
              <w:left w:val="single" w:sz="4" w:space="0" w:color="B5DDDC"/>
              <w:bottom w:val="single" w:sz="4" w:space="0" w:color="B5DDDC"/>
              <w:right w:val="single" w:sz="4" w:space="0" w:color="B5DDDC"/>
            </w:tcBorders>
            <w:hideMark/>
          </w:tcPr>
          <w:p w14:paraId="49EAF68F" w14:textId="11B3009F" w:rsidR="0062671B" w:rsidRPr="00595884" w:rsidRDefault="00274BC6" w:rsidP="0062671B">
            <w:pPr>
              <w:spacing w:before="0" w:after="0" w:line="240" w:lineRule="auto"/>
              <w:rPr>
                <w:rFonts w:ascii="Calibri" w:hAnsi="Calibri" w:cs="Calibri"/>
                <w:sz w:val="16"/>
                <w:szCs w:val="16"/>
              </w:rPr>
            </w:pPr>
            <w:r w:rsidRPr="00595884">
              <w:rPr>
                <w:rFonts w:ascii="Calibri" w:hAnsi="Calibri" w:cs="Calibri"/>
                <w:sz w:val="16"/>
                <w:szCs w:val="16"/>
              </w:rPr>
              <w:t>Yes, listed guidelines are based on chronic exposure only.</w:t>
            </w:r>
          </w:p>
        </w:tc>
        <w:tc>
          <w:tcPr>
            <w:tcW w:w="1414" w:type="dxa"/>
            <w:tcBorders>
              <w:top w:val="nil"/>
              <w:left w:val="nil"/>
              <w:bottom w:val="single" w:sz="4" w:space="0" w:color="B5DDDC"/>
              <w:right w:val="single" w:sz="4" w:space="0" w:color="B5DDDC"/>
            </w:tcBorders>
            <w:hideMark/>
          </w:tcPr>
          <w:p w14:paraId="56019886" w14:textId="77777777" w:rsidR="0062671B" w:rsidRPr="00595884" w:rsidRDefault="00274BC6" w:rsidP="0062671B">
            <w:pPr>
              <w:spacing w:before="0" w:after="0" w:line="240" w:lineRule="auto"/>
              <w:rPr>
                <w:rFonts w:ascii="Calibri" w:hAnsi="Calibri" w:cs="Calibri"/>
                <w:sz w:val="16"/>
                <w:szCs w:val="16"/>
              </w:rPr>
            </w:pPr>
            <w:r w:rsidRPr="00595884">
              <w:rPr>
                <w:rFonts w:ascii="Calibri" w:hAnsi="Calibri" w:cs="Calibri"/>
                <w:sz w:val="16"/>
                <w:szCs w:val="16"/>
              </w:rPr>
              <w:t>No</w:t>
            </w:r>
          </w:p>
        </w:tc>
        <w:tc>
          <w:tcPr>
            <w:tcW w:w="3049" w:type="dxa"/>
            <w:tcBorders>
              <w:top w:val="nil"/>
              <w:left w:val="nil"/>
              <w:bottom w:val="single" w:sz="4" w:space="0" w:color="B5DDDC"/>
              <w:right w:val="single" w:sz="4" w:space="0" w:color="B5DDDC"/>
            </w:tcBorders>
            <w:hideMark/>
          </w:tcPr>
          <w:p w14:paraId="16453EF3" w14:textId="77777777" w:rsidR="0062671B" w:rsidRPr="00595884" w:rsidRDefault="00274BC6" w:rsidP="0062671B">
            <w:pPr>
              <w:spacing w:before="0" w:after="0" w:line="240" w:lineRule="auto"/>
              <w:rPr>
                <w:rFonts w:ascii="Calibri" w:hAnsi="Calibri" w:cs="Calibri"/>
                <w:sz w:val="16"/>
                <w:szCs w:val="16"/>
              </w:rPr>
            </w:pPr>
            <w:r w:rsidRPr="00595884">
              <w:rPr>
                <w:rFonts w:ascii="Calibri" w:hAnsi="Calibri" w:cs="Calibri"/>
                <w:sz w:val="16"/>
                <w:szCs w:val="16"/>
              </w:rPr>
              <w:t xml:space="preserve">Extensive listing of contaminants of concern and their potential concentration in recycled </w:t>
            </w:r>
            <w:proofErr w:type="gramStart"/>
            <w:r w:rsidRPr="00595884">
              <w:rPr>
                <w:rFonts w:ascii="Calibri" w:hAnsi="Calibri" w:cs="Calibri"/>
                <w:sz w:val="16"/>
                <w:szCs w:val="16"/>
              </w:rPr>
              <w:t>waters.*</w:t>
            </w:r>
            <w:proofErr w:type="gramEnd"/>
            <w:r w:rsidRPr="00595884">
              <w:rPr>
                <w:rFonts w:ascii="Calibri" w:hAnsi="Calibri" w:cs="Calibri"/>
                <w:sz w:val="16"/>
                <w:szCs w:val="16"/>
              </w:rPr>
              <w:t xml:space="preserve">  </w:t>
            </w:r>
          </w:p>
        </w:tc>
        <w:tc>
          <w:tcPr>
            <w:tcW w:w="2094" w:type="dxa"/>
            <w:tcBorders>
              <w:top w:val="nil"/>
              <w:left w:val="nil"/>
              <w:bottom w:val="single" w:sz="4" w:space="0" w:color="B5DDDC"/>
              <w:right w:val="single" w:sz="4" w:space="0" w:color="B5DDDC"/>
            </w:tcBorders>
            <w:hideMark/>
          </w:tcPr>
          <w:p w14:paraId="798CA3D3" w14:textId="77777777" w:rsidR="0062671B" w:rsidRPr="00595884" w:rsidRDefault="00274BC6" w:rsidP="0062671B">
            <w:pPr>
              <w:spacing w:before="0" w:after="0" w:line="240" w:lineRule="auto"/>
              <w:rPr>
                <w:rFonts w:ascii="Calibri" w:hAnsi="Calibri" w:cs="Calibri"/>
                <w:sz w:val="16"/>
                <w:szCs w:val="16"/>
              </w:rPr>
            </w:pPr>
            <w:r w:rsidRPr="00595884">
              <w:rPr>
                <w:rFonts w:ascii="Calibri" w:hAnsi="Calibri" w:cs="Calibri"/>
                <w:sz w:val="16"/>
                <w:szCs w:val="16"/>
              </w:rPr>
              <w:t xml:space="preserve">Important Australian reference for understanding chemical hazards in recycled </w:t>
            </w:r>
            <w:proofErr w:type="gramStart"/>
            <w:r w:rsidRPr="00595884">
              <w:rPr>
                <w:rFonts w:ascii="Calibri" w:hAnsi="Calibri" w:cs="Calibri"/>
                <w:sz w:val="16"/>
                <w:szCs w:val="16"/>
              </w:rPr>
              <w:t>waters.*</w:t>
            </w:r>
            <w:proofErr w:type="gramEnd"/>
          </w:p>
        </w:tc>
      </w:tr>
      <w:tr w:rsidR="004254E5" w14:paraId="0FCA38A1" w14:textId="77777777" w:rsidTr="003C0A46">
        <w:tc>
          <w:tcPr>
            <w:tcW w:w="1198" w:type="dxa"/>
            <w:tcBorders>
              <w:top w:val="nil"/>
              <w:left w:val="single" w:sz="4" w:space="0" w:color="B5DDDC"/>
              <w:bottom w:val="single" w:sz="4" w:space="0" w:color="B5DDDC"/>
              <w:right w:val="single" w:sz="4" w:space="0" w:color="B5DDDC"/>
            </w:tcBorders>
            <w:shd w:val="clear" w:color="000000" w:fill="D6EAEB"/>
            <w:hideMark/>
          </w:tcPr>
          <w:p w14:paraId="7A6C065F" w14:textId="77777777" w:rsidR="0062671B" w:rsidRPr="00595884" w:rsidRDefault="00274BC6" w:rsidP="0062671B">
            <w:pPr>
              <w:spacing w:before="0" w:after="0" w:line="240" w:lineRule="auto"/>
              <w:rPr>
                <w:rFonts w:ascii="Calibri" w:hAnsi="Calibri" w:cs="Calibri"/>
                <w:sz w:val="16"/>
                <w:szCs w:val="16"/>
              </w:rPr>
            </w:pPr>
            <w:r w:rsidRPr="00595884">
              <w:rPr>
                <w:rFonts w:ascii="Calibri" w:hAnsi="Calibri" w:cs="Calibri"/>
                <w:sz w:val="16"/>
                <w:szCs w:val="16"/>
              </w:rPr>
              <w:t>G9: US EPA (2019)</w:t>
            </w:r>
          </w:p>
        </w:tc>
        <w:tc>
          <w:tcPr>
            <w:tcW w:w="1069" w:type="dxa"/>
            <w:tcBorders>
              <w:top w:val="nil"/>
              <w:left w:val="nil"/>
              <w:bottom w:val="single" w:sz="4" w:space="0" w:color="B5DDDC"/>
              <w:right w:val="single" w:sz="4" w:space="0" w:color="B5DDDC"/>
            </w:tcBorders>
            <w:hideMark/>
          </w:tcPr>
          <w:p w14:paraId="1D3D6672" w14:textId="77777777" w:rsidR="0062671B" w:rsidRPr="00595884" w:rsidRDefault="00274BC6" w:rsidP="0062671B">
            <w:pPr>
              <w:spacing w:before="0" w:after="0" w:line="240" w:lineRule="auto"/>
              <w:rPr>
                <w:rFonts w:ascii="Calibri" w:hAnsi="Calibri" w:cs="Calibri"/>
                <w:sz w:val="16"/>
                <w:szCs w:val="16"/>
              </w:rPr>
            </w:pPr>
            <w:r w:rsidRPr="00595884">
              <w:rPr>
                <w:rFonts w:ascii="Calibri" w:hAnsi="Calibri" w:cs="Calibri"/>
                <w:sz w:val="16"/>
                <w:szCs w:val="16"/>
              </w:rPr>
              <w:t>No</w:t>
            </w:r>
          </w:p>
        </w:tc>
        <w:tc>
          <w:tcPr>
            <w:tcW w:w="1136" w:type="dxa"/>
            <w:tcBorders>
              <w:top w:val="nil"/>
              <w:left w:val="nil"/>
              <w:bottom w:val="single" w:sz="4" w:space="0" w:color="B5DDDC"/>
              <w:right w:val="single" w:sz="4" w:space="0" w:color="B5DDDC"/>
            </w:tcBorders>
            <w:hideMark/>
          </w:tcPr>
          <w:p w14:paraId="578FE7AC" w14:textId="77777777" w:rsidR="0062671B" w:rsidRPr="00595884" w:rsidRDefault="00274BC6" w:rsidP="0062671B">
            <w:pPr>
              <w:spacing w:before="0" w:after="0" w:line="240" w:lineRule="auto"/>
              <w:rPr>
                <w:rFonts w:ascii="Calibri" w:hAnsi="Calibri" w:cs="Calibri"/>
                <w:sz w:val="16"/>
                <w:szCs w:val="16"/>
              </w:rPr>
            </w:pPr>
            <w:r w:rsidRPr="00595884">
              <w:rPr>
                <w:rFonts w:ascii="Calibri" w:hAnsi="Calibri" w:cs="Calibri"/>
                <w:sz w:val="16"/>
                <w:szCs w:val="16"/>
              </w:rPr>
              <w:t>Yes (Q.2)</w:t>
            </w:r>
          </w:p>
        </w:tc>
        <w:tc>
          <w:tcPr>
            <w:tcW w:w="2126" w:type="dxa"/>
            <w:tcBorders>
              <w:top w:val="nil"/>
              <w:left w:val="single" w:sz="4" w:space="0" w:color="B5DDDC"/>
              <w:bottom w:val="single" w:sz="4" w:space="0" w:color="B5DDDC"/>
              <w:right w:val="single" w:sz="4" w:space="0" w:color="B5DDDC"/>
            </w:tcBorders>
            <w:hideMark/>
          </w:tcPr>
          <w:p w14:paraId="46B79D88" w14:textId="275F53E0" w:rsidR="0062671B" w:rsidRPr="00595884" w:rsidRDefault="00274BC6" w:rsidP="0062671B">
            <w:pPr>
              <w:spacing w:before="0" w:after="0" w:line="240" w:lineRule="auto"/>
              <w:rPr>
                <w:rFonts w:ascii="Calibri" w:hAnsi="Calibri" w:cs="Calibri"/>
                <w:sz w:val="16"/>
                <w:szCs w:val="16"/>
              </w:rPr>
            </w:pPr>
            <w:r w:rsidRPr="00595884">
              <w:rPr>
                <w:rFonts w:ascii="Calibri" w:hAnsi="Calibri" w:cs="Calibri"/>
                <w:sz w:val="16"/>
                <w:szCs w:val="16"/>
              </w:rPr>
              <w:t>No</w:t>
            </w:r>
          </w:p>
        </w:tc>
        <w:tc>
          <w:tcPr>
            <w:tcW w:w="1243" w:type="dxa"/>
            <w:tcBorders>
              <w:top w:val="nil"/>
              <w:left w:val="nil"/>
              <w:bottom w:val="single" w:sz="4" w:space="0" w:color="B5DDDC"/>
              <w:right w:val="single" w:sz="4" w:space="0" w:color="B5DDDC"/>
            </w:tcBorders>
            <w:hideMark/>
          </w:tcPr>
          <w:p w14:paraId="0D234167" w14:textId="77777777" w:rsidR="0062671B" w:rsidRPr="00595884" w:rsidRDefault="00274BC6" w:rsidP="0062671B">
            <w:pPr>
              <w:spacing w:before="0" w:after="0" w:line="240" w:lineRule="auto"/>
              <w:rPr>
                <w:rFonts w:ascii="Calibri" w:hAnsi="Calibri" w:cs="Calibri"/>
                <w:sz w:val="16"/>
                <w:szCs w:val="16"/>
              </w:rPr>
            </w:pPr>
            <w:r w:rsidRPr="00595884">
              <w:rPr>
                <w:rFonts w:ascii="Calibri" w:hAnsi="Calibri" w:cs="Calibri"/>
                <w:sz w:val="16"/>
                <w:szCs w:val="16"/>
              </w:rPr>
              <w:t>Yes</w:t>
            </w:r>
          </w:p>
        </w:tc>
        <w:tc>
          <w:tcPr>
            <w:tcW w:w="1413" w:type="dxa"/>
            <w:tcBorders>
              <w:top w:val="nil"/>
              <w:left w:val="single" w:sz="4" w:space="0" w:color="B5DDDC"/>
              <w:bottom w:val="single" w:sz="4" w:space="0" w:color="B5DDDC"/>
              <w:right w:val="single" w:sz="4" w:space="0" w:color="B5DDDC"/>
            </w:tcBorders>
            <w:hideMark/>
          </w:tcPr>
          <w:p w14:paraId="1C90BB7A" w14:textId="6EF30C36" w:rsidR="0062671B" w:rsidRPr="00595884" w:rsidRDefault="00274BC6" w:rsidP="0062671B">
            <w:pPr>
              <w:spacing w:before="0" w:after="0" w:line="240" w:lineRule="auto"/>
              <w:rPr>
                <w:rFonts w:ascii="Calibri" w:hAnsi="Calibri" w:cs="Calibri"/>
                <w:sz w:val="16"/>
                <w:szCs w:val="16"/>
              </w:rPr>
            </w:pPr>
            <w:r w:rsidRPr="00595884">
              <w:rPr>
                <w:rFonts w:ascii="Calibri" w:hAnsi="Calibri" w:cs="Calibri"/>
                <w:sz w:val="16"/>
                <w:szCs w:val="16"/>
              </w:rPr>
              <w:t>No</w:t>
            </w:r>
          </w:p>
        </w:tc>
        <w:tc>
          <w:tcPr>
            <w:tcW w:w="1414" w:type="dxa"/>
            <w:tcBorders>
              <w:top w:val="nil"/>
              <w:left w:val="nil"/>
              <w:bottom w:val="single" w:sz="4" w:space="0" w:color="B5DDDC"/>
              <w:right w:val="single" w:sz="4" w:space="0" w:color="B5DDDC"/>
            </w:tcBorders>
            <w:hideMark/>
          </w:tcPr>
          <w:p w14:paraId="7774ED7E" w14:textId="77777777" w:rsidR="0062671B" w:rsidRPr="00595884" w:rsidRDefault="00274BC6" w:rsidP="0062671B">
            <w:pPr>
              <w:spacing w:before="0" w:after="0" w:line="240" w:lineRule="auto"/>
              <w:rPr>
                <w:rFonts w:ascii="Calibri" w:hAnsi="Calibri" w:cs="Calibri"/>
                <w:sz w:val="16"/>
                <w:szCs w:val="16"/>
              </w:rPr>
            </w:pPr>
            <w:r w:rsidRPr="00595884">
              <w:rPr>
                <w:rFonts w:ascii="Calibri" w:hAnsi="Calibri" w:cs="Calibri"/>
                <w:sz w:val="16"/>
                <w:szCs w:val="16"/>
              </w:rPr>
              <w:t>No</w:t>
            </w:r>
          </w:p>
        </w:tc>
        <w:tc>
          <w:tcPr>
            <w:tcW w:w="3049" w:type="dxa"/>
            <w:tcBorders>
              <w:top w:val="nil"/>
              <w:left w:val="nil"/>
              <w:bottom w:val="single" w:sz="4" w:space="0" w:color="B5DDDC"/>
              <w:right w:val="single" w:sz="4" w:space="0" w:color="B5DDDC"/>
            </w:tcBorders>
            <w:hideMark/>
          </w:tcPr>
          <w:p w14:paraId="5BC7E120" w14:textId="77777777" w:rsidR="0062671B" w:rsidRPr="00595884" w:rsidRDefault="00274BC6" w:rsidP="0062671B">
            <w:pPr>
              <w:spacing w:before="0" w:after="0" w:line="240" w:lineRule="auto"/>
              <w:rPr>
                <w:rFonts w:ascii="Calibri" w:hAnsi="Calibri" w:cs="Calibri"/>
                <w:sz w:val="16"/>
                <w:szCs w:val="16"/>
              </w:rPr>
            </w:pPr>
            <w:r w:rsidRPr="00595884">
              <w:rPr>
                <w:rFonts w:ascii="Calibri" w:hAnsi="Calibri" w:cs="Calibri"/>
                <w:sz w:val="16"/>
                <w:szCs w:val="16"/>
              </w:rPr>
              <w:t xml:space="preserve">High quality guidance on exposure assessment for chemical hazards in recreational waters, including identification of relevant </w:t>
            </w:r>
            <w:proofErr w:type="spellStart"/>
            <w:r w:rsidRPr="00595884">
              <w:rPr>
                <w:rFonts w:ascii="Calibri" w:hAnsi="Calibri" w:cs="Calibri"/>
                <w:sz w:val="16"/>
                <w:szCs w:val="16"/>
              </w:rPr>
              <w:t>physico</w:t>
            </w:r>
            <w:proofErr w:type="spellEnd"/>
            <w:r w:rsidRPr="00595884">
              <w:rPr>
                <w:rFonts w:ascii="Calibri" w:hAnsi="Calibri" w:cs="Calibri"/>
                <w:sz w:val="16"/>
                <w:szCs w:val="16"/>
              </w:rPr>
              <w:t>-chemical properties.</w:t>
            </w:r>
          </w:p>
        </w:tc>
        <w:tc>
          <w:tcPr>
            <w:tcW w:w="2094" w:type="dxa"/>
            <w:tcBorders>
              <w:top w:val="nil"/>
              <w:left w:val="nil"/>
              <w:bottom w:val="single" w:sz="4" w:space="0" w:color="B5DDDC"/>
              <w:right w:val="single" w:sz="4" w:space="0" w:color="B5DDDC"/>
            </w:tcBorders>
            <w:hideMark/>
          </w:tcPr>
          <w:p w14:paraId="1E146743" w14:textId="77777777" w:rsidR="0062671B" w:rsidRPr="00595884" w:rsidRDefault="00274BC6" w:rsidP="0062671B">
            <w:pPr>
              <w:spacing w:before="0" w:after="0" w:line="240" w:lineRule="auto"/>
              <w:rPr>
                <w:rFonts w:ascii="Calibri" w:hAnsi="Calibri" w:cs="Calibri"/>
                <w:sz w:val="16"/>
                <w:szCs w:val="16"/>
              </w:rPr>
            </w:pPr>
            <w:r w:rsidRPr="00595884">
              <w:rPr>
                <w:rFonts w:ascii="Calibri" w:hAnsi="Calibri" w:cs="Calibri"/>
                <w:sz w:val="16"/>
                <w:szCs w:val="16"/>
              </w:rPr>
              <w:t xml:space="preserve">Of moderate relevance to the secondary research questions.  </w:t>
            </w:r>
          </w:p>
        </w:tc>
      </w:tr>
      <w:tr w:rsidR="004254E5" w14:paraId="37A3EF81" w14:textId="77777777" w:rsidTr="003C0A46">
        <w:tc>
          <w:tcPr>
            <w:tcW w:w="1198" w:type="dxa"/>
            <w:tcBorders>
              <w:top w:val="nil"/>
              <w:left w:val="single" w:sz="4" w:space="0" w:color="B5DDDC"/>
              <w:bottom w:val="single" w:sz="4" w:space="0" w:color="B5DDDC"/>
              <w:right w:val="single" w:sz="4" w:space="0" w:color="B5DDDC"/>
            </w:tcBorders>
            <w:shd w:val="clear" w:color="000000" w:fill="D6EAEB"/>
            <w:hideMark/>
          </w:tcPr>
          <w:p w14:paraId="5BEB304F" w14:textId="77777777" w:rsidR="0062671B" w:rsidRPr="00595884" w:rsidRDefault="00274BC6" w:rsidP="0062671B">
            <w:pPr>
              <w:spacing w:before="0" w:after="0" w:line="240" w:lineRule="auto"/>
              <w:rPr>
                <w:rFonts w:ascii="Calibri" w:hAnsi="Calibri" w:cs="Calibri"/>
                <w:sz w:val="16"/>
                <w:szCs w:val="16"/>
              </w:rPr>
            </w:pPr>
            <w:r w:rsidRPr="00595884">
              <w:rPr>
                <w:rFonts w:ascii="Calibri" w:hAnsi="Calibri" w:cs="Calibri"/>
                <w:sz w:val="16"/>
                <w:szCs w:val="16"/>
              </w:rPr>
              <w:t xml:space="preserve">G10: WHO (2016) </w:t>
            </w:r>
          </w:p>
        </w:tc>
        <w:tc>
          <w:tcPr>
            <w:tcW w:w="1069" w:type="dxa"/>
            <w:tcBorders>
              <w:top w:val="nil"/>
              <w:left w:val="nil"/>
              <w:bottom w:val="single" w:sz="4" w:space="0" w:color="B5DDDC"/>
              <w:right w:val="single" w:sz="4" w:space="0" w:color="B5DDDC"/>
            </w:tcBorders>
            <w:hideMark/>
          </w:tcPr>
          <w:p w14:paraId="68A92CE6" w14:textId="77777777" w:rsidR="0062671B" w:rsidRPr="00595884" w:rsidRDefault="00274BC6" w:rsidP="0062671B">
            <w:pPr>
              <w:spacing w:before="0" w:after="0" w:line="240" w:lineRule="auto"/>
              <w:rPr>
                <w:rFonts w:ascii="Calibri" w:hAnsi="Calibri" w:cs="Calibri"/>
                <w:sz w:val="16"/>
                <w:szCs w:val="16"/>
              </w:rPr>
            </w:pPr>
            <w:r w:rsidRPr="00595884">
              <w:rPr>
                <w:rFonts w:ascii="Calibri" w:hAnsi="Calibri" w:cs="Calibri"/>
                <w:sz w:val="16"/>
                <w:szCs w:val="16"/>
              </w:rPr>
              <w:t>No</w:t>
            </w:r>
          </w:p>
        </w:tc>
        <w:tc>
          <w:tcPr>
            <w:tcW w:w="1136" w:type="dxa"/>
            <w:tcBorders>
              <w:top w:val="nil"/>
              <w:left w:val="nil"/>
              <w:bottom w:val="single" w:sz="4" w:space="0" w:color="B5DDDC"/>
              <w:right w:val="single" w:sz="4" w:space="0" w:color="B5DDDC"/>
            </w:tcBorders>
            <w:hideMark/>
          </w:tcPr>
          <w:p w14:paraId="3D2C6A77" w14:textId="77777777" w:rsidR="0062671B" w:rsidRPr="00595884" w:rsidRDefault="00274BC6" w:rsidP="0062671B">
            <w:pPr>
              <w:spacing w:before="0" w:after="0" w:line="240" w:lineRule="auto"/>
              <w:rPr>
                <w:rFonts w:ascii="Calibri" w:hAnsi="Calibri" w:cs="Calibri"/>
                <w:sz w:val="16"/>
                <w:szCs w:val="16"/>
              </w:rPr>
            </w:pPr>
            <w:r w:rsidRPr="00595884">
              <w:rPr>
                <w:rFonts w:ascii="Calibri" w:hAnsi="Calibri" w:cs="Calibri"/>
                <w:sz w:val="16"/>
                <w:szCs w:val="16"/>
              </w:rPr>
              <w:t>Yes (Q. 1 &amp; 2)</w:t>
            </w:r>
          </w:p>
        </w:tc>
        <w:tc>
          <w:tcPr>
            <w:tcW w:w="2126" w:type="dxa"/>
            <w:tcBorders>
              <w:top w:val="nil"/>
              <w:left w:val="single" w:sz="4" w:space="0" w:color="B5DDDC"/>
              <w:bottom w:val="single" w:sz="4" w:space="0" w:color="B5DDDC"/>
              <w:right w:val="single" w:sz="4" w:space="0" w:color="B5DDDC"/>
            </w:tcBorders>
            <w:hideMark/>
          </w:tcPr>
          <w:p w14:paraId="6BFD3B2F" w14:textId="11446F96" w:rsidR="0062671B" w:rsidRPr="00595884" w:rsidRDefault="00274BC6" w:rsidP="0062671B">
            <w:pPr>
              <w:spacing w:before="0" w:after="0" w:line="240" w:lineRule="auto"/>
              <w:rPr>
                <w:rFonts w:ascii="Calibri" w:hAnsi="Calibri" w:cs="Calibri"/>
                <w:sz w:val="16"/>
                <w:szCs w:val="16"/>
              </w:rPr>
            </w:pPr>
            <w:r w:rsidRPr="00595884">
              <w:rPr>
                <w:rFonts w:ascii="Calibri" w:hAnsi="Calibri" w:cs="Calibri"/>
                <w:sz w:val="16"/>
                <w:szCs w:val="16"/>
              </w:rPr>
              <w:t>Yes, lists some classes of contaminants of concern in surface waters.</w:t>
            </w:r>
          </w:p>
        </w:tc>
        <w:tc>
          <w:tcPr>
            <w:tcW w:w="1243" w:type="dxa"/>
            <w:tcBorders>
              <w:top w:val="nil"/>
              <w:left w:val="nil"/>
              <w:bottom w:val="single" w:sz="4" w:space="0" w:color="B5DDDC"/>
              <w:right w:val="single" w:sz="4" w:space="0" w:color="B5DDDC"/>
            </w:tcBorders>
            <w:hideMark/>
          </w:tcPr>
          <w:p w14:paraId="6CD45FC0" w14:textId="77777777" w:rsidR="0062671B" w:rsidRPr="00595884" w:rsidRDefault="00274BC6" w:rsidP="0062671B">
            <w:pPr>
              <w:spacing w:before="0" w:after="0" w:line="240" w:lineRule="auto"/>
              <w:rPr>
                <w:rFonts w:ascii="Calibri" w:hAnsi="Calibri" w:cs="Calibri"/>
                <w:sz w:val="16"/>
                <w:szCs w:val="16"/>
              </w:rPr>
            </w:pPr>
            <w:r w:rsidRPr="00595884">
              <w:rPr>
                <w:rFonts w:ascii="Calibri" w:hAnsi="Calibri" w:cs="Calibri"/>
                <w:sz w:val="16"/>
                <w:szCs w:val="16"/>
              </w:rPr>
              <w:t>Yes^</w:t>
            </w:r>
          </w:p>
        </w:tc>
        <w:tc>
          <w:tcPr>
            <w:tcW w:w="1413" w:type="dxa"/>
            <w:tcBorders>
              <w:top w:val="nil"/>
              <w:left w:val="single" w:sz="4" w:space="0" w:color="B5DDDC"/>
              <w:bottom w:val="single" w:sz="4" w:space="0" w:color="B5DDDC"/>
              <w:right w:val="single" w:sz="4" w:space="0" w:color="B5DDDC"/>
            </w:tcBorders>
            <w:hideMark/>
          </w:tcPr>
          <w:p w14:paraId="2A6A3553" w14:textId="10B9F607" w:rsidR="0062671B" w:rsidRPr="00595884" w:rsidRDefault="00274BC6" w:rsidP="0062671B">
            <w:pPr>
              <w:spacing w:before="0" w:after="0" w:line="240" w:lineRule="auto"/>
              <w:rPr>
                <w:rFonts w:ascii="Calibri" w:hAnsi="Calibri" w:cs="Calibri"/>
                <w:sz w:val="16"/>
                <w:szCs w:val="16"/>
              </w:rPr>
            </w:pPr>
            <w:r w:rsidRPr="00595884">
              <w:rPr>
                <w:rFonts w:ascii="Calibri" w:hAnsi="Calibri" w:cs="Calibri"/>
                <w:sz w:val="16"/>
                <w:szCs w:val="16"/>
              </w:rPr>
              <w:t>No</w:t>
            </w:r>
          </w:p>
        </w:tc>
        <w:tc>
          <w:tcPr>
            <w:tcW w:w="1414" w:type="dxa"/>
            <w:tcBorders>
              <w:top w:val="nil"/>
              <w:left w:val="nil"/>
              <w:bottom w:val="single" w:sz="4" w:space="0" w:color="B5DDDC"/>
              <w:right w:val="single" w:sz="4" w:space="0" w:color="B5DDDC"/>
            </w:tcBorders>
            <w:hideMark/>
          </w:tcPr>
          <w:p w14:paraId="478C6C45" w14:textId="77777777" w:rsidR="0062671B" w:rsidRPr="00595884" w:rsidRDefault="00274BC6" w:rsidP="0062671B">
            <w:pPr>
              <w:spacing w:before="0" w:after="0" w:line="240" w:lineRule="auto"/>
              <w:rPr>
                <w:rFonts w:ascii="Calibri" w:hAnsi="Calibri" w:cs="Calibri"/>
                <w:sz w:val="16"/>
                <w:szCs w:val="16"/>
              </w:rPr>
            </w:pPr>
            <w:r w:rsidRPr="00595884">
              <w:rPr>
                <w:rFonts w:ascii="Calibri" w:hAnsi="Calibri" w:cs="Calibri"/>
                <w:sz w:val="16"/>
                <w:szCs w:val="16"/>
              </w:rPr>
              <w:t>No</w:t>
            </w:r>
          </w:p>
        </w:tc>
        <w:tc>
          <w:tcPr>
            <w:tcW w:w="3049" w:type="dxa"/>
            <w:tcBorders>
              <w:top w:val="nil"/>
              <w:left w:val="nil"/>
              <w:bottom w:val="single" w:sz="4" w:space="0" w:color="B5DDDC"/>
              <w:right w:val="single" w:sz="4" w:space="0" w:color="B5DDDC"/>
            </w:tcBorders>
            <w:hideMark/>
          </w:tcPr>
          <w:p w14:paraId="712278F7" w14:textId="12B68C65" w:rsidR="0062671B" w:rsidRPr="00595884" w:rsidRDefault="00274BC6">
            <w:pPr>
              <w:spacing w:before="0" w:after="0" w:line="240" w:lineRule="auto"/>
              <w:rPr>
                <w:rFonts w:ascii="Calibri" w:hAnsi="Calibri" w:cs="Calibri"/>
                <w:sz w:val="16"/>
                <w:szCs w:val="16"/>
              </w:rPr>
            </w:pPr>
            <w:r w:rsidRPr="00595884">
              <w:rPr>
                <w:rFonts w:ascii="Calibri" w:hAnsi="Calibri" w:cs="Calibri"/>
                <w:sz w:val="16"/>
                <w:szCs w:val="16"/>
              </w:rPr>
              <w:t xml:space="preserve">Contains some </w:t>
            </w:r>
            <w:bookmarkStart w:id="342" w:name="_Hlk72160336"/>
            <w:r w:rsidRPr="00595884">
              <w:rPr>
                <w:rFonts w:ascii="Calibri" w:hAnsi="Calibri" w:cs="Calibri"/>
                <w:sz w:val="16"/>
                <w:szCs w:val="16"/>
              </w:rPr>
              <w:t xml:space="preserve">clear general guidance for management of surface water quality that </w:t>
            </w:r>
            <w:r w:rsidR="00676540">
              <w:rPr>
                <w:rFonts w:ascii="Calibri" w:hAnsi="Calibri" w:cs="Calibri"/>
                <w:sz w:val="16"/>
                <w:szCs w:val="16"/>
              </w:rPr>
              <w:t>is</w:t>
            </w:r>
            <w:r w:rsidRPr="00595884">
              <w:rPr>
                <w:rFonts w:ascii="Calibri" w:hAnsi="Calibri" w:cs="Calibri"/>
                <w:sz w:val="16"/>
                <w:szCs w:val="16"/>
              </w:rPr>
              <w:t xml:space="preserve"> relevant to recreational waters</w:t>
            </w:r>
            <w:bookmarkEnd w:id="342"/>
            <w:r w:rsidRPr="00595884">
              <w:rPr>
                <w:rFonts w:ascii="Calibri" w:hAnsi="Calibri" w:cs="Calibri"/>
                <w:sz w:val="16"/>
                <w:szCs w:val="16"/>
              </w:rPr>
              <w:t>.</w:t>
            </w:r>
          </w:p>
        </w:tc>
        <w:tc>
          <w:tcPr>
            <w:tcW w:w="2094" w:type="dxa"/>
            <w:tcBorders>
              <w:top w:val="nil"/>
              <w:left w:val="nil"/>
              <w:bottom w:val="single" w:sz="4" w:space="0" w:color="B5DDDC"/>
              <w:right w:val="single" w:sz="4" w:space="0" w:color="B5DDDC"/>
            </w:tcBorders>
            <w:hideMark/>
          </w:tcPr>
          <w:p w14:paraId="52879D21" w14:textId="77777777" w:rsidR="0062671B" w:rsidRPr="00595884" w:rsidRDefault="00274BC6" w:rsidP="0062671B">
            <w:pPr>
              <w:spacing w:before="0" w:after="0" w:line="240" w:lineRule="auto"/>
              <w:rPr>
                <w:rFonts w:ascii="Calibri" w:hAnsi="Calibri" w:cs="Calibri"/>
                <w:sz w:val="16"/>
                <w:szCs w:val="16"/>
              </w:rPr>
            </w:pPr>
            <w:r w:rsidRPr="00595884">
              <w:rPr>
                <w:rFonts w:ascii="Calibri" w:hAnsi="Calibri" w:cs="Calibri"/>
                <w:sz w:val="16"/>
                <w:szCs w:val="16"/>
              </w:rPr>
              <w:t>Of minor relevance to primary and secondary research questions.</w:t>
            </w:r>
          </w:p>
        </w:tc>
      </w:tr>
      <w:tr w:rsidR="004254E5" w14:paraId="1F2297FA" w14:textId="77777777" w:rsidTr="003C0A46">
        <w:tc>
          <w:tcPr>
            <w:tcW w:w="1198" w:type="dxa"/>
            <w:tcBorders>
              <w:top w:val="nil"/>
              <w:left w:val="single" w:sz="4" w:space="0" w:color="B5DDDC"/>
              <w:bottom w:val="single" w:sz="4" w:space="0" w:color="B5DDDC"/>
              <w:right w:val="single" w:sz="4" w:space="0" w:color="B5DDDC"/>
            </w:tcBorders>
            <w:shd w:val="clear" w:color="000000" w:fill="D6EAEB"/>
            <w:hideMark/>
          </w:tcPr>
          <w:p w14:paraId="2727ECA6" w14:textId="77777777" w:rsidR="0062671B" w:rsidRPr="00595884" w:rsidRDefault="00274BC6" w:rsidP="0062671B">
            <w:pPr>
              <w:spacing w:before="0" w:after="0" w:line="240" w:lineRule="auto"/>
              <w:rPr>
                <w:rFonts w:ascii="Calibri" w:hAnsi="Calibri" w:cs="Calibri"/>
                <w:sz w:val="16"/>
                <w:szCs w:val="16"/>
              </w:rPr>
            </w:pPr>
            <w:r w:rsidRPr="00595884">
              <w:rPr>
                <w:rFonts w:ascii="Calibri" w:hAnsi="Calibri" w:cs="Calibri"/>
                <w:sz w:val="16"/>
                <w:szCs w:val="16"/>
              </w:rPr>
              <w:t>G11. NHMRC (2019)</w:t>
            </w:r>
          </w:p>
        </w:tc>
        <w:tc>
          <w:tcPr>
            <w:tcW w:w="1069" w:type="dxa"/>
            <w:tcBorders>
              <w:top w:val="nil"/>
              <w:left w:val="nil"/>
              <w:bottom w:val="single" w:sz="4" w:space="0" w:color="B5DDDC"/>
              <w:right w:val="single" w:sz="4" w:space="0" w:color="B5DDDC"/>
            </w:tcBorders>
            <w:hideMark/>
          </w:tcPr>
          <w:p w14:paraId="41AE6C67" w14:textId="77777777" w:rsidR="0062671B" w:rsidRPr="00595884" w:rsidRDefault="00274BC6" w:rsidP="0062671B">
            <w:pPr>
              <w:spacing w:before="0" w:after="0" w:line="240" w:lineRule="auto"/>
              <w:rPr>
                <w:rFonts w:ascii="Calibri" w:hAnsi="Calibri" w:cs="Calibri"/>
                <w:sz w:val="16"/>
                <w:szCs w:val="16"/>
              </w:rPr>
            </w:pPr>
            <w:r w:rsidRPr="00595884">
              <w:rPr>
                <w:rFonts w:ascii="Calibri" w:hAnsi="Calibri" w:cs="Calibri"/>
                <w:sz w:val="16"/>
                <w:szCs w:val="16"/>
              </w:rPr>
              <w:t>Yes</w:t>
            </w:r>
          </w:p>
        </w:tc>
        <w:tc>
          <w:tcPr>
            <w:tcW w:w="1136" w:type="dxa"/>
            <w:tcBorders>
              <w:top w:val="nil"/>
              <w:left w:val="nil"/>
              <w:bottom w:val="single" w:sz="4" w:space="0" w:color="B5DDDC"/>
              <w:right w:val="single" w:sz="4" w:space="0" w:color="B5DDDC"/>
            </w:tcBorders>
            <w:hideMark/>
          </w:tcPr>
          <w:p w14:paraId="5B818BED" w14:textId="23373063" w:rsidR="0062671B" w:rsidRPr="00595884" w:rsidRDefault="00274BC6" w:rsidP="0062671B">
            <w:pPr>
              <w:spacing w:before="0" w:after="0" w:line="240" w:lineRule="auto"/>
              <w:rPr>
                <w:rFonts w:ascii="Calibri" w:hAnsi="Calibri" w:cs="Calibri"/>
                <w:sz w:val="16"/>
                <w:szCs w:val="16"/>
              </w:rPr>
            </w:pPr>
            <w:r>
              <w:rPr>
                <w:rFonts w:ascii="Calibri" w:hAnsi="Calibri" w:cs="Calibri"/>
                <w:sz w:val="16"/>
                <w:szCs w:val="16"/>
              </w:rPr>
              <w:t>No</w:t>
            </w:r>
          </w:p>
        </w:tc>
        <w:tc>
          <w:tcPr>
            <w:tcW w:w="2126" w:type="dxa"/>
            <w:tcBorders>
              <w:top w:val="nil"/>
              <w:left w:val="single" w:sz="4" w:space="0" w:color="B5DDDC"/>
              <w:bottom w:val="single" w:sz="4" w:space="0" w:color="B5DDDC"/>
              <w:right w:val="single" w:sz="4" w:space="0" w:color="B5DDDC"/>
            </w:tcBorders>
            <w:hideMark/>
          </w:tcPr>
          <w:p w14:paraId="13E1DB24" w14:textId="14166A20" w:rsidR="0062671B" w:rsidRPr="00595884" w:rsidRDefault="00274BC6" w:rsidP="0062671B">
            <w:pPr>
              <w:spacing w:before="0" w:after="0" w:line="240" w:lineRule="auto"/>
              <w:rPr>
                <w:rFonts w:ascii="Calibri" w:hAnsi="Calibri" w:cs="Calibri"/>
                <w:sz w:val="16"/>
                <w:szCs w:val="16"/>
              </w:rPr>
            </w:pPr>
            <w:r w:rsidRPr="00595884">
              <w:rPr>
                <w:rFonts w:ascii="Calibri" w:hAnsi="Calibri" w:cs="Calibri"/>
                <w:sz w:val="16"/>
                <w:szCs w:val="16"/>
              </w:rPr>
              <w:t>Yes, cites recreational water quality guideline for PFAS for Australia and provides context for this group of substances.</w:t>
            </w:r>
          </w:p>
        </w:tc>
        <w:tc>
          <w:tcPr>
            <w:tcW w:w="1243" w:type="dxa"/>
            <w:tcBorders>
              <w:top w:val="nil"/>
              <w:left w:val="nil"/>
              <w:bottom w:val="single" w:sz="4" w:space="0" w:color="B5DDDC"/>
              <w:right w:val="single" w:sz="4" w:space="0" w:color="B5DDDC"/>
            </w:tcBorders>
            <w:hideMark/>
          </w:tcPr>
          <w:p w14:paraId="5AA0B7F6" w14:textId="0128658F" w:rsidR="0062671B" w:rsidRPr="00595884" w:rsidRDefault="00274BC6" w:rsidP="0062671B">
            <w:pPr>
              <w:spacing w:before="0" w:after="0" w:line="240" w:lineRule="auto"/>
              <w:rPr>
                <w:rFonts w:ascii="Calibri" w:hAnsi="Calibri" w:cs="Calibri"/>
                <w:sz w:val="16"/>
                <w:szCs w:val="16"/>
              </w:rPr>
            </w:pPr>
            <w:r w:rsidRPr="00595884">
              <w:rPr>
                <w:rFonts w:ascii="Calibri" w:hAnsi="Calibri" w:cs="Calibri"/>
                <w:sz w:val="16"/>
                <w:szCs w:val="16"/>
              </w:rPr>
              <w:t>Yes§</w:t>
            </w:r>
          </w:p>
        </w:tc>
        <w:tc>
          <w:tcPr>
            <w:tcW w:w="1413" w:type="dxa"/>
            <w:tcBorders>
              <w:top w:val="nil"/>
              <w:left w:val="single" w:sz="4" w:space="0" w:color="B5DDDC"/>
              <w:bottom w:val="single" w:sz="4" w:space="0" w:color="B5DDDC"/>
              <w:right w:val="single" w:sz="4" w:space="0" w:color="B5DDDC"/>
            </w:tcBorders>
            <w:hideMark/>
          </w:tcPr>
          <w:p w14:paraId="62BE47EF" w14:textId="36BE1C21" w:rsidR="0062671B" w:rsidRPr="00595884" w:rsidRDefault="00274BC6" w:rsidP="00170EF6">
            <w:pPr>
              <w:spacing w:before="0" w:after="0" w:line="240" w:lineRule="auto"/>
              <w:rPr>
                <w:rFonts w:ascii="Calibri" w:hAnsi="Calibri" w:cs="Calibri"/>
                <w:sz w:val="16"/>
                <w:szCs w:val="16"/>
              </w:rPr>
            </w:pPr>
            <w:r w:rsidRPr="00595884">
              <w:rPr>
                <w:rFonts w:ascii="Calibri" w:hAnsi="Calibri" w:cs="Calibri"/>
                <w:sz w:val="16"/>
                <w:szCs w:val="16"/>
              </w:rPr>
              <w:t xml:space="preserve">Yes, PFAS </w:t>
            </w:r>
            <w:r w:rsidR="00170EF6">
              <w:rPr>
                <w:rFonts w:ascii="Calibri" w:hAnsi="Calibri" w:cs="Calibri"/>
                <w:sz w:val="16"/>
                <w:szCs w:val="16"/>
              </w:rPr>
              <w:t>g</w:t>
            </w:r>
            <w:r w:rsidR="00F03193" w:rsidRPr="00595884">
              <w:rPr>
                <w:rFonts w:ascii="Calibri" w:hAnsi="Calibri" w:cs="Calibri"/>
                <w:sz w:val="16"/>
                <w:szCs w:val="16"/>
              </w:rPr>
              <w:t xml:space="preserve">uidelines </w:t>
            </w:r>
            <w:r w:rsidRPr="00595884">
              <w:rPr>
                <w:rFonts w:ascii="Calibri" w:hAnsi="Calibri" w:cs="Calibri"/>
                <w:sz w:val="16"/>
                <w:szCs w:val="16"/>
              </w:rPr>
              <w:t>are based on chronic exposure only.</w:t>
            </w:r>
          </w:p>
        </w:tc>
        <w:tc>
          <w:tcPr>
            <w:tcW w:w="1414" w:type="dxa"/>
            <w:tcBorders>
              <w:top w:val="nil"/>
              <w:left w:val="nil"/>
              <w:bottom w:val="single" w:sz="4" w:space="0" w:color="B5DDDC"/>
              <w:right w:val="single" w:sz="4" w:space="0" w:color="B5DDDC"/>
            </w:tcBorders>
            <w:hideMark/>
          </w:tcPr>
          <w:p w14:paraId="38DA876C" w14:textId="4DDBF41B" w:rsidR="0062671B" w:rsidRPr="00595884" w:rsidRDefault="00274BC6" w:rsidP="0062671B">
            <w:pPr>
              <w:spacing w:before="0" w:after="0" w:line="240" w:lineRule="auto"/>
              <w:rPr>
                <w:rFonts w:ascii="Calibri" w:hAnsi="Calibri" w:cs="Calibri"/>
                <w:sz w:val="16"/>
                <w:szCs w:val="16"/>
              </w:rPr>
            </w:pPr>
            <w:r w:rsidRPr="00595884">
              <w:rPr>
                <w:rFonts w:ascii="Calibri" w:hAnsi="Calibri" w:cs="Calibri"/>
                <w:sz w:val="16"/>
                <w:szCs w:val="16"/>
              </w:rPr>
              <w:t xml:space="preserve">Yes, for total PFAS recommends PFOA, and sum of PFOS and </w:t>
            </w:r>
            <w:proofErr w:type="spellStart"/>
            <w:r w:rsidRPr="00595884">
              <w:rPr>
                <w:rFonts w:ascii="Calibri" w:hAnsi="Calibri" w:cs="Calibri"/>
                <w:sz w:val="16"/>
                <w:szCs w:val="16"/>
              </w:rPr>
              <w:t>PFHxS</w:t>
            </w:r>
            <w:proofErr w:type="spellEnd"/>
            <w:r w:rsidRPr="00595884">
              <w:rPr>
                <w:rFonts w:ascii="Calibri" w:hAnsi="Calibri" w:cs="Calibri"/>
                <w:sz w:val="16"/>
                <w:szCs w:val="16"/>
              </w:rPr>
              <w:t>.ⴕ</w:t>
            </w:r>
          </w:p>
        </w:tc>
        <w:tc>
          <w:tcPr>
            <w:tcW w:w="3049" w:type="dxa"/>
            <w:tcBorders>
              <w:top w:val="nil"/>
              <w:left w:val="nil"/>
              <w:bottom w:val="single" w:sz="4" w:space="0" w:color="B5DDDC"/>
              <w:right w:val="single" w:sz="4" w:space="0" w:color="B5DDDC"/>
            </w:tcBorders>
            <w:hideMark/>
          </w:tcPr>
          <w:p w14:paraId="328A0DC8" w14:textId="77777777" w:rsidR="0062671B" w:rsidRPr="00595884" w:rsidRDefault="00274BC6" w:rsidP="0062671B">
            <w:pPr>
              <w:spacing w:before="0" w:after="0" w:line="240" w:lineRule="auto"/>
              <w:rPr>
                <w:rFonts w:ascii="Calibri" w:hAnsi="Calibri" w:cs="Calibri"/>
                <w:sz w:val="16"/>
                <w:szCs w:val="16"/>
              </w:rPr>
            </w:pPr>
            <w:r w:rsidRPr="00595884">
              <w:rPr>
                <w:rFonts w:ascii="Calibri" w:hAnsi="Calibri" w:cs="Calibri"/>
                <w:sz w:val="16"/>
                <w:szCs w:val="16"/>
              </w:rPr>
              <w:t>Provides a potential precedent for deriving substance specific recreational water guidelines in the Australian context.</w:t>
            </w:r>
          </w:p>
        </w:tc>
        <w:tc>
          <w:tcPr>
            <w:tcW w:w="2094" w:type="dxa"/>
            <w:tcBorders>
              <w:top w:val="nil"/>
              <w:left w:val="nil"/>
              <w:bottom w:val="single" w:sz="4" w:space="0" w:color="B5DDDC"/>
              <w:right w:val="single" w:sz="4" w:space="0" w:color="B5DDDC"/>
            </w:tcBorders>
            <w:hideMark/>
          </w:tcPr>
          <w:p w14:paraId="753F796F" w14:textId="77777777" w:rsidR="0062671B" w:rsidRPr="00595884" w:rsidRDefault="00274BC6" w:rsidP="0062671B">
            <w:pPr>
              <w:spacing w:before="0" w:after="0" w:line="240" w:lineRule="auto"/>
              <w:rPr>
                <w:rFonts w:ascii="Calibri" w:hAnsi="Calibri" w:cs="Calibri"/>
                <w:sz w:val="16"/>
                <w:szCs w:val="16"/>
              </w:rPr>
            </w:pPr>
            <w:r w:rsidRPr="00595884">
              <w:rPr>
                <w:rFonts w:ascii="Calibri" w:hAnsi="Calibri" w:cs="Calibri"/>
                <w:sz w:val="16"/>
                <w:szCs w:val="16"/>
              </w:rPr>
              <w:t>Important Australian reference deriving a recreational water guideline.</w:t>
            </w:r>
          </w:p>
        </w:tc>
      </w:tr>
    </w:tbl>
    <w:p w14:paraId="0D2D2704" w14:textId="77777777" w:rsidR="006C28FC" w:rsidRPr="00595884" w:rsidRDefault="00274BC6" w:rsidP="006C28FC">
      <w:pPr>
        <w:spacing w:before="0" w:after="0" w:line="240" w:lineRule="auto"/>
        <w:rPr>
          <w:rFonts w:asciiTheme="minorHAnsi" w:hAnsiTheme="minorHAnsi" w:cstheme="minorHAnsi"/>
          <w:sz w:val="16"/>
          <w:szCs w:val="16"/>
        </w:rPr>
      </w:pPr>
      <w:r w:rsidRPr="00595884">
        <w:rPr>
          <w:rFonts w:asciiTheme="minorHAnsi" w:hAnsiTheme="minorHAnsi" w:cstheme="minorHAnsi"/>
          <w:sz w:val="16"/>
          <w:szCs w:val="16"/>
        </w:rPr>
        <w:t>ⴕ Reviewer's comment: These are indicators for Total PFAS in recreational waters and not necessarily indicators of other contaminants.  However, they could be useful as part of a small suite of such indicators that could be used to assess the risks to recreational waters due to chemical hazards.</w:t>
      </w:r>
    </w:p>
    <w:p w14:paraId="183E8C16" w14:textId="77777777" w:rsidR="006C28FC" w:rsidRPr="00595884" w:rsidRDefault="00274BC6" w:rsidP="006C28FC">
      <w:pPr>
        <w:spacing w:before="0" w:after="0" w:line="240" w:lineRule="auto"/>
        <w:rPr>
          <w:rFonts w:asciiTheme="minorHAnsi" w:hAnsiTheme="minorHAnsi" w:cstheme="minorHAnsi"/>
          <w:sz w:val="16"/>
          <w:szCs w:val="16"/>
        </w:rPr>
      </w:pPr>
      <w:r w:rsidRPr="00595884">
        <w:rPr>
          <w:rFonts w:asciiTheme="minorHAnsi" w:hAnsiTheme="minorHAnsi" w:cstheme="minorHAnsi"/>
          <w:sz w:val="16"/>
          <w:szCs w:val="16"/>
        </w:rPr>
        <w:t>* No specific reference to recreational water but treated wastewater (i.e. recycled water) discharges in the vicinity of recreational water use areas are common in Australia. Thus, by implication, understanding such sources can assist in understanding risks from chemical hazards in recreational waters influenced by wastewater discharges.</w:t>
      </w:r>
    </w:p>
    <w:p w14:paraId="0AA2797A" w14:textId="34E6A4CA" w:rsidR="006C28FC" w:rsidRPr="00595884" w:rsidRDefault="00274BC6" w:rsidP="006C28FC">
      <w:pPr>
        <w:spacing w:before="0" w:after="0" w:line="240" w:lineRule="auto"/>
        <w:rPr>
          <w:rFonts w:asciiTheme="minorHAnsi" w:hAnsiTheme="minorHAnsi" w:cstheme="minorHAnsi"/>
          <w:sz w:val="16"/>
          <w:szCs w:val="16"/>
        </w:rPr>
      </w:pPr>
      <w:r w:rsidRPr="00595884">
        <w:rPr>
          <w:rFonts w:asciiTheme="minorHAnsi" w:hAnsiTheme="minorHAnsi" w:cstheme="minorHAnsi"/>
          <w:sz w:val="16"/>
          <w:szCs w:val="16"/>
        </w:rPr>
        <w:t xml:space="preserve">^ </w:t>
      </w:r>
      <w:r w:rsidR="0003232A" w:rsidRPr="00595884">
        <w:rPr>
          <w:rFonts w:asciiTheme="minorHAnsi" w:hAnsiTheme="minorHAnsi" w:cstheme="minorHAnsi"/>
          <w:sz w:val="16"/>
          <w:szCs w:val="16"/>
        </w:rPr>
        <w:t>C</w:t>
      </w:r>
      <w:r w:rsidRPr="00595884">
        <w:rPr>
          <w:rFonts w:asciiTheme="minorHAnsi" w:hAnsiTheme="minorHAnsi" w:cstheme="minorHAnsi"/>
          <w:sz w:val="16"/>
          <w:szCs w:val="16"/>
        </w:rPr>
        <w:t xml:space="preserve">ontains general discussion on chemical hazards in surface waters including </w:t>
      </w:r>
      <w:proofErr w:type="spellStart"/>
      <w:r w:rsidRPr="00595884">
        <w:rPr>
          <w:rFonts w:asciiTheme="minorHAnsi" w:hAnsiTheme="minorHAnsi" w:cstheme="minorHAnsi"/>
          <w:sz w:val="16"/>
          <w:szCs w:val="16"/>
        </w:rPr>
        <w:t>physico</w:t>
      </w:r>
      <w:proofErr w:type="spellEnd"/>
      <w:r w:rsidRPr="00595884">
        <w:rPr>
          <w:rFonts w:asciiTheme="minorHAnsi" w:hAnsiTheme="minorHAnsi" w:cstheme="minorHAnsi"/>
          <w:sz w:val="16"/>
          <w:szCs w:val="16"/>
        </w:rPr>
        <w:t>-chemical properties that contribute to their detection.</w:t>
      </w:r>
    </w:p>
    <w:p w14:paraId="1B614BEA" w14:textId="69C7CC14" w:rsidR="0003232A" w:rsidRDefault="00274BC6" w:rsidP="006C28FC">
      <w:pPr>
        <w:spacing w:before="0" w:after="0" w:line="240" w:lineRule="auto"/>
        <w:rPr>
          <w:rFonts w:asciiTheme="minorHAnsi" w:hAnsiTheme="minorHAnsi" w:cstheme="minorHAnsi"/>
          <w:sz w:val="16"/>
          <w:szCs w:val="16"/>
        </w:rPr>
      </w:pPr>
      <w:r w:rsidRPr="00595884">
        <w:rPr>
          <w:rFonts w:asciiTheme="minorHAnsi" w:hAnsiTheme="minorHAnsi" w:cstheme="minorHAnsi"/>
          <w:sz w:val="16"/>
          <w:szCs w:val="16"/>
        </w:rPr>
        <w:t>§ Describes an approach for deriving substance specific recreational water guidelines in the Australian context including exposure assessment calculations and assumptions.</w:t>
      </w:r>
    </w:p>
    <w:p w14:paraId="1EBF4B64" w14:textId="77777777" w:rsidR="0002254E" w:rsidRDefault="0002254E" w:rsidP="006C28FC">
      <w:pPr>
        <w:spacing w:before="0" w:after="0" w:line="240" w:lineRule="auto"/>
        <w:rPr>
          <w:rFonts w:asciiTheme="minorHAnsi" w:hAnsiTheme="minorHAnsi" w:cstheme="minorHAnsi"/>
          <w:sz w:val="16"/>
          <w:szCs w:val="16"/>
        </w:rPr>
        <w:sectPr w:rsidR="0002254E" w:rsidSect="00C246CB">
          <w:headerReference w:type="default" r:id="rId33"/>
          <w:headerReference w:type="first" r:id="rId34"/>
          <w:pgSz w:w="16838" w:h="11906" w:orient="landscape"/>
          <w:pgMar w:top="1588" w:right="1588" w:bottom="1418" w:left="1418" w:header="680" w:footer="709" w:gutter="0"/>
          <w:cols w:space="708"/>
          <w:docGrid w:linePitch="360"/>
        </w:sectPr>
      </w:pPr>
    </w:p>
    <w:p w14:paraId="652F81B5" w14:textId="03390F8D" w:rsidR="00A27BC5" w:rsidRDefault="00274BC6" w:rsidP="00D95B6A">
      <w:pPr>
        <w:pStyle w:val="Heading2"/>
      </w:pPr>
      <w:bookmarkStart w:id="343" w:name="_Toc106811144"/>
      <w:bookmarkEnd w:id="341"/>
      <w:r w:rsidRPr="00595884">
        <w:t xml:space="preserve">Review of </w:t>
      </w:r>
      <w:r w:rsidR="00C02173">
        <w:t>p</w:t>
      </w:r>
      <w:r w:rsidR="00F03193" w:rsidRPr="00595884">
        <w:t xml:space="preserve">rimary </w:t>
      </w:r>
      <w:r w:rsidR="00C02173">
        <w:t>s</w:t>
      </w:r>
      <w:r w:rsidR="00F03193" w:rsidRPr="00595884">
        <w:t>tudies</w:t>
      </w:r>
      <w:bookmarkEnd w:id="343"/>
    </w:p>
    <w:p w14:paraId="272617C1" w14:textId="757B791F" w:rsidR="005B0351" w:rsidRDefault="00274BC6" w:rsidP="005B0351">
      <w:pPr>
        <w:ind w:left="720"/>
        <w:rPr>
          <w:i/>
          <w:iCs/>
        </w:rPr>
      </w:pPr>
      <w:r>
        <w:rPr>
          <w:i/>
          <w:iCs/>
        </w:rPr>
        <w:t>Primary research question:</w:t>
      </w:r>
      <w:r w:rsidR="008471A8">
        <w:rPr>
          <w:i/>
          <w:iCs/>
        </w:rPr>
        <w:t xml:space="preserve"> </w:t>
      </w:r>
      <w:r w:rsidRPr="00595884">
        <w:rPr>
          <w:i/>
          <w:iCs/>
        </w:rPr>
        <w:t xml:space="preserve">Are exposures to the hazards outlined in </w:t>
      </w:r>
      <w:r w:rsidR="00583582" w:rsidRPr="00583582">
        <w:rPr>
          <w:i/>
          <w:iCs/>
        </w:rPr>
        <w:fldChar w:fldCharType="begin"/>
      </w:r>
      <w:r w:rsidR="00583582" w:rsidRPr="00583582">
        <w:rPr>
          <w:i/>
          <w:iCs/>
        </w:rPr>
        <w:instrText xml:space="preserve"> REF _Ref71043025 \h </w:instrText>
      </w:r>
      <w:r w:rsidR="00583582">
        <w:rPr>
          <w:i/>
          <w:iCs/>
        </w:rPr>
        <w:instrText xml:space="preserve"> \* MERGEFORMAT </w:instrText>
      </w:r>
      <w:r w:rsidR="00583582" w:rsidRPr="00583582">
        <w:rPr>
          <w:i/>
          <w:iCs/>
        </w:rPr>
      </w:r>
      <w:r w:rsidR="00583582" w:rsidRPr="00583582">
        <w:rPr>
          <w:i/>
          <w:iCs/>
        </w:rPr>
        <w:fldChar w:fldCharType="separate"/>
      </w:r>
      <w:r w:rsidR="003132AF" w:rsidRPr="003132AF">
        <w:rPr>
          <w:i/>
          <w:iCs/>
        </w:rPr>
        <w:t xml:space="preserve">Table </w:t>
      </w:r>
      <w:r w:rsidR="003132AF" w:rsidRPr="003132AF">
        <w:rPr>
          <w:i/>
          <w:iCs/>
          <w:noProof/>
        </w:rPr>
        <w:t>2</w:t>
      </w:r>
      <w:r w:rsidR="003132AF" w:rsidRPr="003132AF">
        <w:rPr>
          <w:i/>
          <w:iCs/>
          <w:noProof/>
        </w:rPr>
        <w:noBreakHyphen/>
        <w:t>1</w:t>
      </w:r>
      <w:r w:rsidR="00583582" w:rsidRPr="00583582">
        <w:rPr>
          <w:i/>
          <w:iCs/>
        </w:rPr>
        <w:fldChar w:fldCharType="end"/>
      </w:r>
      <w:r w:rsidR="00583582" w:rsidRPr="00583582">
        <w:rPr>
          <w:i/>
          <w:iCs/>
        </w:rPr>
        <w:t xml:space="preserve"> </w:t>
      </w:r>
      <w:r w:rsidRPr="00583582">
        <w:rPr>
          <w:i/>
          <w:iCs/>
        </w:rPr>
        <w:t xml:space="preserve">likely to give rise to any significant human health risks given that </w:t>
      </w:r>
      <w:r w:rsidRPr="00595884">
        <w:rPr>
          <w:i/>
          <w:iCs/>
        </w:rPr>
        <w:t>chemical concentrations in recreational waters are generally low?</w:t>
      </w:r>
    </w:p>
    <w:p w14:paraId="6ADAF0E9" w14:textId="0DA74FEF" w:rsidR="00BE7FBE" w:rsidRDefault="00274BC6" w:rsidP="00BE7FBE">
      <w:r>
        <w:fldChar w:fldCharType="begin"/>
      </w:r>
      <w:r>
        <w:instrText xml:space="preserve"> ADDIN ZOTERO_ITEM CSL_CITATION {"citationID":"iLYCUATD","properties":{"custom":"Canpolat, Varol, et al. (2020)","formattedCitation":"Canpolat, Varol, et al. (2020)","plainCitation":"Canpolat, Varol, et al. (2020)","noteIndex":0},"citationItems":[{"id":14174,"uris":["http://zotero.org/users/148142/items/U5DF2A2Y"],"uri":["http://zotero.org/users/148142/items/U5DF2A2Y"],"itemData":{"id":14174,"type":"article-journal","abstract":"Keban Dam Lake (KDL) is the second largest dam lake in Turkey. There have been some reports on the trace element (TE) levels in surface water of the KDL, but its deep water has been never studied. We measured 17 TEs (Pb, Hg, Cd, As, Cr, Ni, Co, Mn, Cu, Fe, Al, Sr, U, V, Zn, Zr and Ba) in surface and deep water samples and assessed their health risks for residential and recreational receptors. Copper, Zn, Ba, Ni, Mn and Pb levels in deep water were higher than those in surface water. Total TE level in deep water was higher in wet season, whereas that in surface water was higher in dry season. TE levels in both surface and deep water were much lower than the guideline values for drinking water and the protection of freshwater aquatic life, indicating that TEs in the KDL originate from natural sources. All HQ (hazard quotient) and HI (hazard index) values were below the risk threshold of unity. HI values for child were higher than those for adult, indicating that the health of children is at dramatically higher risk than adults. Arsenic and U for water ingestion were the primary contributors to total risk (HI), while V and Cr for dermal pathway. The presence of U and V, among the TEs which are major contributors to total health risk, reveals the necessity of monitoring of such less-studied elements in the surface water bodies. Carcinogenic risk values of As and Cr in surface and deep water were below the target risk of 1 x 10(-4). These findings indicated that TEs in surface and deep water of the KDL do not pose health risks to residential and recreational users. Thus this study may serve as a model for similar studies assessing health risks of multielements in freshwater bodies in future.","container-title":"Environmental Research","DOI":"10.1016/j.envres.2020.110012","ISSN":"0013-9351","journalAbbreviation":"Environ. Res.","language":"English","page":"110012","source":"Web of Science","title":"A comparison of trace element concentrations in surface and deep water of the Keban Dam Lake (Turkey) and associated health risk assessment","volume":"190","author":[{"family":"Canpolat","given":"Ozgur"},{"family":"Varol","given":"Memet"},{"family":"Okan","given":"Ozlem Oztekin"},{"family":"Eris","given":"Kursad Kadir"},{"family":"Caglar","given":"Metin"}],"issued":{"date-parts":[["2020",11]]}}}],"schema":"https://github.com/citation-style-language/schema/raw/master/csl-citation.json"} </w:instrText>
      </w:r>
      <w:r>
        <w:fldChar w:fldCharType="separate"/>
      </w:r>
      <w:r w:rsidRPr="00822244">
        <w:rPr>
          <w:rFonts w:cs="Arial"/>
        </w:rPr>
        <w:t>Canpolat, Varol, et al. (2020)</w:t>
      </w:r>
      <w:r>
        <w:fldChar w:fldCharType="end"/>
      </w:r>
      <w:r>
        <w:t xml:space="preserve"> undertook a risk assessment study of i</w:t>
      </w:r>
      <w:r w:rsidR="00130FDD">
        <w:t xml:space="preserve">ngestion and dermal exposure for recreational swimmers to trace element metals: </w:t>
      </w:r>
      <w:r w:rsidR="006774BC">
        <w:t>m</w:t>
      </w:r>
      <w:r w:rsidR="009D657A">
        <w:t xml:space="preserve">ercury (Hg), </w:t>
      </w:r>
      <w:r w:rsidR="006774BC">
        <w:t>c</w:t>
      </w:r>
      <w:r w:rsidR="009D657A">
        <w:t xml:space="preserve">admium (Cd), </w:t>
      </w:r>
      <w:r w:rsidR="006774BC">
        <w:t>l</w:t>
      </w:r>
      <w:r w:rsidR="009D657A">
        <w:t xml:space="preserve">ead (Pb), </w:t>
      </w:r>
      <w:r w:rsidR="006774BC">
        <w:t>a</w:t>
      </w:r>
      <w:r w:rsidR="009D657A">
        <w:t>rsenic (</w:t>
      </w:r>
      <w:proofErr w:type="spellStart"/>
      <w:r w:rsidR="009D657A">
        <w:t>Ar</w:t>
      </w:r>
      <w:proofErr w:type="spellEnd"/>
      <w:r w:rsidR="009D657A">
        <w:t xml:space="preserve">), </w:t>
      </w:r>
      <w:r w:rsidR="006774BC">
        <w:t>c</w:t>
      </w:r>
      <w:r w:rsidR="009D657A">
        <w:t xml:space="preserve">hromium (Cr), </w:t>
      </w:r>
      <w:r w:rsidR="006774BC">
        <w:t>a</w:t>
      </w:r>
      <w:r w:rsidR="009D657A">
        <w:t xml:space="preserve">luminium (Al), </w:t>
      </w:r>
      <w:r w:rsidR="006774BC">
        <w:t>c</w:t>
      </w:r>
      <w:r w:rsidR="009D657A">
        <w:t xml:space="preserve">opper (Cu), </w:t>
      </w:r>
      <w:r w:rsidR="006774BC">
        <w:t>m</w:t>
      </w:r>
      <w:r w:rsidR="009D657A">
        <w:t xml:space="preserve">anganese (Mn), </w:t>
      </w:r>
      <w:r w:rsidR="006774BC">
        <w:t>c</w:t>
      </w:r>
      <w:r w:rsidR="009D657A">
        <w:t xml:space="preserve">obalt (Co), </w:t>
      </w:r>
      <w:r w:rsidR="006774BC">
        <w:t>b</w:t>
      </w:r>
      <w:r w:rsidR="009D657A">
        <w:t xml:space="preserve">arium (Ba), </w:t>
      </w:r>
      <w:r w:rsidR="006774BC">
        <w:t>n</w:t>
      </w:r>
      <w:r w:rsidR="009D657A">
        <w:t xml:space="preserve">ickel (Ni), </w:t>
      </w:r>
      <w:r w:rsidR="006774BC">
        <w:t>i</w:t>
      </w:r>
      <w:r w:rsidR="009D657A">
        <w:t xml:space="preserve">ron (Fe), </w:t>
      </w:r>
      <w:r w:rsidR="006774BC">
        <w:t>z</w:t>
      </w:r>
      <w:r w:rsidR="009D657A">
        <w:t xml:space="preserve">inc (Zn), </w:t>
      </w:r>
      <w:r w:rsidR="006774BC">
        <w:t>u</w:t>
      </w:r>
      <w:r w:rsidR="009D657A">
        <w:t xml:space="preserve">ranium (U), </w:t>
      </w:r>
      <w:r w:rsidR="006774BC">
        <w:t>v</w:t>
      </w:r>
      <w:r w:rsidR="009D657A">
        <w:t xml:space="preserve">anadium (V), </w:t>
      </w:r>
      <w:r w:rsidR="006774BC">
        <w:t>z</w:t>
      </w:r>
      <w:r w:rsidR="009D657A">
        <w:t xml:space="preserve">irconium (Zr) and </w:t>
      </w:r>
      <w:r w:rsidR="006774BC">
        <w:t>s</w:t>
      </w:r>
      <w:r w:rsidR="009D657A">
        <w:t>trontium (Sr)</w:t>
      </w:r>
      <w:r>
        <w:t xml:space="preserve"> in a Turkish freshwater lake</w:t>
      </w:r>
      <w:r w:rsidR="009D3FEE">
        <w:t xml:space="preserve"> (</w:t>
      </w:r>
      <w:r w:rsidR="009D3FEE">
        <w:fldChar w:fldCharType="begin"/>
      </w:r>
      <w:r w:rsidR="009D3FEE">
        <w:instrText xml:space="preserve"> REF _Ref72243466 \h </w:instrText>
      </w:r>
      <w:r w:rsidR="009D3FEE">
        <w:fldChar w:fldCharType="separate"/>
      </w:r>
      <w:r w:rsidR="003132AF" w:rsidRPr="00595884">
        <w:t xml:space="preserve">Table </w:t>
      </w:r>
      <w:r w:rsidR="003132AF">
        <w:rPr>
          <w:noProof/>
        </w:rPr>
        <w:t>6</w:t>
      </w:r>
      <w:r w:rsidR="003132AF">
        <w:noBreakHyphen/>
      </w:r>
      <w:r w:rsidR="003132AF">
        <w:rPr>
          <w:noProof/>
        </w:rPr>
        <w:t>6</w:t>
      </w:r>
      <w:r w:rsidR="009D3FEE">
        <w:fldChar w:fldCharType="end"/>
      </w:r>
      <w:r w:rsidR="009D3FEE">
        <w:t>)</w:t>
      </w:r>
      <w:r>
        <w:t xml:space="preserve">.  </w:t>
      </w:r>
      <w:r w:rsidR="00130FDD">
        <w:t xml:space="preserve">Hazard Quotients (HQs) </w:t>
      </w:r>
      <w:r w:rsidR="009D3FEE">
        <w:t xml:space="preserve">metrics (measured value divided by </w:t>
      </w:r>
      <w:r w:rsidR="007E2FC8">
        <w:t>US</w:t>
      </w:r>
      <w:r w:rsidR="00584E88">
        <w:t xml:space="preserve"> </w:t>
      </w:r>
      <w:r w:rsidR="007E2FC8">
        <w:t xml:space="preserve">EPA-derived </w:t>
      </w:r>
      <w:r w:rsidR="009D3FEE">
        <w:t>toxicity reference dose</w:t>
      </w:r>
      <w:r w:rsidR="0019042C">
        <w:t>s – section 6.1.2 of the Technical Report for details</w:t>
      </w:r>
      <w:r w:rsidR="009D3FEE">
        <w:t xml:space="preserve">) were computed for all </w:t>
      </w:r>
      <w:r w:rsidR="006F2363">
        <w:t>trace elements</w:t>
      </w:r>
      <w:r w:rsidR="009D3FEE">
        <w:t>, and a</w:t>
      </w:r>
      <w:r>
        <w:t xml:space="preserve"> </w:t>
      </w:r>
      <w:r w:rsidR="00130FDD">
        <w:t>Hazard Index (HI)</w:t>
      </w:r>
      <w:r>
        <w:t xml:space="preserve"> </w:t>
      </w:r>
      <w:r w:rsidR="009D3FEE">
        <w:t>metric was</w:t>
      </w:r>
      <w:r>
        <w:t xml:space="preserve"> computed from the sum of all </w:t>
      </w:r>
      <w:r w:rsidR="006F2363">
        <w:t xml:space="preserve">trace element </w:t>
      </w:r>
      <w:r>
        <w:t>HQs</w:t>
      </w:r>
      <w:r w:rsidR="00130FDD">
        <w:t xml:space="preserve"> </w:t>
      </w:r>
      <w:r w:rsidR="006F2363">
        <w:t>for</w:t>
      </w:r>
      <w:r w:rsidR="00130FDD">
        <w:t xml:space="preserve"> </w:t>
      </w:r>
      <w:r>
        <w:t>c</w:t>
      </w:r>
      <w:r w:rsidR="00130FDD">
        <w:t xml:space="preserve">arcinogenic </w:t>
      </w:r>
      <w:r>
        <w:t>r</w:t>
      </w:r>
      <w:r w:rsidR="00130FDD">
        <w:t xml:space="preserve">isks.   Separate values of each metric </w:t>
      </w:r>
      <w:r>
        <w:t xml:space="preserve">were </w:t>
      </w:r>
      <w:r w:rsidR="00130FDD">
        <w:t xml:space="preserve">computed for ingestion and dermal pathways. </w:t>
      </w:r>
      <w:r>
        <w:t>All metrics were derived using US EPA standard equations</w:t>
      </w:r>
      <w:r w:rsidR="007E2FC8">
        <w:t xml:space="preserve"> (as described section 2.3 of the document – citations for the US EPA methods are listed in section 6.1.2 of the Technical Report). </w:t>
      </w:r>
    </w:p>
    <w:p w14:paraId="69F3B0A3" w14:textId="73C0092A" w:rsidR="00130FDD" w:rsidRDefault="00274BC6" w:rsidP="00130FDD">
      <w:r>
        <w:t>All HQ and HI values were below the risk threshold of unity. HI values for child</w:t>
      </w:r>
      <w:r w:rsidR="009D3FEE">
        <w:t>ren</w:t>
      </w:r>
      <w:r>
        <w:t xml:space="preserve"> were significantly higher than those for adult</w:t>
      </w:r>
      <w:r w:rsidR="009D3FEE">
        <w:t>s</w:t>
      </w:r>
      <w:r>
        <w:t>, although still at safe levels</w:t>
      </w:r>
      <w:r w:rsidR="007E2FC8">
        <w:t xml:space="preserve"> (i.e. below guideline </w:t>
      </w:r>
      <w:r w:rsidR="00F73D68">
        <w:t>levels</w:t>
      </w:r>
      <w:r w:rsidR="007E2FC8">
        <w:t>)</w:t>
      </w:r>
      <w:r>
        <w:t>. A</w:t>
      </w:r>
      <w:r w:rsidR="006F2363">
        <w:t>rsenic</w:t>
      </w:r>
      <w:r>
        <w:t xml:space="preserve"> and </w:t>
      </w:r>
      <w:r w:rsidR="006774BC">
        <w:t>u</w:t>
      </w:r>
      <w:r w:rsidR="006F2363">
        <w:t>ranium</w:t>
      </w:r>
      <w:r>
        <w:t xml:space="preserve"> </w:t>
      </w:r>
      <w:r w:rsidR="006F2363">
        <w:t>by</w:t>
      </w:r>
      <w:r>
        <w:t xml:space="preserve"> water ingestion were the primary contributors to total risk (HI), while </w:t>
      </w:r>
      <w:r w:rsidR="006774BC">
        <w:t>v</w:t>
      </w:r>
      <w:r w:rsidR="006F2363">
        <w:t>anadium</w:t>
      </w:r>
      <w:r>
        <w:t xml:space="preserve"> and </w:t>
      </w:r>
      <w:r w:rsidR="006774BC">
        <w:t>c</w:t>
      </w:r>
      <w:r w:rsidR="006F2363">
        <w:t>h</w:t>
      </w:r>
      <w:r>
        <w:t>r</w:t>
      </w:r>
      <w:r w:rsidR="006F2363">
        <w:t>omium</w:t>
      </w:r>
      <w:r>
        <w:t xml:space="preserve"> were highest for the dermal pathway.</w:t>
      </w:r>
    </w:p>
    <w:p w14:paraId="325057D7" w14:textId="4BDF7265" w:rsidR="00130FDD" w:rsidRDefault="00274BC6" w:rsidP="00130FDD">
      <w:r>
        <w:t xml:space="preserve">Carcinogenic risk values of </w:t>
      </w:r>
      <w:r w:rsidR="006774BC">
        <w:t>a</w:t>
      </w:r>
      <w:r w:rsidR="006F2363">
        <w:t>r</w:t>
      </w:r>
      <w:r>
        <w:t>s</w:t>
      </w:r>
      <w:r w:rsidR="006F2363">
        <w:t>enic</w:t>
      </w:r>
      <w:r>
        <w:t xml:space="preserve"> and </w:t>
      </w:r>
      <w:r w:rsidR="006774BC">
        <w:t>c</w:t>
      </w:r>
      <w:r w:rsidR="006F2363">
        <w:t>h</w:t>
      </w:r>
      <w:r>
        <w:t>r</w:t>
      </w:r>
      <w:r w:rsidR="006F2363">
        <w:t>omium</w:t>
      </w:r>
      <w:r>
        <w:t xml:space="preserve"> in surface and deep water were below the US EPA target risk of 1 × 10</w:t>
      </w:r>
      <w:r w:rsidRPr="009D3FEE">
        <w:rPr>
          <w:vertAlign w:val="superscript"/>
        </w:rPr>
        <w:t>-4</w:t>
      </w:r>
      <w:r>
        <w:t xml:space="preserve"> (</w:t>
      </w:r>
      <w:r w:rsidR="009D3FEE">
        <w:t>lifetime</w:t>
      </w:r>
      <w:r>
        <w:t xml:space="preserve"> risk of cancer).</w:t>
      </w:r>
    </w:p>
    <w:p w14:paraId="308BDA70" w14:textId="6F886627" w:rsidR="00130FDD" w:rsidRDefault="00274BC6" w:rsidP="005B0351">
      <w:r>
        <w:fldChar w:fldCharType="begin"/>
      </w:r>
      <w:r>
        <w:instrText xml:space="preserve"> ADDIN ZOTERO_ITEM CSL_CITATION {"citationID":"nkqda49X","properties":{"custom":"Dor, Bonnard, et al. (2003)","formattedCitation":"Dor, Bonnard, et al. (2003)","plainCitation":"Dor, Bonnard, et al. (2003)","noteIndex":0},"citationItems":[{"id":14618,"uris":["http://zotero.org/users/148142/items/FESFDP2K"],"uri":["http://zotero.org/users/148142/items/FESFDP2K"],"itemData":{"id":14618,"type":"article-journal","abstract":"Following the wreck of the oil tanker ERIKA off the north-west coast of France in December 1999, cleaning up of the beaches involved considerable work, which in any case could not be perfect. This raised the question of the short- and long-term health risks for the future bathers related to the toxicity of the remaining oil polycyclic aromatic hydrocarbons (PAHs). This risk assessment study was conducted to help health authorities plan risk management policies and inform the public. Thirty-six beaches were selected, representing a sample of the most frequently encountered topographic and beach usage situations; seven \"control\" beaches, unspoiled by ERIKA, were also investigated. Samples of water and sand were taken from each site, as well as from the surface of rocks. The 16 PAHs selected by the U.S. EPA were quantified in each environment. Several scenarios of exposure were contemplated: (1) a child between 2 and 4 years accidentally ingesting a small ball of fuel, (2) a child daily exposed throughout his holiday-time stay, (3) an adult (including a pregnant woman) spending his/her holidays on the coast, (4) an adult working on the beach, (5) and an adult practicing water sports. Among the available and significant toxicological values, the most conservative ones were selected for computing risks. The sand and water, after decontamination, were slightly polluted (respectively, 7.8 mug/kg and 23.3 ng/l of total 16 PAHs), with values similar to those found in the control beaches. By contrast, the rocky areas in some places were still highly polluted (up to 23 mg/kg on the surface layer). No lethal risk was found for a young child who had accidentally ingested a small ball of fuel. The life-long excess risks for skin cancer and for all other cancers were about 10(-5) in scenarios including contact with the polluted rocks. In all other cases, excess risks were considerably lower. The hazard quotient for teratogenic effects was very small, except in scenarios where pregnant women would walk among rocks containing high pollution levels. In conclusion, exposure was mainly associated with polluted water among children, and with spoiled rocks for adults. Despite uncertainties, mainly dealing with the prediction of long-term risks following a short-term exposure, this study showed that beaches where pollution was no longer visible after decontamination did not entail any significant health risks and could be opened to the public.","container-title":"Risk Analysis","DOI":"10.1111/j.0272-4332.2003.00394.x","ISSN":"0272-4332","issue":"6","journalAbbreviation":"Risk Anal.","language":"English","page":"1199-1208","source":"Web of Science","title":"Health risk assessment after decontamination of the beaches polluted by the wrecked ERIKA tanker","volume":"23","author":[{"family":"Dor","given":"F."},{"family":"Bonnard","given":"R."},{"family":"Gourier-Frery","given":"C."},{"family":"Cicolella","given":"A."},{"family":"Dujardin","given":"R."},{"family":"Zmirou","given":"D."}],"issued":{"date-parts":[["2003",12]]}}}],"schema":"https://github.com/citation-style-language/schema/raw/master/csl-citation.json"} </w:instrText>
      </w:r>
      <w:r>
        <w:fldChar w:fldCharType="separate"/>
      </w:r>
      <w:r w:rsidRPr="00252409">
        <w:rPr>
          <w:rFonts w:cs="Arial"/>
        </w:rPr>
        <w:t>Dor, Bonnard, et al. (2003)</w:t>
      </w:r>
      <w:r>
        <w:fldChar w:fldCharType="end"/>
      </w:r>
      <w:r>
        <w:t xml:space="preserve"> undertook a standard </w:t>
      </w:r>
      <w:r w:rsidR="005B0351">
        <w:t xml:space="preserve">human health risk assessment </w:t>
      </w:r>
      <w:r>
        <w:t xml:space="preserve">of ingestion and dermal exposure of recreational swimmers and beach goers to </w:t>
      </w:r>
      <w:r w:rsidR="006F2363">
        <w:t>polycyclic aromatic hydrocarbons (</w:t>
      </w:r>
      <w:r>
        <w:t>PAHs</w:t>
      </w:r>
      <w:r w:rsidR="006F2363">
        <w:t>)</w:t>
      </w:r>
      <w:r>
        <w:t xml:space="preserve"> in oil spill residues on marine sandy beaches in Brittany</w:t>
      </w:r>
      <w:r w:rsidR="006F2363">
        <w:t>, France</w:t>
      </w:r>
      <w:r>
        <w:t xml:space="preserve"> (</w:t>
      </w:r>
      <w:r>
        <w:fldChar w:fldCharType="begin"/>
      </w:r>
      <w:r>
        <w:instrText xml:space="preserve"> REF _Ref72241719 \h </w:instrText>
      </w:r>
      <w:r>
        <w:fldChar w:fldCharType="separate"/>
      </w:r>
      <w:r w:rsidR="003132AF" w:rsidRPr="00595884">
        <w:t xml:space="preserve">Table </w:t>
      </w:r>
      <w:r w:rsidR="003132AF">
        <w:rPr>
          <w:noProof/>
        </w:rPr>
        <w:t>6</w:t>
      </w:r>
      <w:r w:rsidR="003132AF">
        <w:noBreakHyphen/>
      </w:r>
      <w:r w:rsidR="003132AF">
        <w:rPr>
          <w:noProof/>
        </w:rPr>
        <w:t>7</w:t>
      </w:r>
      <w:r>
        <w:fldChar w:fldCharType="end"/>
      </w:r>
      <w:r>
        <w:t xml:space="preserve">).  The authors measured a </w:t>
      </w:r>
      <w:r w:rsidRPr="00130FDD">
        <w:t>toxic equivalency factor (TEF)</w:t>
      </w:r>
      <w:r>
        <w:t xml:space="preserve">, derived from </w:t>
      </w:r>
      <w:r w:rsidR="006F2363">
        <w:t xml:space="preserve">16 </w:t>
      </w:r>
      <w:r>
        <w:t>carcinogenic PAHs relative to benzo(a)pyrene (</w:t>
      </w:r>
      <w:proofErr w:type="spellStart"/>
      <w:r>
        <w:t>BaP</w:t>
      </w:r>
      <w:proofErr w:type="spellEnd"/>
      <w:r>
        <w:t>, TEF = 1), for 36 spill-affected beaches versus 7 “control” beaches not affected by the spill.</w:t>
      </w:r>
    </w:p>
    <w:p w14:paraId="6C0EB838" w14:textId="61BBD7F3" w:rsidR="005B0351" w:rsidRDefault="00274BC6" w:rsidP="005B0351">
      <w:r>
        <w:t xml:space="preserve">Excess cancer risk (all cancers and cutaneous cancers) </w:t>
      </w:r>
      <w:r w:rsidR="000D1230">
        <w:t>was</w:t>
      </w:r>
      <w:r>
        <w:t xml:space="preserve"> calculated as lifetime probabilities and compared against a reference value of 1 x 10</w:t>
      </w:r>
      <w:r w:rsidRPr="000017D2">
        <w:rPr>
          <w:vertAlign w:val="superscript"/>
        </w:rPr>
        <w:t>-5</w:t>
      </w:r>
      <w:r>
        <w:t xml:space="preserve">. Values </w:t>
      </w:r>
      <w:r w:rsidR="00612F77">
        <w:t>greater</w:t>
      </w:r>
      <w:r>
        <w:t xml:space="preserve"> than this threshold were deemed to be excessive.  </w:t>
      </w:r>
    </w:p>
    <w:p w14:paraId="1B65CE24" w14:textId="5243AA04" w:rsidR="005B0351" w:rsidRDefault="00274BC6" w:rsidP="005B0351">
      <w:r>
        <w:t xml:space="preserve">Beach sand and water, after decontamination, were slightly polluted (respectively, 7.8 </w:t>
      </w:r>
      <w:proofErr w:type="spellStart"/>
      <w:r>
        <w:t>μg</w:t>
      </w:r>
      <w:proofErr w:type="spellEnd"/>
      <w:r>
        <w:t xml:space="preserve">/kg and 23.3 ng/l </w:t>
      </w:r>
      <w:r w:rsidR="006F2363">
        <w:t>for</w:t>
      </w:r>
      <w:r>
        <w:t xml:space="preserve"> total PAHs), with values </w:t>
      </w:r>
      <w:proofErr w:type="gramStart"/>
      <w:r>
        <w:t>similar to</w:t>
      </w:r>
      <w:proofErr w:type="gramEnd"/>
      <w:r>
        <w:t xml:space="preserve"> those found in the control beaches</w:t>
      </w:r>
      <w:r w:rsidR="00130FDD">
        <w:t xml:space="preserve">. </w:t>
      </w:r>
      <w:r>
        <w:t xml:space="preserve"> By contrast, the rocky areas in some places were still highly polluted (up to 23 mg/kg on the surface layer).</w:t>
      </w:r>
    </w:p>
    <w:p w14:paraId="2BA1EA82" w14:textId="4566C3C8" w:rsidR="005B0351" w:rsidRDefault="00274BC6" w:rsidP="005B0351">
      <w:r>
        <w:t>Risks were considered low, both in the long-term and short-term future, for recreational users.  Cancer risks did not differ substantially from those estimated on control beaches, except when depollution work had not been completed.  Consequently, it could be hypothesized that risks of cancer at beaches not cleaned yet, or recently spoiled by fuel deposits, would be of concern and would justify temporary closing of the beaches.</w:t>
      </w:r>
    </w:p>
    <w:p w14:paraId="47A6E980" w14:textId="3BDA0016" w:rsidR="005B0351" w:rsidRPr="00143B1D" w:rsidRDefault="00274BC6" w:rsidP="005B0351">
      <w:r w:rsidRPr="00143B1D">
        <w:t xml:space="preserve">The health impact on children (2-12 yrs) playing on a </w:t>
      </w:r>
      <w:r w:rsidR="00143B1D" w:rsidRPr="00143B1D">
        <w:t>Dutch</w:t>
      </w:r>
      <w:r w:rsidRPr="00143B1D">
        <w:t xml:space="preserve"> sandy beach contaminated with iron ore lumps containing </w:t>
      </w:r>
      <w:r w:rsidR="006774BC">
        <w:t>a</w:t>
      </w:r>
      <w:r w:rsidRPr="00143B1D">
        <w:t xml:space="preserve">rsenic was studied by </w:t>
      </w:r>
      <w:r w:rsidRPr="00143B1D">
        <w:fldChar w:fldCharType="begin"/>
      </w:r>
      <w:r w:rsidRPr="00143B1D">
        <w:instrText xml:space="preserve"> ADDIN ZOTERO_ITEM CSL_CITATION {"citationID":"fFHoL8HM","properties":{"custom":"Swartjes and Janssen (2016)","formattedCitation":"Swartjes and Janssen (2016)","plainCitation":"Swartjes and Janssen (2016)","noteIndex":0},"citationItems":[{"id":13978,"uris":["http://zotero.org/users/148142/items/JSXBVMWV"],"uri":["http://zotero.org/users/148142/items/JSXBVMWV"],"itemData":{"id":13978,"type":"article-journal","abstract":"In 2011, an artificial hook-shaped peninsula of 128ha beach area was created along the Dutch coast, containing thousands of iron ore lumps, which include arsenic from natural origin. Elemental arsenic and inorganic arsenic induce a range of toxicological effects and has been classified as proven human carcinogens. The combination of easy access to the beach and the presence of arsenic raised concern about possible human health effects by the local authorities. The objective of this study is therefore to investigate human health risks from the presence of arsenic-containing iron ore lumps in a beach setting. The exposure scenarios underlying the human health-based risk limits for contaminated land in The Netherlands, based on soil material ingestion and a residential setting, are not appropriate. Two specific exposure scenarios related to the playing with iron ore lumps on the beach ('sandcastle building') are developed on the basis of expert judgement, relating to children in the age of 2 to 12years, i.e., a worst case exposure scenario and a precautionary scenario. Subsequently, exposure is calculated by the quantification of the following factors: hand loading, soil-mouth transfer effectivity, hand-mouth contact frequency, contact surface, body weight and the relative oral bioavailability factor. By lack of consensus on a universal reference dose for arsenic for use in the stage of risk characterization, three different types of assessments have been evaluated: on the basis of the current Provisional Tolerable Daily Intake (PTWI), on the basis of the Benchmark Dose Lower limit (BMDL), and by a comparison of exposure from the iron ore lumps with background exposure. It is concluded, certainly from the perspective of the conservative exposure assessment, that unacceptable human health risks due to exposure to arsenic from the iron ore lumps are unlikely and there is no need for risk management actions.","container-title":"The Science of the Total Environment","DOI":"10.1016/j.scitotenv.2016.04.100","ISSN":"1879-1026","journalAbbreviation":"Sci Total Environ","language":"eng","page":"405-412","source":"PubMed","title":"Assessment of health risks due to arsenic from iron ore lumps in a beach setting","volume":"563-564","author":[{"family":"Swartjes","given":"Frank A."},{"family":"Janssen","given":"Paul J. C. M."}],"issued":{"date-parts":[["2016",9,1]]}}}],"schema":"https://github.com/citation-style-language/schema/raw/master/csl-citation.json"} </w:instrText>
      </w:r>
      <w:r w:rsidRPr="00143B1D">
        <w:fldChar w:fldCharType="separate"/>
      </w:r>
      <w:r w:rsidRPr="00143B1D">
        <w:rPr>
          <w:rFonts w:cs="Arial"/>
        </w:rPr>
        <w:t>Swartjes and Janssen (2016)</w:t>
      </w:r>
      <w:r w:rsidRPr="00143B1D">
        <w:fldChar w:fldCharType="end"/>
      </w:r>
      <w:r w:rsidR="007B4396">
        <w:t xml:space="preserve"> (</w:t>
      </w:r>
      <w:r w:rsidR="007B4396">
        <w:fldChar w:fldCharType="begin"/>
      </w:r>
      <w:r w:rsidR="007B4396">
        <w:instrText xml:space="preserve"> REF _Ref72246344 \h </w:instrText>
      </w:r>
      <w:r w:rsidR="007B4396">
        <w:fldChar w:fldCharType="separate"/>
      </w:r>
      <w:r w:rsidR="003132AF" w:rsidRPr="00595884">
        <w:t xml:space="preserve">Table </w:t>
      </w:r>
      <w:r w:rsidR="003132AF">
        <w:rPr>
          <w:noProof/>
        </w:rPr>
        <w:t>6</w:t>
      </w:r>
      <w:r w:rsidR="003132AF">
        <w:noBreakHyphen/>
      </w:r>
      <w:r w:rsidR="003132AF">
        <w:rPr>
          <w:noProof/>
        </w:rPr>
        <w:t>8</w:t>
      </w:r>
      <w:r w:rsidR="007B4396">
        <w:fldChar w:fldCharType="end"/>
      </w:r>
      <w:r w:rsidR="007B4396">
        <w:t>)</w:t>
      </w:r>
      <w:r w:rsidRPr="00143B1D">
        <w:t xml:space="preserve">.  </w:t>
      </w:r>
      <w:r w:rsidR="00143B1D" w:rsidRPr="00143B1D">
        <w:t xml:space="preserve">The estimated exposure to </w:t>
      </w:r>
      <w:r w:rsidR="006774BC">
        <w:t>arsenic</w:t>
      </w:r>
      <w:r w:rsidR="00B454C9">
        <w:t xml:space="preserve"> (as total arsenic)</w:t>
      </w:r>
      <w:r w:rsidR="00143B1D" w:rsidRPr="00143B1D">
        <w:t xml:space="preserve"> was 0.045–0.091 </w:t>
      </w:r>
      <w:proofErr w:type="spellStart"/>
      <w:r w:rsidR="00143B1D" w:rsidRPr="00143B1D">
        <w:t>μg</w:t>
      </w:r>
      <w:proofErr w:type="spellEnd"/>
      <w:r w:rsidR="00143B1D" w:rsidRPr="00143B1D">
        <w:t>/</w:t>
      </w:r>
      <w:proofErr w:type="spellStart"/>
      <w:r w:rsidR="00143B1D" w:rsidRPr="00143B1D">
        <w:t>kgBW</w:t>
      </w:r>
      <w:proofErr w:type="spellEnd"/>
      <w:r w:rsidR="00143B1D" w:rsidRPr="00143B1D">
        <w:t xml:space="preserve">/day which implies an increase of 8 to 16% against the Dutch background exposure. </w:t>
      </w:r>
    </w:p>
    <w:p w14:paraId="4117F105" w14:textId="16E58340" w:rsidR="00143B1D" w:rsidRPr="00143B1D" w:rsidRDefault="00274BC6" w:rsidP="00143B1D">
      <w:r w:rsidRPr="00143B1D">
        <w:t xml:space="preserve">The estimated exposure was compared with the </w:t>
      </w:r>
      <w:r w:rsidR="00841ED6">
        <w:t>benchmark dose level (</w:t>
      </w:r>
      <w:r w:rsidRPr="00143B1D">
        <w:t>BMDL</w:t>
      </w:r>
      <w:r w:rsidR="00841ED6">
        <w:t>)</w:t>
      </w:r>
      <w:r w:rsidRPr="00143B1D">
        <w:t xml:space="preserve"> [95% lower confidence limit of the benchmark-dose]. The appraisal of the contaminated site depended on the Margin of Exposure (</w:t>
      </w:r>
      <w:proofErr w:type="spellStart"/>
      <w:r w:rsidRPr="00143B1D">
        <w:t>MoE</w:t>
      </w:r>
      <w:proofErr w:type="spellEnd"/>
      <w:r w:rsidRPr="00143B1D">
        <w:t xml:space="preserve">), i.e., the quotient between the BMDL and estimated exposure.  </w:t>
      </w:r>
      <w:r>
        <w:t>In general,</w:t>
      </w:r>
      <w:r w:rsidRPr="00143B1D">
        <w:t xml:space="preserve"> a lower </w:t>
      </w:r>
      <w:proofErr w:type="spellStart"/>
      <w:r w:rsidRPr="00143B1D">
        <w:t>MoE</w:t>
      </w:r>
      <w:proofErr w:type="spellEnd"/>
      <w:r w:rsidRPr="00143B1D">
        <w:t xml:space="preserve"> implies higher health concern.  The estimated exposure gave a calculated Margin of Exposure (</w:t>
      </w:r>
      <w:proofErr w:type="spellStart"/>
      <w:r w:rsidRPr="00143B1D">
        <w:t>MoE</w:t>
      </w:r>
      <w:proofErr w:type="spellEnd"/>
      <w:r w:rsidRPr="00143B1D">
        <w:t xml:space="preserve">) range </w:t>
      </w:r>
      <w:r w:rsidR="00841ED6">
        <w:t xml:space="preserve">of </w:t>
      </w:r>
      <w:r w:rsidRPr="00143B1D">
        <w:t>33−67.</w:t>
      </w:r>
    </w:p>
    <w:p w14:paraId="4E8614AC" w14:textId="0B7F7579" w:rsidR="00143B1D" w:rsidRPr="00143B1D" w:rsidRDefault="00274BC6" w:rsidP="00143B1D">
      <w:r w:rsidRPr="00143B1D">
        <w:t xml:space="preserve">The lack of a widely accepted benchmark </w:t>
      </w:r>
      <w:proofErr w:type="spellStart"/>
      <w:r w:rsidRPr="00143B1D">
        <w:t>MoE</w:t>
      </w:r>
      <w:proofErr w:type="spellEnd"/>
      <w:r w:rsidRPr="00143B1D">
        <w:t xml:space="preserve"> was noted. Nevertheless, the predicted range was considered to indicate a relatively low health concern (i.e., considered safe) compared to </w:t>
      </w:r>
      <w:proofErr w:type="spellStart"/>
      <w:r w:rsidRPr="00143B1D">
        <w:t>MoEs</w:t>
      </w:r>
      <w:proofErr w:type="spellEnd"/>
      <w:r w:rsidRPr="00143B1D">
        <w:t xml:space="preserve"> for background exposure via food and drinking water in the Netherlands.</w:t>
      </w:r>
    </w:p>
    <w:p w14:paraId="3AF800B0" w14:textId="60F706E0" w:rsidR="006F7E5B" w:rsidRDefault="006F7E5B" w:rsidP="006F7E5B"/>
    <w:p w14:paraId="715BEBBA" w14:textId="77777777" w:rsidR="009D385C" w:rsidRDefault="009D385C" w:rsidP="006F7E5B">
      <w:pPr>
        <w:sectPr w:rsidR="009D385C" w:rsidSect="009D385C">
          <w:headerReference w:type="default" r:id="rId35"/>
          <w:pgSz w:w="11906" w:h="16838"/>
          <w:pgMar w:top="1588" w:right="1418" w:bottom="1418" w:left="2835" w:header="680" w:footer="709" w:gutter="0"/>
          <w:cols w:space="708"/>
          <w:docGrid w:linePitch="360"/>
        </w:sectPr>
      </w:pPr>
    </w:p>
    <w:p w14:paraId="776A919F" w14:textId="4DB00E99" w:rsidR="007451D2" w:rsidRPr="00595884" w:rsidRDefault="00274BC6" w:rsidP="007451D2">
      <w:pPr>
        <w:pStyle w:val="Caption"/>
      </w:pPr>
      <w:bookmarkStart w:id="344" w:name="_Ref72243466"/>
      <w:bookmarkStart w:id="345" w:name="_Toc106811180"/>
      <w:r w:rsidRPr="00595884">
        <w:t xml:space="preserve">Table </w:t>
      </w:r>
      <w:r w:rsidR="003132AF">
        <w:fldChar w:fldCharType="begin"/>
      </w:r>
      <w:r w:rsidR="003132AF">
        <w:instrText xml:space="preserve"> STYLEREF 1 \s </w:instrText>
      </w:r>
      <w:r w:rsidR="003132AF">
        <w:fldChar w:fldCharType="separate"/>
      </w:r>
      <w:r w:rsidR="003132AF">
        <w:rPr>
          <w:noProof/>
        </w:rPr>
        <w:t>6</w:t>
      </w:r>
      <w:r w:rsidR="003132AF">
        <w:rPr>
          <w:noProof/>
        </w:rPr>
        <w:fldChar w:fldCharType="end"/>
      </w:r>
      <w:r w:rsidR="00CE064A">
        <w:noBreakHyphen/>
      </w:r>
      <w:r w:rsidR="003132AF">
        <w:fldChar w:fldCharType="begin"/>
      </w:r>
      <w:r w:rsidR="003132AF">
        <w:instrText xml:space="preserve"> SEQ Table \* ARABIC \s 1 </w:instrText>
      </w:r>
      <w:r w:rsidR="003132AF">
        <w:fldChar w:fldCharType="separate"/>
      </w:r>
      <w:r w:rsidR="003132AF">
        <w:rPr>
          <w:noProof/>
        </w:rPr>
        <w:t>6</w:t>
      </w:r>
      <w:r w:rsidR="003132AF">
        <w:rPr>
          <w:noProof/>
        </w:rPr>
        <w:fldChar w:fldCharType="end"/>
      </w:r>
      <w:bookmarkEnd w:id="344"/>
      <w:r w:rsidRPr="00595884">
        <w:t>.</w:t>
      </w:r>
      <w:r w:rsidR="00A45418" w:rsidRPr="00595884">
        <w:t xml:space="preserve"> Results summary for Canpolat et al., (2020)</w:t>
      </w:r>
      <w:bookmarkEnd w:id="345"/>
    </w:p>
    <w:tbl>
      <w:tblPr>
        <w:tblW w:w="14240" w:type="dxa"/>
        <w:tblLook w:val="04A0" w:firstRow="1" w:lastRow="0" w:firstColumn="1" w:lastColumn="0" w:noHBand="0" w:noVBand="1"/>
      </w:tblPr>
      <w:tblGrid>
        <w:gridCol w:w="1059"/>
        <w:gridCol w:w="1080"/>
        <w:gridCol w:w="1535"/>
        <w:gridCol w:w="1537"/>
        <w:gridCol w:w="2012"/>
        <w:gridCol w:w="2231"/>
        <w:gridCol w:w="2488"/>
        <w:gridCol w:w="1296"/>
        <w:gridCol w:w="1002"/>
      </w:tblGrid>
      <w:tr w:rsidR="004254E5" w14:paraId="52A30A8E" w14:textId="77777777" w:rsidTr="007451D2">
        <w:trPr>
          <w:trHeight w:val="420"/>
        </w:trPr>
        <w:tc>
          <w:tcPr>
            <w:tcW w:w="1060" w:type="dxa"/>
            <w:tcBorders>
              <w:top w:val="single" w:sz="4" w:space="0" w:color="B5DDDC"/>
              <w:left w:val="single" w:sz="4" w:space="0" w:color="B5DDDC"/>
              <w:bottom w:val="single" w:sz="4" w:space="0" w:color="B5DDDC"/>
              <w:right w:val="single" w:sz="4" w:space="0" w:color="B5DDDC"/>
            </w:tcBorders>
            <w:shd w:val="clear" w:color="000000" w:fill="B5DDDC"/>
            <w:vAlign w:val="center"/>
            <w:hideMark/>
          </w:tcPr>
          <w:p w14:paraId="10727438" w14:textId="77777777" w:rsidR="007451D2" w:rsidRPr="00595884" w:rsidRDefault="00274BC6" w:rsidP="007451D2">
            <w:pPr>
              <w:spacing w:before="0" w:after="0" w:line="240" w:lineRule="auto"/>
              <w:rPr>
                <w:rFonts w:ascii="Calibri" w:hAnsi="Calibri" w:cs="Calibri"/>
                <w:b/>
                <w:bCs/>
                <w:color w:val="008000"/>
                <w:sz w:val="16"/>
                <w:szCs w:val="16"/>
              </w:rPr>
            </w:pPr>
            <w:proofErr w:type="gramStart"/>
            <w:r w:rsidRPr="00595884">
              <w:rPr>
                <w:rFonts w:ascii="Calibri" w:hAnsi="Calibri" w:cs="Calibri"/>
                <w:b/>
                <w:bCs/>
                <w:color w:val="008000"/>
                <w:sz w:val="16"/>
                <w:szCs w:val="16"/>
              </w:rPr>
              <w:t>Study,  Design</w:t>
            </w:r>
            <w:proofErr w:type="gramEnd"/>
            <w:r w:rsidRPr="00595884">
              <w:rPr>
                <w:rFonts w:ascii="Calibri" w:hAnsi="Calibri" w:cs="Calibri"/>
                <w:b/>
                <w:bCs/>
                <w:color w:val="008000"/>
                <w:sz w:val="16"/>
                <w:szCs w:val="16"/>
              </w:rPr>
              <w:t>, Quality</w:t>
            </w:r>
          </w:p>
        </w:tc>
        <w:tc>
          <w:tcPr>
            <w:tcW w:w="1080" w:type="dxa"/>
            <w:tcBorders>
              <w:top w:val="single" w:sz="4" w:space="0" w:color="B5DDDC"/>
              <w:left w:val="nil"/>
              <w:bottom w:val="single" w:sz="4" w:space="0" w:color="B5DDDC"/>
              <w:right w:val="single" w:sz="4" w:space="0" w:color="B5DDDC"/>
            </w:tcBorders>
            <w:shd w:val="clear" w:color="000000" w:fill="B5DDDC"/>
            <w:vAlign w:val="center"/>
            <w:hideMark/>
          </w:tcPr>
          <w:p w14:paraId="11E13C1F" w14:textId="77777777" w:rsidR="007451D2" w:rsidRPr="00595884" w:rsidRDefault="00274BC6" w:rsidP="007451D2">
            <w:pPr>
              <w:spacing w:before="0" w:after="0" w:line="240" w:lineRule="auto"/>
              <w:rPr>
                <w:rFonts w:ascii="Calibri" w:hAnsi="Calibri" w:cs="Calibri"/>
                <w:b/>
                <w:bCs/>
                <w:color w:val="008000"/>
                <w:sz w:val="16"/>
                <w:szCs w:val="16"/>
              </w:rPr>
            </w:pPr>
            <w:r w:rsidRPr="00595884">
              <w:rPr>
                <w:rFonts w:ascii="Calibri" w:hAnsi="Calibri" w:cs="Calibri"/>
                <w:b/>
                <w:bCs/>
                <w:color w:val="008000"/>
                <w:sz w:val="16"/>
                <w:szCs w:val="16"/>
              </w:rPr>
              <w:t>Population</w:t>
            </w:r>
          </w:p>
        </w:tc>
        <w:tc>
          <w:tcPr>
            <w:tcW w:w="1540" w:type="dxa"/>
            <w:tcBorders>
              <w:top w:val="single" w:sz="4" w:space="0" w:color="B5DDDC"/>
              <w:left w:val="nil"/>
              <w:bottom w:val="single" w:sz="4" w:space="0" w:color="B5DDDC"/>
              <w:right w:val="single" w:sz="4" w:space="0" w:color="B5DDDC"/>
            </w:tcBorders>
            <w:shd w:val="clear" w:color="000000" w:fill="B5DDDC"/>
            <w:vAlign w:val="center"/>
            <w:hideMark/>
          </w:tcPr>
          <w:p w14:paraId="08CC3873" w14:textId="77777777" w:rsidR="007451D2" w:rsidRPr="00595884" w:rsidRDefault="00274BC6" w:rsidP="007451D2">
            <w:pPr>
              <w:spacing w:before="0" w:after="0" w:line="240" w:lineRule="auto"/>
              <w:rPr>
                <w:rFonts w:ascii="Calibri" w:hAnsi="Calibri" w:cs="Calibri"/>
                <w:b/>
                <w:bCs/>
                <w:color w:val="008000"/>
                <w:sz w:val="16"/>
                <w:szCs w:val="16"/>
              </w:rPr>
            </w:pPr>
            <w:r w:rsidRPr="00595884">
              <w:rPr>
                <w:rFonts w:ascii="Calibri" w:hAnsi="Calibri" w:cs="Calibri"/>
                <w:b/>
                <w:bCs/>
                <w:color w:val="008000"/>
                <w:sz w:val="16"/>
                <w:szCs w:val="16"/>
              </w:rPr>
              <w:t>Exposures</w:t>
            </w:r>
          </w:p>
        </w:tc>
        <w:tc>
          <w:tcPr>
            <w:tcW w:w="1540" w:type="dxa"/>
            <w:tcBorders>
              <w:top w:val="single" w:sz="4" w:space="0" w:color="B5DDDC"/>
              <w:left w:val="nil"/>
              <w:bottom w:val="single" w:sz="4" w:space="0" w:color="B5DDDC"/>
              <w:right w:val="single" w:sz="4" w:space="0" w:color="B5DDDC"/>
            </w:tcBorders>
            <w:shd w:val="clear" w:color="000000" w:fill="B5DDDC"/>
            <w:vAlign w:val="center"/>
            <w:hideMark/>
          </w:tcPr>
          <w:p w14:paraId="1D9E3652" w14:textId="77777777" w:rsidR="007451D2" w:rsidRPr="00595884" w:rsidRDefault="00274BC6" w:rsidP="007451D2">
            <w:pPr>
              <w:spacing w:before="0" w:after="0" w:line="240" w:lineRule="auto"/>
              <w:rPr>
                <w:rFonts w:ascii="Calibri" w:hAnsi="Calibri" w:cs="Calibri"/>
                <w:b/>
                <w:bCs/>
                <w:color w:val="008000"/>
                <w:sz w:val="16"/>
                <w:szCs w:val="16"/>
              </w:rPr>
            </w:pPr>
            <w:r w:rsidRPr="00595884">
              <w:rPr>
                <w:rFonts w:ascii="Calibri" w:hAnsi="Calibri" w:cs="Calibri"/>
                <w:b/>
                <w:bCs/>
                <w:color w:val="008000"/>
                <w:sz w:val="16"/>
                <w:szCs w:val="16"/>
              </w:rPr>
              <w:t>Location type</w:t>
            </w:r>
          </w:p>
        </w:tc>
        <w:tc>
          <w:tcPr>
            <w:tcW w:w="2020" w:type="dxa"/>
            <w:tcBorders>
              <w:top w:val="single" w:sz="4" w:space="0" w:color="B5DDDC"/>
              <w:left w:val="nil"/>
              <w:bottom w:val="single" w:sz="4" w:space="0" w:color="B5DDDC"/>
              <w:right w:val="single" w:sz="4" w:space="0" w:color="B5DDDC"/>
            </w:tcBorders>
            <w:shd w:val="clear" w:color="000000" w:fill="B5DDDC"/>
            <w:vAlign w:val="center"/>
            <w:hideMark/>
          </w:tcPr>
          <w:p w14:paraId="5996B783" w14:textId="77777777" w:rsidR="007451D2" w:rsidRPr="00595884" w:rsidRDefault="00274BC6" w:rsidP="007451D2">
            <w:pPr>
              <w:spacing w:before="0" w:after="0" w:line="240" w:lineRule="auto"/>
              <w:rPr>
                <w:rFonts w:ascii="Calibri" w:hAnsi="Calibri" w:cs="Calibri"/>
                <w:b/>
                <w:bCs/>
                <w:color w:val="008000"/>
                <w:sz w:val="16"/>
                <w:szCs w:val="16"/>
              </w:rPr>
            </w:pPr>
            <w:r w:rsidRPr="00595884">
              <w:rPr>
                <w:rFonts w:ascii="Calibri" w:hAnsi="Calibri" w:cs="Calibri"/>
                <w:b/>
                <w:bCs/>
                <w:color w:val="008000"/>
                <w:sz w:val="16"/>
                <w:szCs w:val="16"/>
              </w:rPr>
              <w:t>Outcome</w:t>
            </w:r>
          </w:p>
        </w:tc>
        <w:tc>
          <w:tcPr>
            <w:tcW w:w="2240" w:type="dxa"/>
            <w:tcBorders>
              <w:top w:val="single" w:sz="4" w:space="0" w:color="B5DDDC"/>
              <w:left w:val="nil"/>
              <w:bottom w:val="single" w:sz="4" w:space="0" w:color="B5DDDC"/>
              <w:right w:val="single" w:sz="4" w:space="0" w:color="B5DDDC"/>
            </w:tcBorders>
            <w:shd w:val="clear" w:color="000000" w:fill="B5DDDC"/>
            <w:vAlign w:val="center"/>
            <w:hideMark/>
          </w:tcPr>
          <w:p w14:paraId="060B009F" w14:textId="77777777" w:rsidR="007451D2" w:rsidRPr="00595884" w:rsidRDefault="00274BC6" w:rsidP="007451D2">
            <w:pPr>
              <w:spacing w:before="0" w:after="0" w:line="240" w:lineRule="auto"/>
              <w:rPr>
                <w:rFonts w:ascii="Calibri" w:hAnsi="Calibri" w:cs="Calibri"/>
                <w:b/>
                <w:bCs/>
                <w:color w:val="008000"/>
                <w:sz w:val="16"/>
                <w:szCs w:val="16"/>
              </w:rPr>
            </w:pPr>
            <w:r w:rsidRPr="00595884">
              <w:rPr>
                <w:rFonts w:ascii="Calibri" w:hAnsi="Calibri" w:cs="Calibri"/>
                <w:b/>
                <w:bCs/>
                <w:color w:val="008000"/>
                <w:sz w:val="16"/>
                <w:szCs w:val="16"/>
              </w:rPr>
              <w:t>Analysis</w:t>
            </w:r>
          </w:p>
        </w:tc>
        <w:tc>
          <w:tcPr>
            <w:tcW w:w="2500" w:type="dxa"/>
            <w:tcBorders>
              <w:top w:val="single" w:sz="4" w:space="0" w:color="B5DDDC"/>
              <w:left w:val="nil"/>
              <w:bottom w:val="single" w:sz="4" w:space="0" w:color="B5DDDC"/>
              <w:right w:val="single" w:sz="4" w:space="0" w:color="B5DDDC"/>
            </w:tcBorders>
            <w:shd w:val="clear" w:color="000000" w:fill="B5DDDC"/>
            <w:vAlign w:val="center"/>
            <w:hideMark/>
          </w:tcPr>
          <w:p w14:paraId="6F239A0B" w14:textId="77777777" w:rsidR="007451D2" w:rsidRPr="00595884" w:rsidRDefault="00274BC6" w:rsidP="007451D2">
            <w:pPr>
              <w:spacing w:before="0" w:after="0" w:line="240" w:lineRule="auto"/>
              <w:rPr>
                <w:rFonts w:ascii="Calibri" w:hAnsi="Calibri" w:cs="Calibri"/>
                <w:b/>
                <w:bCs/>
                <w:color w:val="008000"/>
                <w:sz w:val="16"/>
                <w:szCs w:val="16"/>
              </w:rPr>
            </w:pPr>
            <w:r w:rsidRPr="00595884">
              <w:rPr>
                <w:rFonts w:ascii="Calibri" w:hAnsi="Calibri" w:cs="Calibri"/>
                <w:b/>
                <w:bCs/>
                <w:color w:val="008000"/>
                <w:sz w:val="16"/>
                <w:szCs w:val="16"/>
              </w:rPr>
              <w:t>Results</w:t>
            </w:r>
          </w:p>
        </w:tc>
        <w:tc>
          <w:tcPr>
            <w:tcW w:w="1300" w:type="dxa"/>
            <w:tcBorders>
              <w:top w:val="single" w:sz="4" w:space="0" w:color="B5DDDC"/>
              <w:left w:val="nil"/>
              <w:bottom w:val="single" w:sz="4" w:space="0" w:color="B5DDDC"/>
              <w:right w:val="single" w:sz="4" w:space="0" w:color="B5DDDC"/>
            </w:tcBorders>
            <w:shd w:val="clear" w:color="000000" w:fill="B5DDDC"/>
            <w:vAlign w:val="center"/>
            <w:hideMark/>
          </w:tcPr>
          <w:p w14:paraId="43D9805F" w14:textId="77777777" w:rsidR="007451D2" w:rsidRPr="00595884" w:rsidRDefault="00274BC6" w:rsidP="007451D2">
            <w:pPr>
              <w:spacing w:before="0" w:after="0" w:line="240" w:lineRule="auto"/>
              <w:rPr>
                <w:rFonts w:ascii="Calibri" w:hAnsi="Calibri" w:cs="Calibri"/>
                <w:b/>
                <w:bCs/>
                <w:color w:val="008000"/>
                <w:sz w:val="16"/>
                <w:szCs w:val="16"/>
              </w:rPr>
            </w:pPr>
            <w:r w:rsidRPr="00595884">
              <w:rPr>
                <w:rFonts w:ascii="Calibri" w:hAnsi="Calibri" w:cs="Calibri"/>
                <w:b/>
                <w:bCs/>
                <w:color w:val="008000"/>
                <w:sz w:val="16"/>
                <w:szCs w:val="16"/>
              </w:rPr>
              <w:t>Effect estimate</w:t>
            </w:r>
          </w:p>
        </w:tc>
        <w:tc>
          <w:tcPr>
            <w:tcW w:w="960" w:type="dxa"/>
            <w:tcBorders>
              <w:top w:val="single" w:sz="4" w:space="0" w:color="B5DDDC"/>
              <w:left w:val="nil"/>
              <w:bottom w:val="single" w:sz="4" w:space="0" w:color="B5DDDC"/>
              <w:right w:val="single" w:sz="4" w:space="0" w:color="B5DDDC"/>
            </w:tcBorders>
            <w:shd w:val="clear" w:color="000000" w:fill="B5DDDC"/>
            <w:vAlign w:val="center"/>
            <w:hideMark/>
          </w:tcPr>
          <w:p w14:paraId="0A1E9767" w14:textId="4F52AD43" w:rsidR="007451D2" w:rsidRPr="00595884" w:rsidRDefault="00274BC6" w:rsidP="007451D2">
            <w:pPr>
              <w:spacing w:before="0" w:after="0" w:line="240" w:lineRule="auto"/>
              <w:rPr>
                <w:rFonts w:ascii="Calibri" w:hAnsi="Calibri" w:cs="Calibri"/>
                <w:b/>
                <w:bCs/>
                <w:color w:val="008000"/>
                <w:sz w:val="16"/>
                <w:szCs w:val="16"/>
              </w:rPr>
            </w:pPr>
            <w:r w:rsidRPr="00595884">
              <w:rPr>
                <w:rFonts w:ascii="Calibri" w:hAnsi="Calibri" w:cs="Calibri"/>
                <w:b/>
                <w:bCs/>
                <w:color w:val="008000"/>
                <w:sz w:val="16"/>
                <w:szCs w:val="16"/>
              </w:rPr>
              <w:t>Significance</w:t>
            </w:r>
          </w:p>
        </w:tc>
      </w:tr>
      <w:tr w:rsidR="004254E5" w14:paraId="4096DE32" w14:textId="77777777" w:rsidTr="007451D2">
        <w:trPr>
          <w:trHeight w:val="336"/>
        </w:trPr>
        <w:tc>
          <w:tcPr>
            <w:tcW w:w="14240" w:type="dxa"/>
            <w:gridSpan w:val="9"/>
            <w:tcBorders>
              <w:top w:val="single" w:sz="4" w:space="0" w:color="B5DDDC"/>
              <w:left w:val="single" w:sz="4" w:space="0" w:color="B5DDDC"/>
              <w:bottom w:val="nil"/>
              <w:right w:val="nil"/>
            </w:tcBorders>
            <w:shd w:val="clear" w:color="000000" w:fill="D6EAEB"/>
            <w:vAlign w:val="center"/>
            <w:hideMark/>
          </w:tcPr>
          <w:p w14:paraId="53D8D602" w14:textId="77777777" w:rsidR="007451D2" w:rsidRPr="00595884" w:rsidRDefault="00274BC6" w:rsidP="007451D2">
            <w:pPr>
              <w:spacing w:before="0" w:after="0" w:line="240" w:lineRule="auto"/>
              <w:rPr>
                <w:rFonts w:ascii="Calibri" w:hAnsi="Calibri" w:cs="Calibri"/>
                <w:b/>
                <w:bCs/>
                <w:color w:val="000000"/>
                <w:sz w:val="16"/>
                <w:szCs w:val="16"/>
              </w:rPr>
            </w:pPr>
            <w:r w:rsidRPr="00595884">
              <w:rPr>
                <w:rFonts w:ascii="Calibri" w:hAnsi="Calibri" w:cs="Calibri"/>
                <w:b/>
                <w:bCs/>
                <w:color w:val="000000"/>
                <w:sz w:val="16"/>
                <w:szCs w:val="16"/>
              </w:rPr>
              <w:t xml:space="preserve">Research question: </w:t>
            </w:r>
            <w:r w:rsidRPr="00595884">
              <w:rPr>
                <w:rFonts w:ascii="Calibri" w:hAnsi="Calibri" w:cs="Calibri"/>
                <w:i/>
                <w:iCs/>
                <w:color w:val="000000"/>
                <w:sz w:val="16"/>
                <w:szCs w:val="16"/>
              </w:rPr>
              <w:t>e.g. Are exposures to the hazards outlined in the PECO Table likely to give rise to any significant human health risks given that chemical concentrations in recreational waters are generally low?</w:t>
            </w:r>
          </w:p>
        </w:tc>
      </w:tr>
      <w:tr w:rsidR="004254E5" w14:paraId="32DAE704" w14:textId="77777777" w:rsidTr="007451D2">
        <w:trPr>
          <w:trHeight w:val="240"/>
        </w:trPr>
        <w:tc>
          <w:tcPr>
            <w:tcW w:w="14240" w:type="dxa"/>
            <w:gridSpan w:val="9"/>
            <w:tcBorders>
              <w:top w:val="nil"/>
              <w:left w:val="single" w:sz="4" w:space="0" w:color="B5DDDC"/>
              <w:bottom w:val="single" w:sz="4" w:space="0" w:color="B5DDDC"/>
              <w:right w:val="nil"/>
            </w:tcBorders>
            <w:shd w:val="clear" w:color="000000" w:fill="D6EAEB"/>
            <w:vAlign w:val="center"/>
            <w:hideMark/>
          </w:tcPr>
          <w:p w14:paraId="76D70B56" w14:textId="77777777" w:rsidR="007451D2" w:rsidRPr="00595884" w:rsidRDefault="00274BC6" w:rsidP="007451D2">
            <w:pPr>
              <w:spacing w:before="0" w:after="0" w:line="240" w:lineRule="auto"/>
              <w:rPr>
                <w:rFonts w:ascii="Calibri" w:hAnsi="Calibri" w:cs="Calibri"/>
                <w:b/>
                <w:bCs/>
                <w:color w:val="000000"/>
                <w:sz w:val="16"/>
                <w:szCs w:val="16"/>
              </w:rPr>
            </w:pPr>
            <w:r w:rsidRPr="00595884">
              <w:rPr>
                <w:rFonts w:ascii="Calibri" w:hAnsi="Calibri" w:cs="Calibri"/>
                <w:b/>
                <w:bCs/>
                <w:color w:val="000000"/>
                <w:sz w:val="16"/>
                <w:szCs w:val="16"/>
              </w:rPr>
              <w:t>Outcome 1. PECO listed chemical hazards measured in recreational waters above chronic health criteria (e.g. national recreational water quality guidelines).</w:t>
            </w:r>
          </w:p>
        </w:tc>
      </w:tr>
      <w:tr w:rsidR="004254E5" w14:paraId="3ACFA52A" w14:textId="77777777" w:rsidTr="007451D2">
        <w:trPr>
          <w:trHeight w:val="4332"/>
        </w:trPr>
        <w:tc>
          <w:tcPr>
            <w:tcW w:w="1060" w:type="dxa"/>
            <w:tcBorders>
              <w:top w:val="nil"/>
              <w:left w:val="single" w:sz="4" w:space="0" w:color="B5DDDC"/>
              <w:bottom w:val="single" w:sz="4" w:space="0" w:color="B5DDDC"/>
              <w:right w:val="single" w:sz="4" w:space="0" w:color="B5DDDC"/>
            </w:tcBorders>
            <w:hideMark/>
          </w:tcPr>
          <w:p w14:paraId="12DD5933" w14:textId="77777777" w:rsidR="007451D2" w:rsidRPr="00595884" w:rsidRDefault="00274BC6" w:rsidP="007451D2">
            <w:pPr>
              <w:spacing w:before="0" w:after="0" w:line="240" w:lineRule="auto"/>
              <w:rPr>
                <w:rFonts w:ascii="Calibri" w:hAnsi="Calibri" w:cs="Calibri"/>
                <w:color w:val="000000"/>
                <w:sz w:val="16"/>
                <w:szCs w:val="16"/>
              </w:rPr>
            </w:pPr>
            <w:r w:rsidRPr="00595884">
              <w:rPr>
                <w:rFonts w:ascii="Calibri" w:hAnsi="Calibri" w:cs="Calibri"/>
                <w:color w:val="000000"/>
                <w:sz w:val="16"/>
                <w:szCs w:val="16"/>
              </w:rPr>
              <w:t>J2, Canpolat et al., (2020) Qualitative study, Acceptable.</w:t>
            </w:r>
          </w:p>
        </w:tc>
        <w:tc>
          <w:tcPr>
            <w:tcW w:w="1080" w:type="dxa"/>
            <w:tcBorders>
              <w:top w:val="nil"/>
              <w:left w:val="nil"/>
              <w:bottom w:val="single" w:sz="4" w:space="0" w:color="B5DDDC"/>
              <w:right w:val="single" w:sz="4" w:space="0" w:color="B5DDDC"/>
            </w:tcBorders>
            <w:hideMark/>
          </w:tcPr>
          <w:p w14:paraId="50B3BDB6" w14:textId="1A027FFA" w:rsidR="007451D2" w:rsidRPr="00595884" w:rsidRDefault="00274BC6" w:rsidP="007451D2">
            <w:pPr>
              <w:spacing w:before="0" w:after="0" w:line="240" w:lineRule="auto"/>
              <w:rPr>
                <w:rFonts w:ascii="Calibri" w:hAnsi="Calibri" w:cs="Calibri"/>
                <w:sz w:val="16"/>
                <w:szCs w:val="16"/>
              </w:rPr>
            </w:pPr>
            <w:r>
              <w:rPr>
                <w:rFonts w:ascii="Calibri" w:hAnsi="Calibri" w:cs="Calibri"/>
                <w:sz w:val="16"/>
                <w:szCs w:val="16"/>
              </w:rPr>
              <w:t>Adults and children (designated as “recreational receptors”)</w:t>
            </w:r>
          </w:p>
        </w:tc>
        <w:tc>
          <w:tcPr>
            <w:tcW w:w="1540" w:type="dxa"/>
            <w:tcBorders>
              <w:top w:val="nil"/>
              <w:left w:val="nil"/>
              <w:bottom w:val="single" w:sz="4" w:space="0" w:color="B5DDDC"/>
              <w:right w:val="single" w:sz="4" w:space="0" w:color="B5DDDC"/>
            </w:tcBorders>
            <w:hideMark/>
          </w:tcPr>
          <w:p w14:paraId="1A81D433" w14:textId="28BD4944" w:rsidR="007451D2" w:rsidRPr="00595884" w:rsidRDefault="00274BC6" w:rsidP="007451D2">
            <w:pPr>
              <w:spacing w:before="0" w:after="0" w:line="240" w:lineRule="auto"/>
              <w:rPr>
                <w:rFonts w:ascii="Calibri" w:hAnsi="Calibri" w:cs="Calibri"/>
                <w:sz w:val="16"/>
                <w:szCs w:val="16"/>
              </w:rPr>
            </w:pPr>
            <w:r w:rsidRPr="00595884">
              <w:rPr>
                <w:rFonts w:ascii="Calibri" w:hAnsi="Calibri" w:cs="Calibri"/>
                <w:sz w:val="16"/>
                <w:szCs w:val="16"/>
              </w:rPr>
              <w:t>Ingestion and dermal exposure for recreational swimmers to trace element metals</w:t>
            </w:r>
            <w:r w:rsidR="006774BC">
              <w:rPr>
                <w:rFonts w:ascii="Calibri" w:hAnsi="Calibri" w:cs="Calibri"/>
                <w:sz w:val="16"/>
                <w:szCs w:val="16"/>
              </w:rPr>
              <w:t>*</w:t>
            </w:r>
            <w:r w:rsidRPr="00595884">
              <w:rPr>
                <w:rFonts w:ascii="Calibri" w:hAnsi="Calibri" w:cs="Calibri"/>
                <w:sz w:val="16"/>
                <w:szCs w:val="16"/>
              </w:rPr>
              <w:t>: Hg, Cd, Pb, As, Cr, Al, Cu, Mn, Co, Ba, Ni, Fe, Zn, U, V, Zr and Sr.</w:t>
            </w:r>
          </w:p>
        </w:tc>
        <w:tc>
          <w:tcPr>
            <w:tcW w:w="1540" w:type="dxa"/>
            <w:tcBorders>
              <w:top w:val="nil"/>
              <w:left w:val="nil"/>
              <w:bottom w:val="single" w:sz="4" w:space="0" w:color="B5DDDC"/>
              <w:right w:val="single" w:sz="4" w:space="0" w:color="B5DDDC"/>
            </w:tcBorders>
            <w:hideMark/>
          </w:tcPr>
          <w:p w14:paraId="01B65D48" w14:textId="186D2A66" w:rsidR="007451D2" w:rsidRPr="00595884" w:rsidRDefault="00274BC6">
            <w:pPr>
              <w:spacing w:before="0" w:after="0" w:line="240" w:lineRule="auto"/>
              <w:rPr>
                <w:rFonts w:ascii="Calibri" w:hAnsi="Calibri" w:cs="Calibri"/>
                <w:sz w:val="16"/>
                <w:szCs w:val="16"/>
              </w:rPr>
            </w:pPr>
            <w:r w:rsidRPr="00595884">
              <w:rPr>
                <w:rFonts w:ascii="Calibri" w:hAnsi="Calibri" w:cs="Calibri"/>
                <w:sz w:val="16"/>
                <w:szCs w:val="16"/>
              </w:rPr>
              <w:t>Freshwater Lake (impoundment on Euphrates River). Temperate environment.</w:t>
            </w:r>
          </w:p>
        </w:tc>
        <w:tc>
          <w:tcPr>
            <w:tcW w:w="2020" w:type="dxa"/>
            <w:tcBorders>
              <w:top w:val="nil"/>
              <w:left w:val="nil"/>
              <w:bottom w:val="single" w:sz="4" w:space="0" w:color="B5DDDC"/>
              <w:right w:val="single" w:sz="4" w:space="0" w:color="B5DDDC"/>
            </w:tcBorders>
            <w:hideMark/>
          </w:tcPr>
          <w:p w14:paraId="4C2541D6" w14:textId="77777777" w:rsidR="007451D2" w:rsidRPr="00595884" w:rsidRDefault="00274BC6" w:rsidP="007451D2">
            <w:pPr>
              <w:spacing w:before="0" w:after="0" w:line="240" w:lineRule="auto"/>
              <w:rPr>
                <w:rFonts w:ascii="Calibri" w:hAnsi="Calibri" w:cs="Calibri"/>
                <w:sz w:val="16"/>
                <w:szCs w:val="16"/>
              </w:rPr>
            </w:pPr>
            <w:r w:rsidRPr="00595884">
              <w:rPr>
                <w:rFonts w:ascii="Calibri" w:hAnsi="Calibri" w:cs="Calibri"/>
                <w:sz w:val="16"/>
                <w:szCs w:val="16"/>
              </w:rPr>
              <w:t>Hazard Quotients (HQs) and Hazard Index (HI) = ∑ HQs for all TEs Carcinogenic Risks (CRs).   Separate values of each metric computed for ingestion and dermal pathways.</w:t>
            </w:r>
          </w:p>
        </w:tc>
        <w:tc>
          <w:tcPr>
            <w:tcW w:w="2240" w:type="dxa"/>
            <w:tcBorders>
              <w:top w:val="nil"/>
              <w:left w:val="nil"/>
              <w:bottom w:val="single" w:sz="4" w:space="0" w:color="B5DDDC"/>
              <w:right w:val="single" w:sz="4" w:space="0" w:color="B5DDDC"/>
            </w:tcBorders>
            <w:hideMark/>
          </w:tcPr>
          <w:p w14:paraId="4C5B8ECD" w14:textId="2F0044C0" w:rsidR="007451D2" w:rsidRPr="00595884" w:rsidRDefault="00274BC6">
            <w:pPr>
              <w:spacing w:before="0" w:after="0" w:line="240" w:lineRule="auto"/>
              <w:rPr>
                <w:rFonts w:ascii="Calibri" w:hAnsi="Calibri" w:cs="Calibri"/>
                <w:sz w:val="16"/>
                <w:szCs w:val="16"/>
              </w:rPr>
            </w:pPr>
            <w:r w:rsidRPr="00595884">
              <w:rPr>
                <w:rFonts w:ascii="Calibri" w:hAnsi="Calibri" w:cs="Calibri"/>
                <w:sz w:val="16"/>
                <w:szCs w:val="16"/>
              </w:rPr>
              <w:t>US EPA standardized equations used to assess risks posed by each individual chemical, with HQs and CRs.</w:t>
            </w:r>
            <w:r w:rsidRPr="00595884">
              <w:rPr>
                <w:rFonts w:ascii="Calibri" w:hAnsi="Calibri" w:cs="Calibri"/>
                <w:sz w:val="16"/>
                <w:szCs w:val="16"/>
              </w:rPr>
              <w:br/>
              <w:t>One-way ANOVA was applied to determine differences in TE concentrations among sampling sites (p &lt; 0.05, Duncan’s test). Also, Student’</w:t>
            </w:r>
            <w:r w:rsidR="00841ED6">
              <w:rPr>
                <w:rFonts w:ascii="Calibri" w:hAnsi="Calibri" w:cs="Calibri"/>
                <w:sz w:val="16"/>
                <w:szCs w:val="16"/>
              </w:rPr>
              <w:t xml:space="preserve">s </w:t>
            </w:r>
            <w:r w:rsidRPr="00595884">
              <w:rPr>
                <w:rFonts w:ascii="Calibri" w:hAnsi="Calibri" w:cs="Calibri"/>
                <w:sz w:val="16"/>
                <w:szCs w:val="16"/>
              </w:rPr>
              <w:t xml:space="preserve">t-test was used to determine significant differences in TE concentrations between seasons and between surface water samples and </w:t>
            </w:r>
            <w:proofErr w:type="gramStart"/>
            <w:r w:rsidRPr="00595884">
              <w:rPr>
                <w:rFonts w:ascii="Calibri" w:hAnsi="Calibri" w:cs="Calibri"/>
                <w:sz w:val="16"/>
                <w:szCs w:val="16"/>
              </w:rPr>
              <w:t>deep water</w:t>
            </w:r>
            <w:proofErr w:type="gramEnd"/>
            <w:r w:rsidRPr="00595884">
              <w:rPr>
                <w:rFonts w:ascii="Calibri" w:hAnsi="Calibri" w:cs="Calibri"/>
                <w:sz w:val="16"/>
                <w:szCs w:val="16"/>
              </w:rPr>
              <w:t xml:space="preserve"> samples (p &lt; 0.05).</w:t>
            </w:r>
          </w:p>
        </w:tc>
        <w:tc>
          <w:tcPr>
            <w:tcW w:w="2500" w:type="dxa"/>
            <w:tcBorders>
              <w:top w:val="nil"/>
              <w:left w:val="nil"/>
              <w:bottom w:val="single" w:sz="4" w:space="0" w:color="B5DDDC"/>
              <w:right w:val="single" w:sz="4" w:space="0" w:color="B5DDDC"/>
            </w:tcBorders>
            <w:hideMark/>
          </w:tcPr>
          <w:p w14:paraId="6F823A11" w14:textId="385A4E58" w:rsidR="007451D2" w:rsidRPr="00595884" w:rsidRDefault="00274BC6" w:rsidP="007451D2">
            <w:pPr>
              <w:spacing w:before="0" w:after="0" w:line="240" w:lineRule="auto"/>
              <w:rPr>
                <w:rFonts w:ascii="Calibri" w:hAnsi="Calibri" w:cs="Calibri"/>
                <w:sz w:val="16"/>
                <w:szCs w:val="16"/>
              </w:rPr>
            </w:pPr>
            <w:r w:rsidRPr="00595884">
              <w:rPr>
                <w:rFonts w:ascii="Calibri" w:hAnsi="Calibri" w:cs="Calibri"/>
                <w:sz w:val="16"/>
                <w:szCs w:val="16"/>
              </w:rPr>
              <w:t>C</w:t>
            </w:r>
            <w:r w:rsidR="00AF72F1">
              <w:rPr>
                <w:rFonts w:ascii="Calibri" w:hAnsi="Calibri" w:cs="Calibri"/>
                <w:sz w:val="16"/>
                <w:szCs w:val="16"/>
              </w:rPr>
              <w:t>u</w:t>
            </w:r>
            <w:r w:rsidRPr="00595884">
              <w:rPr>
                <w:rFonts w:ascii="Calibri" w:hAnsi="Calibri" w:cs="Calibri"/>
                <w:sz w:val="16"/>
                <w:szCs w:val="16"/>
              </w:rPr>
              <w:t>, Zn, Ba, Ni, Mn and Pb levels measured in deep water were higher than those in surface water. Total TE level in deep water (30m) was higher in wet season, whereas that in surface water was higher in dry season.</w:t>
            </w:r>
            <w:r w:rsidRPr="00595884">
              <w:rPr>
                <w:rFonts w:ascii="Calibri" w:hAnsi="Calibri" w:cs="Calibri"/>
                <w:sz w:val="16"/>
                <w:szCs w:val="16"/>
              </w:rPr>
              <w:br/>
            </w:r>
            <w:r w:rsidRPr="00595884">
              <w:rPr>
                <w:rFonts w:ascii="Calibri" w:hAnsi="Calibri" w:cs="Calibri"/>
                <w:i/>
                <w:iCs/>
                <w:sz w:val="16"/>
                <w:szCs w:val="16"/>
              </w:rPr>
              <w:t>All HQ (hazard quotient) and HI (hazard index) values were below the risk threshold of unity. HI values for child</w:t>
            </w:r>
            <w:r w:rsidR="00841ED6">
              <w:rPr>
                <w:rFonts w:ascii="Calibri" w:hAnsi="Calibri" w:cs="Calibri"/>
                <w:i/>
                <w:iCs/>
                <w:sz w:val="16"/>
                <w:szCs w:val="16"/>
              </w:rPr>
              <w:t>ren</w:t>
            </w:r>
            <w:r w:rsidRPr="00595884">
              <w:rPr>
                <w:rFonts w:ascii="Calibri" w:hAnsi="Calibri" w:cs="Calibri"/>
                <w:i/>
                <w:iCs/>
                <w:sz w:val="16"/>
                <w:szCs w:val="16"/>
              </w:rPr>
              <w:t xml:space="preserve"> were significantly higher than those for adult</w:t>
            </w:r>
            <w:r w:rsidR="00841ED6">
              <w:rPr>
                <w:rFonts w:ascii="Calibri" w:hAnsi="Calibri" w:cs="Calibri"/>
                <w:i/>
                <w:iCs/>
                <w:sz w:val="16"/>
                <w:szCs w:val="16"/>
              </w:rPr>
              <w:t>s</w:t>
            </w:r>
            <w:r w:rsidRPr="00595884">
              <w:rPr>
                <w:rFonts w:ascii="Calibri" w:hAnsi="Calibri" w:cs="Calibri"/>
                <w:i/>
                <w:iCs/>
                <w:sz w:val="16"/>
                <w:szCs w:val="16"/>
              </w:rPr>
              <w:t>, although still at safe levels.</w:t>
            </w:r>
            <w:r w:rsidRPr="00595884">
              <w:rPr>
                <w:rFonts w:ascii="Calibri" w:hAnsi="Calibri" w:cs="Calibri"/>
                <w:sz w:val="16"/>
                <w:szCs w:val="16"/>
              </w:rPr>
              <w:t xml:space="preserve"> As and U for water ingestion were the primary contributors to total risk (HI), while V and Cr were highest for the dermal pathway.</w:t>
            </w:r>
            <w:r w:rsidRPr="00595884">
              <w:rPr>
                <w:rFonts w:ascii="Calibri" w:hAnsi="Calibri" w:cs="Calibri"/>
                <w:sz w:val="16"/>
                <w:szCs w:val="16"/>
              </w:rPr>
              <w:br/>
            </w:r>
            <w:r w:rsidRPr="00595884">
              <w:rPr>
                <w:rFonts w:ascii="Calibri" w:hAnsi="Calibri" w:cs="Calibri"/>
                <w:i/>
                <w:iCs/>
                <w:sz w:val="16"/>
                <w:szCs w:val="16"/>
              </w:rPr>
              <w:t>Carcinogenic risk values of As and Cr in surface and deep water were below the US EPA target risk of 1 × 10</w:t>
            </w:r>
            <w:r w:rsidRPr="00595884">
              <w:rPr>
                <w:rFonts w:ascii="Calibri" w:hAnsi="Calibri" w:cs="Calibri"/>
                <w:i/>
                <w:iCs/>
                <w:sz w:val="16"/>
                <w:szCs w:val="16"/>
                <w:vertAlign w:val="superscript"/>
              </w:rPr>
              <w:t>-4</w:t>
            </w:r>
            <w:r w:rsidRPr="00595884">
              <w:rPr>
                <w:rFonts w:ascii="Calibri" w:hAnsi="Calibri" w:cs="Calibri"/>
                <w:i/>
                <w:iCs/>
                <w:sz w:val="16"/>
                <w:szCs w:val="16"/>
              </w:rPr>
              <w:t xml:space="preserve"> (</w:t>
            </w:r>
            <w:proofErr w:type="gramStart"/>
            <w:r w:rsidRPr="00595884">
              <w:rPr>
                <w:rFonts w:ascii="Calibri" w:hAnsi="Calibri" w:cs="Calibri"/>
                <w:i/>
                <w:iCs/>
                <w:sz w:val="16"/>
                <w:szCs w:val="16"/>
              </w:rPr>
              <w:t>life time</w:t>
            </w:r>
            <w:proofErr w:type="gramEnd"/>
            <w:r w:rsidRPr="00595884">
              <w:rPr>
                <w:rFonts w:ascii="Calibri" w:hAnsi="Calibri" w:cs="Calibri"/>
                <w:i/>
                <w:iCs/>
                <w:sz w:val="16"/>
                <w:szCs w:val="16"/>
              </w:rPr>
              <w:t xml:space="preserve"> risk of cancer)</w:t>
            </w:r>
            <w:r w:rsidRPr="00595884">
              <w:rPr>
                <w:rFonts w:ascii="Calibri" w:hAnsi="Calibri" w:cs="Calibri"/>
                <w:sz w:val="16"/>
                <w:szCs w:val="16"/>
              </w:rPr>
              <w:t>.</w:t>
            </w:r>
          </w:p>
        </w:tc>
        <w:tc>
          <w:tcPr>
            <w:tcW w:w="1300" w:type="dxa"/>
            <w:tcBorders>
              <w:top w:val="nil"/>
              <w:left w:val="nil"/>
              <w:bottom w:val="single" w:sz="4" w:space="0" w:color="B5DDDC"/>
              <w:right w:val="single" w:sz="4" w:space="0" w:color="B5DDDC"/>
            </w:tcBorders>
            <w:hideMark/>
          </w:tcPr>
          <w:p w14:paraId="71FA9815" w14:textId="77777777" w:rsidR="007451D2" w:rsidRPr="00595884" w:rsidRDefault="00274BC6" w:rsidP="007451D2">
            <w:pPr>
              <w:spacing w:before="0" w:after="0" w:line="240" w:lineRule="auto"/>
              <w:rPr>
                <w:rFonts w:ascii="Calibri" w:hAnsi="Calibri" w:cs="Calibri"/>
                <w:sz w:val="16"/>
                <w:szCs w:val="16"/>
              </w:rPr>
            </w:pPr>
            <w:r w:rsidRPr="00595884">
              <w:rPr>
                <w:rFonts w:ascii="Calibri" w:hAnsi="Calibri" w:cs="Calibri"/>
                <w:sz w:val="16"/>
                <w:szCs w:val="16"/>
              </w:rPr>
              <w:t>Not clearly stated and varies with site, location and trace element metal.</w:t>
            </w:r>
          </w:p>
        </w:tc>
        <w:tc>
          <w:tcPr>
            <w:tcW w:w="960" w:type="dxa"/>
            <w:tcBorders>
              <w:top w:val="nil"/>
              <w:left w:val="nil"/>
              <w:bottom w:val="single" w:sz="4" w:space="0" w:color="B5DDDC"/>
              <w:right w:val="single" w:sz="4" w:space="0" w:color="B5DDDC"/>
            </w:tcBorders>
            <w:hideMark/>
          </w:tcPr>
          <w:p w14:paraId="35A94BD9" w14:textId="77777777" w:rsidR="007451D2" w:rsidRPr="00595884" w:rsidRDefault="00274BC6" w:rsidP="007451D2">
            <w:pPr>
              <w:spacing w:before="0" w:after="0" w:line="240" w:lineRule="auto"/>
              <w:rPr>
                <w:rFonts w:ascii="Calibri" w:hAnsi="Calibri" w:cs="Calibri"/>
                <w:sz w:val="16"/>
                <w:szCs w:val="16"/>
              </w:rPr>
            </w:pPr>
            <w:r w:rsidRPr="00595884">
              <w:rPr>
                <w:rFonts w:ascii="Calibri" w:hAnsi="Calibri" w:cs="Calibri"/>
                <w:sz w:val="16"/>
                <w:szCs w:val="16"/>
              </w:rPr>
              <w:t>p &lt; 0.05.</w:t>
            </w:r>
          </w:p>
        </w:tc>
      </w:tr>
    </w:tbl>
    <w:p w14:paraId="2B8E3F53" w14:textId="63BD42CE" w:rsidR="007451D2" w:rsidRPr="00595884" w:rsidRDefault="007451D2" w:rsidP="007451D2"/>
    <w:p w14:paraId="1D417C90" w14:textId="4A63F8D8" w:rsidR="007451D2" w:rsidRPr="00595884" w:rsidRDefault="00274BC6" w:rsidP="007451D2">
      <w:pPr>
        <w:pStyle w:val="Caption"/>
        <w:pageBreakBefore/>
      </w:pPr>
      <w:bookmarkStart w:id="346" w:name="_Ref72241719"/>
      <w:bookmarkStart w:id="347" w:name="_Toc106811181"/>
      <w:r w:rsidRPr="00595884">
        <w:t xml:space="preserve">Table </w:t>
      </w:r>
      <w:r w:rsidR="003132AF">
        <w:fldChar w:fldCharType="begin"/>
      </w:r>
      <w:r w:rsidR="003132AF">
        <w:instrText xml:space="preserve"> STYLEREF 1 \s </w:instrText>
      </w:r>
      <w:r w:rsidR="003132AF">
        <w:fldChar w:fldCharType="separate"/>
      </w:r>
      <w:r w:rsidR="003132AF">
        <w:rPr>
          <w:noProof/>
        </w:rPr>
        <w:t>6</w:t>
      </w:r>
      <w:r w:rsidR="003132AF">
        <w:rPr>
          <w:noProof/>
        </w:rPr>
        <w:fldChar w:fldCharType="end"/>
      </w:r>
      <w:r w:rsidR="00CE064A">
        <w:noBreakHyphen/>
      </w:r>
      <w:r w:rsidR="003132AF">
        <w:fldChar w:fldCharType="begin"/>
      </w:r>
      <w:r w:rsidR="003132AF">
        <w:instrText xml:space="preserve"> SEQ Table \* ARABIC \s 1 </w:instrText>
      </w:r>
      <w:r w:rsidR="003132AF">
        <w:fldChar w:fldCharType="separate"/>
      </w:r>
      <w:r w:rsidR="003132AF">
        <w:rPr>
          <w:noProof/>
        </w:rPr>
        <w:t>7</w:t>
      </w:r>
      <w:r w:rsidR="003132AF">
        <w:rPr>
          <w:noProof/>
        </w:rPr>
        <w:fldChar w:fldCharType="end"/>
      </w:r>
      <w:bookmarkEnd w:id="346"/>
      <w:r w:rsidR="00A45418" w:rsidRPr="00595884">
        <w:t xml:space="preserve"> Results summary for Dor et al. (2003).</w:t>
      </w:r>
      <w:bookmarkEnd w:id="347"/>
    </w:p>
    <w:tbl>
      <w:tblPr>
        <w:tblW w:w="14240" w:type="dxa"/>
        <w:tblLook w:val="04A0" w:firstRow="1" w:lastRow="0" w:firstColumn="1" w:lastColumn="0" w:noHBand="0" w:noVBand="1"/>
      </w:tblPr>
      <w:tblGrid>
        <w:gridCol w:w="1058"/>
        <w:gridCol w:w="1156"/>
        <w:gridCol w:w="1531"/>
        <w:gridCol w:w="1526"/>
        <w:gridCol w:w="1991"/>
        <w:gridCol w:w="2216"/>
        <w:gridCol w:w="2467"/>
        <w:gridCol w:w="1293"/>
        <w:gridCol w:w="1002"/>
      </w:tblGrid>
      <w:tr w:rsidR="004254E5" w14:paraId="69116A96" w14:textId="77777777" w:rsidTr="007451D2">
        <w:trPr>
          <w:trHeight w:val="396"/>
        </w:trPr>
        <w:tc>
          <w:tcPr>
            <w:tcW w:w="1060" w:type="dxa"/>
            <w:tcBorders>
              <w:top w:val="single" w:sz="4" w:space="0" w:color="B5DDDC"/>
              <w:left w:val="single" w:sz="4" w:space="0" w:color="B5DDDC"/>
              <w:bottom w:val="single" w:sz="4" w:space="0" w:color="B5DDDC"/>
              <w:right w:val="single" w:sz="4" w:space="0" w:color="B5DDDC"/>
            </w:tcBorders>
            <w:shd w:val="clear" w:color="000000" w:fill="B5DDDC"/>
            <w:vAlign w:val="center"/>
            <w:hideMark/>
          </w:tcPr>
          <w:p w14:paraId="4A06C409" w14:textId="14BD388A" w:rsidR="007451D2" w:rsidRPr="00595884" w:rsidRDefault="00274BC6" w:rsidP="007451D2">
            <w:pPr>
              <w:spacing w:before="0" w:after="0" w:line="240" w:lineRule="auto"/>
              <w:rPr>
                <w:rFonts w:ascii="Calibri" w:hAnsi="Calibri" w:cs="Calibri"/>
                <w:b/>
                <w:bCs/>
                <w:color w:val="008000"/>
                <w:sz w:val="16"/>
                <w:szCs w:val="16"/>
              </w:rPr>
            </w:pPr>
            <w:proofErr w:type="gramStart"/>
            <w:r w:rsidRPr="00595884">
              <w:rPr>
                <w:rFonts w:ascii="Calibri" w:hAnsi="Calibri" w:cs="Calibri"/>
                <w:b/>
                <w:bCs/>
                <w:color w:val="008000"/>
                <w:sz w:val="16"/>
                <w:szCs w:val="16"/>
              </w:rPr>
              <w:t>Study,  Design</w:t>
            </w:r>
            <w:proofErr w:type="gramEnd"/>
            <w:r w:rsidRPr="00595884">
              <w:rPr>
                <w:rFonts w:ascii="Calibri" w:hAnsi="Calibri" w:cs="Calibri"/>
                <w:b/>
                <w:bCs/>
                <w:color w:val="008000"/>
                <w:sz w:val="16"/>
                <w:szCs w:val="16"/>
              </w:rPr>
              <w:t>, Quality</w:t>
            </w:r>
          </w:p>
        </w:tc>
        <w:tc>
          <w:tcPr>
            <w:tcW w:w="1080" w:type="dxa"/>
            <w:tcBorders>
              <w:top w:val="single" w:sz="4" w:space="0" w:color="B5DDDC"/>
              <w:left w:val="nil"/>
              <w:bottom w:val="single" w:sz="4" w:space="0" w:color="B5DDDC"/>
              <w:right w:val="single" w:sz="4" w:space="0" w:color="B5DDDC"/>
            </w:tcBorders>
            <w:shd w:val="clear" w:color="000000" w:fill="B5DDDC"/>
            <w:vAlign w:val="center"/>
            <w:hideMark/>
          </w:tcPr>
          <w:p w14:paraId="009B71D4" w14:textId="77777777" w:rsidR="007451D2" w:rsidRPr="00595884" w:rsidRDefault="00274BC6" w:rsidP="007451D2">
            <w:pPr>
              <w:spacing w:before="0" w:after="0" w:line="240" w:lineRule="auto"/>
              <w:rPr>
                <w:rFonts w:ascii="Calibri" w:hAnsi="Calibri" w:cs="Calibri"/>
                <w:b/>
                <w:bCs/>
                <w:color w:val="008000"/>
                <w:sz w:val="16"/>
                <w:szCs w:val="16"/>
              </w:rPr>
            </w:pPr>
            <w:r w:rsidRPr="00595884">
              <w:rPr>
                <w:rFonts w:ascii="Calibri" w:hAnsi="Calibri" w:cs="Calibri"/>
                <w:b/>
                <w:bCs/>
                <w:color w:val="008000"/>
                <w:sz w:val="16"/>
                <w:szCs w:val="16"/>
              </w:rPr>
              <w:t>Population</w:t>
            </w:r>
          </w:p>
        </w:tc>
        <w:tc>
          <w:tcPr>
            <w:tcW w:w="1540" w:type="dxa"/>
            <w:tcBorders>
              <w:top w:val="single" w:sz="4" w:space="0" w:color="B5DDDC"/>
              <w:left w:val="nil"/>
              <w:bottom w:val="single" w:sz="4" w:space="0" w:color="B5DDDC"/>
              <w:right w:val="single" w:sz="4" w:space="0" w:color="B5DDDC"/>
            </w:tcBorders>
            <w:shd w:val="clear" w:color="000000" w:fill="B5DDDC"/>
            <w:vAlign w:val="center"/>
            <w:hideMark/>
          </w:tcPr>
          <w:p w14:paraId="666A7C59" w14:textId="77777777" w:rsidR="007451D2" w:rsidRPr="00595884" w:rsidRDefault="00274BC6" w:rsidP="007451D2">
            <w:pPr>
              <w:spacing w:before="0" w:after="0" w:line="240" w:lineRule="auto"/>
              <w:rPr>
                <w:rFonts w:ascii="Calibri" w:hAnsi="Calibri" w:cs="Calibri"/>
                <w:b/>
                <w:bCs/>
                <w:color w:val="008000"/>
                <w:sz w:val="16"/>
                <w:szCs w:val="16"/>
              </w:rPr>
            </w:pPr>
            <w:r w:rsidRPr="00595884">
              <w:rPr>
                <w:rFonts w:ascii="Calibri" w:hAnsi="Calibri" w:cs="Calibri"/>
                <w:b/>
                <w:bCs/>
                <w:color w:val="008000"/>
                <w:sz w:val="16"/>
                <w:szCs w:val="16"/>
              </w:rPr>
              <w:t>Exposures</w:t>
            </w:r>
          </w:p>
        </w:tc>
        <w:tc>
          <w:tcPr>
            <w:tcW w:w="1540" w:type="dxa"/>
            <w:tcBorders>
              <w:top w:val="single" w:sz="4" w:space="0" w:color="B5DDDC"/>
              <w:left w:val="nil"/>
              <w:bottom w:val="single" w:sz="4" w:space="0" w:color="B5DDDC"/>
              <w:right w:val="single" w:sz="4" w:space="0" w:color="B5DDDC"/>
            </w:tcBorders>
            <w:shd w:val="clear" w:color="000000" w:fill="B5DDDC"/>
            <w:vAlign w:val="center"/>
            <w:hideMark/>
          </w:tcPr>
          <w:p w14:paraId="1E31543A" w14:textId="77777777" w:rsidR="007451D2" w:rsidRPr="00595884" w:rsidRDefault="00274BC6" w:rsidP="007451D2">
            <w:pPr>
              <w:spacing w:before="0" w:after="0" w:line="240" w:lineRule="auto"/>
              <w:rPr>
                <w:rFonts w:ascii="Calibri" w:hAnsi="Calibri" w:cs="Calibri"/>
                <w:b/>
                <w:bCs/>
                <w:color w:val="008000"/>
                <w:sz w:val="16"/>
                <w:szCs w:val="16"/>
              </w:rPr>
            </w:pPr>
            <w:r w:rsidRPr="00595884">
              <w:rPr>
                <w:rFonts w:ascii="Calibri" w:hAnsi="Calibri" w:cs="Calibri"/>
                <w:b/>
                <w:bCs/>
                <w:color w:val="008000"/>
                <w:sz w:val="16"/>
                <w:szCs w:val="16"/>
              </w:rPr>
              <w:t>Location type</w:t>
            </w:r>
          </w:p>
        </w:tc>
        <w:tc>
          <w:tcPr>
            <w:tcW w:w="2020" w:type="dxa"/>
            <w:tcBorders>
              <w:top w:val="single" w:sz="4" w:space="0" w:color="B5DDDC"/>
              <w:left w:val="nil"/>
              <w:bottom w:val="single" w:sz="4" w:space="0" w:color="B5DDDC"/>
              <w:right w:val="single" w:sz="4" w:space="0" w:color="B5DDDC"/>
            </w:tcBorders>
            <w:shd w:val="clear" w:color="000000" w:fill="B5DDDC"/>
            <w:vAlign w:val="center"/>
            <w:hideMark/>
          </w:tcPr>
          <w:p w14:paraId="6578F79B" w14:textId="77777777" w:rsidR="007451D2" w:rsidRPr="00595884" w:rsidRDefault="00274BC6" w:rsidP="007451D2">
            <w:pPr>
              <w:spacing w:before="0" w:after="0" w:line="240" w:lineRule="auto"/>
              <w:rPr>
                <w:rFonts w:ascii="Calibri" w:hAnsi="Calibri" w:cs="Calibri"/>
                <w:b/>
                <w:bCs/>
                <w:color w:val="008000"/>
                <w:sz w:val="16"/>
                <w:szCs w:val="16"/>
              </w:rPr>
            </w:pPr>
            <w:r w:rsidRPr="00595884">
              <w:rPr>
                <w:rFonts w:ascii="Calibri" w:hAnsi="Calibri" w:cs="Calibri"/>
                <w:b/>
                <w:bCs/>
                <w:color w:val="008000"/>
                <w:sz w:val="16"/>
                <w:szCs w:val="16"/>
              </w:rPr>
              <w:t>Outcome</w:t>
            </w:r>
          </w:p>
        </w:tc>
        <w:tc>
          <w:tcPr>
            <w:tcW w:w="2240" w:type="dxa"/>
            <w:tcBorders>
              <w:top w:val="single" w:sz="4" w:space="0" w:color="B5DDDC"/>
              <w:left w:val="nil"/>
              <w:bottom w:val="single" w:sz="4" w:space="0" w:color="B5DDDC"/>
              <w:right w:val="single" w:sz="4" w:space="0" w:color="B5DDDC"/>
            </w:tcBorders>
            <w:shd w:val="clear" w:color="000000" w:fill="B5DDDC"/>
            <w:vAlign w:val="center"/>
            <w:hideMark/>
          </w:tcPr>
          <w:p w14:paraId="6CBFDA89" w14:textId="77777777" w:rsidR="007451D2" w:rsidRPr="00595884" w:rsidRDefault="00274BC6" w:rsidP="007451D2">
            <w:pPr>
              <w:spacing w:before="0" w:after="0" w:line="240" w:lineRule="auto"/>
              <w:rPr>
                <w:rFonts w:ascii="Calibri" w:hAnsi="Calibri" w:cs="Calibri"/>
                <w:b/>
                <w:bCs/>
                <w:color w:val="008000"/>
                <w:sz w:val="16"/>
                <w:szCs w:val="16"/>
              </w:rPr>
            </w:pPr>
            <w:r w:rsidRPr="00595884">
              <w:rPr>
                <w:rFonts w:ascii="Calibri" w:hAnsi="Calibri" w:cs="Calibri"/>
                <w:b/>
                <w:bCs/>
                <w:color w:val="008000"/>
                <w:sz w:val="16"/>
                <w:szCs w:val="16"/>
              </w:rPr>
              <w:t>Analysis</w:t>
            </w:r>
          </w:p>
        </w:tc>
        <w:tc>
          <w:tcPr>
            <w:tcW w:w="2500" w:type="dxa"/>
            <w:tcBorders>
              <w:top w:val="single" w:sz="4" w:space="0" w:color="B5DDDC"/>
              <w:left w:val="nil"/>
              <w:bottom w:val="single" w:sz="4" w:space="0" w:color="B5DDDC"/>
              <w:right w:val="single" w:sz="4" w:space="0" w:color="B5DDDC"/>
            </w:tcBorders>
            <w:shd w:val="clear" w:color="000000" w:fill="B5DDDC"/>
            <w:vAlign w:val="center"/>
            <w:hideMark/>
          </w:tcPr>
          <w:p w14:paraId="172FA2D2" w14:textId="77777777" w:rsidR="007451D2" w:rsidRPr="00595884" w:rsidRDefault="00274BC6" w:rsidP="007451D2">
            <w:pPr>
              <w:spacing w:before="0" w:after="0" w:line="240" w:lineRule="auto"/>
              <w:rPr>
                <w:rFonts w:ascii="Calibri" w:hAnsi="Calibri" w:cs="Calibri"/>
                <w:b/>
                <w:bCs/>
                <w:color w:val="008000"/>
                <w:sz w:val="16"/>
                <w:szCs w:val="16"/>
              </w:rPr>
            </w:pPr>
            <w:r w:rsidRPr="00595884">
              <w:rPr>
                <w:rFonts w:ascii="Calibri" w:hAnsi="Calibri" w:cs="Calibri"/>
                <w:b/>
                <w:bCs/>
                <w:color w:val="008000"/>
                <w:sz w:val="16"/>
                <w:szCs w:val="16"/>
              </w:rPr>
              <w:t>Results</w:t>
            </w:r>
          </w:p>
        </w:tc>
        <w:tc>
          <w:tcPr>
            <w:tcW w:w="1300" w:type="dxa"/>
            <w:tcBorders>
              <w:top w:val="single" w:sz="4" w:space="0" w:color="B5DDDC"/>
              <w:left w:val="nil"/>
              <w:bottom w:val="single" w:sz="4" w:space="0" w:color="B5DDDC"/>
              <w:right w:val="single" w:sz="4" w:space="0" w:color="B5DDDC"/>
            </w:tcBorders>
            <w:shd w:val="clear" w:color="000000" w:fill="B5DDDC"/>
            <w:vAlign w:val="center"/>
            <w:hideMark/>
          </w:tcPr>
          <w:p w14:paraId="19861F3E" w14:textId="77777777" w:rsidR="007451D2" w:rsidRPr="00595884" w:rsidRDefault="00274BC6" w:rsidP="007451D2">
            <w:pPr>
              <w:spacing w:before="0" w:after="0" w:line="240" w:lineRule="auto"/>
              <w:rPr>
                <w:rFonts w:ascii="Calibri" w:hAnsi="Calibri" w:cs="Calibri"/>
                <w:b/>
                <w:bCs/>
                <w:color w:val="008000"/>
                <w:sz w:val="16"/>
                <w:szCs w:val="16"/>
              </w:rPr>
            </w:pPr>
            <w:r w:rsidRPr="00595884">
              <w:rPr>
                <w:rFonts w:ascii="Calibri" w:hAnsi="Calibri" w:cs="Calibri"/>
                <w:b/>
                <w:bCs/>
                <w:color w:val="008000"/>
                <w:sz w:val="16"/>
                <w:szCs w:val="16"/>
              </w:rPr>
              <w:t>Effect estimate</w:t>
            </w:r>
          </w:p>
        </w:tc>
        <w:tc>
          <w:tcPr>
            <w:tcW w:w="960" w:type="dxa"/>
            <w:tcBorders>
              <w:top w:val="single" w:sz="4" w:space="0" w:color="B5DDDC"/>
              <w:left w:val="nil"/>
              <w:bottom w:val="single" w:sz="4" w:space="0" w:color="B5DDDC"/>
              <w:right w:val="single" w:sz="4" w:space="0" w:color="B5DDDC"/>
            </w:tcBorders>
            <w:shd w:val="clear" w:color="000000" w:fill="B5DDDC"/>
            <w:vAlign w:val="center"/>
            <w:hideMark/>
          </w:tcPr>
          <w:p w14:paraId="496955E7" w14:textId="4B868F12" w:rsidR="007451D2" w:rsidRPr="00595884" w:rsidRDefault="00274BC6" w:rsidP="007451D2">
            <w:pPr>
              <w:spacing w:before="0" w:after="0" w:line="240" w:lineRule="auto"/>
              <w:rPr>
                <w:rFonts w:ascii="Calibri" w:hAnsi="Calibri" w:cs="Calibri"/>
                <w:b/>
                <w:bCs/>
                <w:color w:val="008000"/>
                <w:sz w:val="16"/>
                <w:szCs w:val="16"/>
              </w:rPr>
            </w:pPr>
            <w:r w:rsidRPr="00595884">
              <w:rPr>
                <w:rFonts w:ascii="Calibri" w:hAnsi="Calibri" w:cs="Calibri"/>
                <w:b/>
                <w:bCs/>
                <w:color w:val="008000"/>
                <w:sz w:val="16"/>
                <w:szCs w:val="16"/>
              </w:rPr>
              <w:t>Significance</w:t>
            </w:r>
          </w:p>
        </w:tc>
      </w:tr>
      <w:tr w:rsidR="004254E5" w14:paraId="2B2EE92C" w14:textId="77777777" w:rsidTr="005B6ACD">
        <w:trPr>
          <w:trHeight w:val="264"/>
        </w:trPr>
        <w:tc>
          <w:tcPr>
            <w:tcW w:w="14240" w:type="dxa"/>
            <w:gridSpan w:val="9"/>
            <w:tcBorders>
              <w:top w:val="single" w:sz="4" w:space="0" w:color="B5DDDC"/>
              <w:left w:val="single" w:sz="4" w:space="0" w:color="B5DDDC"/>
              <w:bottom w:val="nil"/>
              <w:right w:val="nil"/>
            </w:tcBorders>
            <w:shd w:val="clear" w:color="auto" w:fill="D6EAEB"/>
            <w:vAlign w:val="center"/>
            <w:hideMark/>
          </w:tcPr>
          <w:p w14:paraId="5C32FD5E" w14:textId="77777777" w:rsidR="007451D2" w:rsidRPr="00595884" w:rsidRDefault="00274BC6" w:rsidP="007451D2">
            <w:pPr>
              <w:spacing w:before="0" w:after="0" w:line="240" w:lineRule="auto"/>
              <w:rPr>
                <w:rFonts w:ascii="Calibri" w:hAnsi="Calibri" w:cs="Calibri"/>
                <w:b/>
                <w:bCs/>
                <w:color w:val="000000"/>
                <w:sz w:val="16"/>
                <w:szCs w:val="16"/>
              </w:rPr>
            </w:pPr>
            <w:r w:rsidRPr="00595884">
              <w:rPr>
                <w:rFonts w:ascii="Calibri" w:hAnsi="Calibri" w:cs="Calibri"/>
                <w:b/>
                <w:bCs/>
                <w:color w:val="000000"/>
                <w:sz w:val="16"/>
                <w:szCs w:val="16"/>
              </w:rPr>
              <w:t xml:space="preserve">Research question: </w:t>
            </w:r>
            <w:r w:rsidRPr="00595884">
              <w:rPr>
                <w:rFonts w:ascii="Calibri" w:hAnsi="Calibri" w:cs="Calibri"/>
                <w:i/>
                <w:iCs/>
                <w:color w:val="000000"/>
                <w:sz w:val="16"/>
                <w:szCs w:val="16"/>
              </w:rPr>
              <w:t>e.g. Are exposures to the hazards outlined in the PECO Table likely to give rise to any significant human health risks given that chemical concentrations in recreational waters are generally low?</w:t>
            </w:r>
          </w:p>
        </w:tc>
      </w:tr>
      <w:tr w:rsidR="004254E5" w14:paraId="34FC0CE7" w14:textId="77777777" w:rsidTr="007451D2">
        <w:trPr>
          <w:trHeight w:val="264"/>
        </w:trPr>
        <w:tc>
          <w:tcPr>
            <w:tcW w:w="14240" w:type="dxa"/>
            <w:gridSpan w:val="9"/>
            <w:tcBorders>
              <w:top w:val="nil"/>
              <w:left w:val="single" w:sz="4" w:space="0" w:color="B5DDDC"/>
              <w:bottom w:val="single" w:sz="4" w:space="0" w:color="B5DDDC"/>
              <w:right w:val="nil"/>
            </w:tcBorders>
            <w:shd w:val="clear" w:color="000000" w:fill="D6EAEB"/>
            <w:vAlign w:val="center"/>
            <w:hideMark/>
          </w:tcPr>
          <w:p w14:paraId="41B417A6" w14:textId="77777777" w:rsidR="007451D2" w:rsidRPr="00595884" w:rsidRDefault="00274BC6" w:rsidP="007451D2">
            <w:pPr>
              <w:spacing w:before="0" w:after="0" w:line="240" w:lineRule="auto"/>
              <w:rPr>
                <w:rFonts w:ascii="Calibri" w:hAnsi="Calibri" w:cs="Calibri"/>
                <w:b/>
                <w:bCs/>
                <w:color w:val="000000"/>
                <w:sz w:val="16"/>
                <w:szCs w:val="16"/>
              </w:rPr>
            </w:pPr>
            <w:r w:rsidRPr="00595884">
              <w:rPr>
                <w:rFonts w:ascii="Calibri" w:hAnsi="Calibri" w:cs="Calibri"/>
                <w:b/>
                <w:bCs/>
                <w:color w:val="000000"/>
                <w:sz w:val="16"/>
                <w:szCs w:val="16"/>
              </w:rPr>
              <w:t>Outcome 1. PECO listed chemical hazards measured in recreational waters above chronic health criteria (e.g. national recreational water quality guidelines).</w:t>
            </w:r>
          </w:p>
        </w:tc>
      </w:tr>
      <w:tr w:rsidR="004254E5" w14:paraId="0901D757" w14:textId="77777777" w:rsidTr="007451D2">
        <w:trPr>
          <w:trHeight w:val="5544"/>
        </w:trPr>
        <w:tc>
          <w:tcPr>
            <w:tcW w:w="1060" w:type="dxa"/>
            <w:tcBorders>
              <w:top w:val="nil"/>
              <w:left w:val="single" w:sz="4" w:space="0" w:color="B5DDDC"/>
              <w:bottom w:val="single" w:sz="4" w:space="0" w:color="B5DDDC"/>
              <w:right w:val="single" w:sz="4" w:space="0" w:color="B5DDDC"/>
            </w:tcBorders>
            <w:hideMark/>
          </w:tcPr>
          <w:p w14:paraId="4487CC57" w14:textId="77777777" w:rsidR="007451D2" w:rsidRPr="00595884" w:rsidRDefault="00274BC6" w:rsidP="007451D2">
            <w:pPr>
              <w:spacing w:before="0" w:after="0" w:line="240" w:lineRule="auto"/>
              <w:rPr>
                <w:rFonts w:ascii="Calibri" w:hAnsi="Calibri" w:cs="Calibri"/>
                <w:color w:val="000000"/>
                <w:sz w:val="16"/>
                <w:szCs w:val="16"/>
              </w:rPr>
            </w:pPr>
            <w:r w:rsidRPr="00595884">
              <w:rPr>
                <w:rFonts w:ascii="Calibri" w:hAnsi="Calibri" w:cs="Calibri"/>
                <w:color w:val="000000"/>
                <w:sz w:val="16"/>
                <w:szCs w:val="16"/>
              </w:rPr>
              <w:t xml:space="preserve">J3, Dor </w:t>
            </w:r>
            <w:r w:rsidRPr="00595884">
              <w:rPr>
                <w:rFonts w:ascii="Calibri" w:hAnsi="Calibri" w:cs="Calibri"/>
                <w:i/>
                <w:iCs/>
                <w:color w:val="000000"/>
                <w:sz w:val="16"/>
                <w:szCs w:val="16"/>
              </w:rPr>
              <w:t>et al.</w:t>
            </w:r>
            <w:r w:rsidRPr="00595884">
              <w:rPr>
                <w:rFonts w:ascii="Calibri" w:hAnsi="Calibri" w:cs="Calibri"/>
                <w:color w:val="000000"/>
                <w:sz w:val="16"/>
                <w:szCs w:val="16"/>
              </w:rPr>
              <w:t xml:space="preserve"> (2003).</w:t>
            </w:r>
            <w:r w:rsidRPr="00595884">
              <w:rPr>
                <w:rFonts w:ascii="Calibri" w:hAnsi="Calibri" w:cs="Calibri"/>
                <w:color w:val="000000"/>
                <w:sz w:val="16"/>
                <w:szCs w:val="16"/>
              </w:rPr>
              <w:br/>
              <w:t>Qualitative study, Acceptable.</w:t>
            </w:r>
          </w:p>
        </w:tc>
        <w:tc>
          <w:tcPr>
            <w:tcW w:w="1080" w:type="dxa"/>
            <w:tcBorders>
              <w:top w:val="nil"/>
              <w:left w:val="nil"/>
              <w:bottom w:val="single" w:sz="4" w:space="0" w:color="B5DDDC"/>
              <w:right w:val="single" w:sz="4" w:space="0" w:color="B5DDDC"/>
            </w:tcBorders>
            <w:hideMark/>
          </w:tcPr>
          <w:p w14:paraId="28B6F7F4" w14:textId="4CE87113" w:rsidR="007451D2" w:rsidRPr="00595884" w:rsidRDefault="00274BC6" w:rsidP="007451D2">
            <w:pPr>
              <w:spacing w:before="0" w:after="0" w:line="240" w:lineRule="auto"/>
              <w:rPr>
                <w:rFonts w:ascii="Calibri" w:hAnsi="Calibri" w:cs="Calibri"/>
                <w:sz w:val="16"/>
                <w:szCs w:val="16"/>
              </w:rPr>
            </w:pPr>
            <w:r w:rsidRPr="00595884">
              <w:rPr>
                <w:rFonts w:ascii="Calibri" w:hAnsi="Calibri" w:cs="Calibri"/>
                <w:sz w:val="16"/>
                <w:szCs w:val="16"/>
              </w:rPr>
              <w:t>Standard human health risk assessment population (</w:t>
            </w:r>
            <w:r w:rsidR="0061137A" w:rsidRPr="00595884">
              <w:rPr>
                <w:rFonts w:ascii="Calibri" w:hAnsi="Calibri" w:cs="Calibri"/>
                <w:sz w:val="16"/>
                <w:szCs w:val="16"/>
              </w:rPr>
              <w:t>i.e.,</w:t>
            </w:r>
            <w:r w:rsidRPr="00595884">
              <w:rPr>
                <w:rFonts w:ascii="Calibri" w:hAnsi="Calibri" w:cs="Calibri"/>
                <w:sz w:val="16"/>
                <w:szCs w:val="16"/>
              </w:rPr>
              <w:t xml:space="preserve"> adults) and sensitive subpopulation (</w:t>
            </w:r>
            <w:r w:rsidR="0061137A" w:rsidRPr="00595884">
              <w:rPr>
                <w:rFonts w:ascii="Calibri" w:hAnsi="Calibri" w:cs="Calibri"/>
                <w:sz w:val="16"/>
                <w:szCs w:val="16"/>
              </w:rPr>
              <w:t>i.e.,</w:t>
            </w:r>
            <w:r w:rsidRPr="00595884">
              <w:rPr>
                <w:rFonts w:ascii="Calibri" w:hAnsi="Calibri" w:cs="Calibri"/>
                <w:sz w:val="16"/>
                <w:szCs w:val="16"/>
              </w:rPr>
              <w:t xml:space="preserve"> children).</w:t>
            </w:r>
          </w:p>
        </w:tc>
        <w:tc>
          <w:tcPr>
            <w:tcW w:w="1540" w:type="dxa"/>
            <w:tcBorders>
              <w:top w:val="nil"/>
              <w:left w:val="nil"/>
              <w:bottom w:val="single" w:sz="4" w:space="0" w:color="B5DDDC"/>
              <w:right w:val="single" w:sz="4" w:space="0" w:color="B5DDDC"/>
            </w:tcBorders>
            <w:hideMark/>
          </w:tcPr>
          <w:p w14:paraId="0E531706" w14:textId="24590387" w:rsidR="007451D2" w:rsidRPr="00595884" w:rsidRDefault="00274BC6" w:rsidP="007451D2">
            <w:pPr>
              <w:spacing w:before="0" w:after="0" w:line="240" w:lineRule="auto"/>
              <w:rPr>
                <w:rFonts w:ascii="Calibri" w:hAnsi="Calibri" w:cs="Calibri"/>
                <w:sz w:val="16"/>
                <w:szCs w:val="16"/>
              </w:rPr>
            </w:pPr>
            <w:r w:rsidRPr="00595884">
              <w:rPr>
                <w:rFonts w:ascii="Calibri" w:hAnsi="Calibri" w:cs="Calibri"/>
                <w:sz w:val="16"/>
                <w:szCs w:val="16"/>
              </w:rPr>
              <w:t xml:space="preserve">Ingestion and dermal exposure of recreational swimmers and beach goers to PAHs in oil spill residues.  Sixteen PAHs listed by the US EPA as potential carcinogens were measured. Their carcinogenic potency was </w:t>
            </w:r>
            <w:proofErr w:type="gramStart"/>
            <w:r w:rsidRPr="00595884">
              <w:rPr>
                <w:rFonts w:ascii="Calibri" w:hAnsi="Calibri" w:cs="Calibri"/>
                <w:sz w:val="16"/>
                <w:szCs w:val="16"/>
              </w:rPr>
              <w:t>taken into account</w:t>
            </w:r>
            <w:proofErr w:type="gramEnd"/>
            <w:r w:rsidRPr="00595884">
              <w:rPr>
                <w:rFonts w:ascii="Calibri" w:hAnsi="Calibri" w:cs="Calibri"/>
                <w:sz w:val="16"/>
                <w:szCs w:val="16"/>
              </w:rPr>
              <w:t xml:space="preserve"> using a toxic </w:t>
            </w:r>
            <w:r w:rsidR="0061137A" w:rsidRPr="00595884">
              <w:rPr>
                <w:rFonts w:ascii="Calibri" w:hAnsi="Calibri" w:cs="Calibri"/>
                <w:sz w:val="16"/>
                <w:szCs w:val="16"/>
              </w:rPr>
              <w:t>equivalent factor</w:t>
            </w:r>
            <w:r w:rsidRPr="00595884">
              <w:rPr>
                <w:rFonts w:ascii="Calibri" w:hAnsi="Calibri" w:cs="Calibri"/>
                <w:sz w:val="16"/>
                <w:szCs w:val="16"/>
              </w:rPr>
              <w:t xml:space="preserve"> (</w:t>
            </w:r>
            <w:r w:rsidR="0061137A" w:rsidRPr="00595884">
              <w:rPr>
                <w:rFonts w:ascii="Calibri" w:hAnsi="Calibri" w:cs="Calibri"/>
                <w:sz w:val="16"/>
                <w:szCs w:val="16"/>
              </w:rPr>
              <w:t>TEF) of</w:t>
            </w:r>
            <w:r w:rsidRPr="00595884">
              <w:rPr>
                <w:rFonts w:ascii="Calibri" w:hAnsi="Calibri" w:cs="Calibri"/>
                <w:sz w:val="16"/>
                <w:szCs w:val="16"/>
              </w:rPr>
              <w:t xml:space="preserve"> PAH in reference to benzo(a)pyrene (</w:t>
            </w:r>
            <w:proofErr w:type="spellStart"/>
            <w:r w:rsidRPr="00595884">
              <w:rPr>
                <w:rFonts w:ascii="Calibri" w:hAnsi="Calibri" w:cs="Calibri"/>
                <w:sz w:val="16"/>
                <w:szCs w:val="16"/>
              </w:rPr>
              <w:t>BaP</w:t>
            </w:r>
            <w:proofErr w:type="spellEnd"/>
            <w:r w:rsidRPr="00595884">
              <w:rPr>
                <w:rFonts w:ascii="Calibri" w:hAnsi="Calibri" w:cs="Calibri"/>
                <w:sz w:val="16"/>
                <w:szCs w:val="16"/>
              </w:rPr>
              <w:t>, TEF = 1). The carcinogenic potency of a PAH mixture</w:t>
            </w:r>
          </w:p>
        </w:tc>
        <w:tc>
          <w:tcPr>
            <w:tcW w:w="1540" w:type="dxa"/>
            <w:tcBorders>
              <w:top w:val="nil"/>
              <w:left w:val="nil"/>
              <w:bottom w:val="single" w:sz="4" w:space="0" w:color="B5DDDC"/>
              <w:right w:val="single" w:sz="4" w:space="0" w:color="B5DDDC"/>
            </w:tcBorders>
            <w:hideMark/>
          </w:tcPr>
          <w:p w14:paraId="24A6EA51" w14:textId="77777777" w:rsidR="007451D2" w:rsidRPr="00595884" w:rsidRDefault="00274BC6" w:rsidP="007451D2">
            <w:pPr>
              <w:spacing w:before="0" w:after="0" w:line="240" w:lineRule="auto"/>
              <w:rPr>
                <w:rFonts w:ascii="Calibri" w:hAnsi="Calibri" w:cs="Calibri"/>
                <w:sz w:val="16"/>
                <w:szCs w:val="16"/>
              </w:rPr>
            </w:pPr>
            <w:r w:rsidRPr="00595884">
              <w:rPr>
                <w:rFonts w:ascii="Calibri" w:hAnsi="Calibri" w:cs="Calibri"/>
                <w:sz w:val="16"/>
                <w:szCs w:val="16"/>
              </w:rPr>
              <w:t xml:space="preserve">Marine sandy beach and adjacent bathing waters - temperate environment (on coast of Brittany, France). </w:t>
            </w:r>
            <w:r w:rsidRPr="00595884">
              <w:rPr>
                <w:rFonts w:ascii="Calibri" w:hAnsi="Calibri" w:cs="Calibri"/>
                <w:sz w:val="16"/>
                <w:szCs w:val="16"/>
              </w:rPr>
              <w:br/>
              <w:t xml:space="preserve">Thirty-six spill affected beaches were sampled vs seven “control” beaches, unspoiled by the oil spill. </w:t>
            </w:r>
          </w:p>
        </w:tc>
        <w:tc>
          <w:tcPr>
            <w:tcW w:w="2020" w:type="dxa"/>
            <w:tcBorders>
              <w:top w:val="nil"/>
              <w:left w:val="nil"/>
              <w:bottom w:val="single" w:sz="4" w:space="0" w:color="B5DDDC"/>
              <w:right w:val="single" w:sz="4" w:space="0" w:color="B5DDDC"/>
            </w:tcBorders>
            <w:hideMark/>
          </w:tcPr>
          <w:p w14:paraId="3277F48D" w14:textId="18435B15" w:rsidR="007451D2" w:rsidRPr="00595884" w:rsidRDefault="00274BC6" w:rsidP="007451D2">
            <w:pPr>
              <w:spacing w:before="0" w:after="0" w:line="240" w:lineRule="auto"/>
              <w:rPr>
                <w:rFonts w:ascii="Calibri" w:hAnsi="Calibri" w:cs="Calibri"/>
                <w:sz w:val="16"/>
                <w:szCs w:val="16"/>
              </w:rPr>
            </w:pPr>
            <w:r w:rsidRPr="00595884">
              <w:rPr>
                <w:rFonts w:ascii="Calibri" w:hAnsi="Calibri" w:cs="Calibri"/>
                <w:sz w:val="16"/>
                <w:szCs w:val="16"/>
              </w:rPr>
              <w:t xml:space="preserve">Excess cancer risk (all cancers and cutaneous cancers) </w:t>
            </w:r>
            <w:r w:rsidR="0061137A" w:rsidRPr="00595884">
              <w:rPr>
                <w:rFonts w:ascii="Calibri" w:hAnsi="Calibri" w:cs="Calibri"/>
                <w:sz w:val="16"/>
                <w:szCs w:val="16"/>
              </w:rPr>
              <w:t>was</w:t>
            </w:r>
            <w:r w:rsidRPr="00595884">
              <w:rPr>
                <w:rFonts w:ascii="Calibri" w:hAnsi="Calibri" w:cs="Calibri"/>
                <w:sz w:val="16"/>
                <w:szCs w:val="16"/>
              </w:rPr>
              <w:t xml:space="preserve"> calculated as lifetime probabilities and compared against a reference value of 1 x 10</w:t>
            </w:r>
            <w:r w:rsidRPr="00130FDD">
              <w:rPr>
                <w:rFonts w:ascii="Calibri" w:hAnsi="Calibri" w:cs="Calibri"/>
                <w:sz w:val="16"/>
                <w:szCs w:val="16"/>
                <w:vertAlign w:val="superscript"/>
              </w:rPr>
              <w:t>-5</w:t>
            </w:r>
            <w:r w:rsidRPr="00595884">
              <w:rPr>
                <w:rFonts w:ascii="Calibri" w:hAnsi="Calibri" w:cs="Calibri"/>
                <w:sz w:val="16"/>
                <w:szCs w:val="16"/>
              </w:rPr>
              <w:t xml:space="preserve">. Values </w:t>
            </w:r>
            <w:r w:rsidR="00612F77">
              <w:rPr>
                <w:rFonts w:ascii="Calibri" w:hAnsi="Calibri" w:cs="Calibri"/>
                <w:sz w:val="16"/>
                <w:szCs w:val="16"/>
              </w:rPr>
              <w:t>greater</w:t>
            </w:r>
            <w:r w:rsidRPr="00595884">
              <w:rPr>
                <w:rFonts w:ascii="Calibri" w:hAnsi="Calibri" w:cs="Calibri"/>
                <w:sz w:val="16"/>
                <w:szCs w:val="16"/>
              </w:rPr>
              <w:t xml:space="preserve"> than this threshold were deemed to be excessive.  Values were presented using medians and 90th percentiles.</w:t>
            </w:r>
          </w:p>
        </w:tc>
        <w:tc>
          <w:tcPr>
            <w:tcW w:w="2240" w:type="dxa"/>
            <w:tcBorders>
              <w:top w:val="nil"/>
              <w:left w:val="nil"/>
              <w:bottom w:val="single" w:sz="4" w:space="0" w:color="B5DDDC"/>
              <w:right w:val="single" w:sz="4" w:space="0" w:color="B5DDDC"/>
            </w:tcBorders>
            <w:hideMark/>
          </w:tcPr>
          <w:p w14:paraId="3EED97DE" w14:textId="77777777" w:rsidR="007451D2" w:rsidRPr="00595884" w:rsidRDefault="00274BC6" w:rsidP="007451D2">
            <w:pPr>
              <w:spacing w:before="0" w:after="0" w:line="240" w:lineRule="auto"/>
              <w:rPr>
                <w:rFonts w:ascii="Calibri" w:hAnsi="Calibri" w:cs="Calibri"/>
                <w:sz w:val="16"/>
                <w:szCs w:val="16"/>
              </w:rPr>
            </w:pPr>
            <w:r w:rsidRPr="00595884">
              <w:rPr>
                <w:rFonts w:ascii="Calibri" w:hAnsi="Calibri" w:cs="Calibri"/>
                <w:sz w:val="16"/>
                <w:szCs w:val="16"/>
              </w:rPr>
              <w:t>Individual risks were estimated for each health effect by combining exposures for each scenario and toxicological values for each effect. For noncarcinogenic effects, a “hazard quotient” (exposure dose/toxicological value) was calculated. For all cancers, individual excess risk was calculated.</w:t>
            </w:r>
            <w:r w:rsidRPr="00595884">
              <w:rPr>
                <w:rFonts w:ascii="Calibri" w:hAnsi="Calibri" w:cs="Calibri"/>
                <w:sz w:val="16"/>
                <w:szCs w:val="16"/>
              </w:rPr>
              <w:br/>
              <w:t>For all cancers, individual excess risk was calculated according to the following equation:</w:t>
            </w:r>
            <w:r w:rsidRPr="00595884">
              <w:rPr>
                <w:rFonts w:ascii="Calibri" w:hAnsi="Calibri" w:cs="Calibri"/>
                <w:sz w:val="16"/>
                <w:szCs w:val="16"/>
              </w:rPr>
              <w:br/>
              <w:t>ERI = ERU × NA/70   × ∑</w:t>
            </w:r>
            <w:proofErr w:type="spellStart"/>
            <w:r w:rsidRPr="00595884">
              <w:rPr>
                <w:rFonts w:ascii="Calibri" w:hAnsi="Calibri" w:cs="Calibri"/>
                <w:sz w:val="16"/>
                <w:szCs w:val="16"/>
              </w:rPr>
              <w:t>DEi</w:t>
            </w:r>
            <w:proofErr w:type="spellEnd"/>
            <w:r w:rsidRPr="00595884">
              <w:rPr>
                <w:rFonts w:ascii="Calibri" w:hAnsi="Calibri" w:cs="Calibri"/>
                <w:sz w:val="16"/>
                <w:szCs w:val="16"/>
              </w:rPr>
              <w:t xml:space="preserve">  × </w:t>
            </w:r>
            <w:proofErr w:type="spellStart"/>
            <w:r w:rsidRPr="00595884">
              <w:rPr>
                <w:rFonts w:ascii="Calibri" w:hAnsi="Calibri" w:cs="Calibri"/>
                <w:sz w:val="16"/>
                <w:szCs w:val="16"/>
              </w:rPr>
              <w:t>TEFi</w:t>
            </w:r>
            <w:proofErr w:type="spellEnd"/>
            <w:r w:rsidRPr="00595884">
              <w:rPr>
                <w:rFonts w:ascii="Calibri" w:hAnsi="Calibri" w:cs="Calibri"/>
                <w:sz w:val="16"/>
                <w:szCs w:val="16"/>
              </w:rPr>
              <w:br/>
              <w:t xml:space="preserve">where  ERI:  individual  excess  risk  for  cancer  following   pollutant   intake, ERU: oral unit risk of benzo(a)pyrene (mg/kg </w:t>
            </w:r>
            <w:proofErr w:type="spellStart"/>
            <w:r w:rsidRPr="00595884">
              <w:rPr>
                <w:rFonts w:ascii="Calibri" w:hAnsi="Calibri" w:cs="Calibri"/>
                <w:sz w:val="16"/>
                <w:szCs w:val="16"/>
              </w:rPr>
              <w:t>bw</w:t>
            </w:r>
            <w:proofErr w:type="spellEnd"/>
            <w:r w:rsidRPr="00595884">
              <w:rPr>
                <w:rFonts w:ascii="Calibri" w:hAnsi="Calibri" w:cs="Calibri"/>
                <w:sz w:val="16"/>
                <w:szCs w:val="16"/>
              </w:rPr>
              <w:t xml:space="preserve">/d)−¹, </w:t>
            </w:r>
            <w:proofErr w:type="spellStart"/>
            <w:r w:rsidRPr="00595884">
              <w:rPr>
                <w:rFonts w:ascii="Calibri" w:hAnsi="Calibri" w:cs="Calibri"/>
                <w:sz w:val="16"/>
                <w:szCs w:val="16"/>
              </w:rPr>
              <w:t>DEi</w:t>
            </w:r>
            <w:proofErr w:type="spellEnd"/>
            <w:r w:rsidRPr="00595884">
              <w:rPr>
                <w:rFonts w:ascii="Calibri" w:hAnsi="Calibri" w:cs="Calibri"/>
                <w:sz w:val="16"/>
                <w:szCs w:val="16"/>
              </w:rPr>
              <w:t xml:space="preserve">: exposure dose for  each  route of exposure (mg/kg/j),  TEF: toxic equivalent  factor  of  PAH  in  reference  to  </w:t>
            </w:r>
            <w:proofErr w:type="spellStart"/>
            <w:r w:rsidRPr="00595884">
              <w:rPr>
                <w:rFonts w:ascii="Calibri" w:hAnsi="Calibri" w:cs="Calibri"/>
                <w:sz w:val="16"/>
                <w:szCs w:val="16"/>
              </w:rPr>
              <w:t>BaP</w:t>
            </w:r>
            <w:proofErr w:type="spellEnd"/>
            <w:r w:rsidRPr="00595884">
              <w:rPr>
                <w:rFonts w:ascii="Calibri" w:hAnsi="Calibri" w:cs="Calibri"/>
                <w:sz w:val="16"/>
                <w:szCs w:val="16"/>
              </w:rPr>
              <w:t>,  NA: duration of exposure (year), and 70: the average time exposure (year).</w:t>
            </w:r>
          </w:p>
        </w:tc>
        <w:tc>
          <w:tcPr>
            <w:tcW w:w="2500" w:type="dxa"/>
            <w:tcBorders>
              <w:top w:val="nil"/>
              <w:left w:val="nil"/>
              <w:bottom w:val="single" w:sz="4" w:space="0" w:color="B5DDDC"/>
              <w:right w:val="single" w:sz="4" w:space="0" w:color="B5DDDC"/>
            </w:tcBorders>
            <w:hideMark/>
          </w:tcPr>
          <w:p w14:paraId="3BE806E6" w14:textId="6DDEB515" w:rsidR="007451D2" w:rsidRPr="00595884" w:rsidRDefault="00274BC6">
            <w:pPr>
              <w:spacing w:before="0" w:after="0" w:line="240" w:lineRule="auto"/>
              <w:rPr>
                <w:rFonts w:ascii="Calibri" w:hAnsi="Calibri" w:cs="Calibri"/>
                <w:sz w:val="16"/>
                <w:szCs w:val="16"/>
              </w:rPr>
            </w:pPr>
            <w:r w:rsidRPr="00595884">
              <w:rPr>
                <w:rFonts w:ascii="Calibri" w:hAnsi="Calibri" w:cs="Calibri"/>
                <w:sz w:val="16"/>
                <w:szCs w:val="16"/>
              </w:rPr>
              <w:t xml:space="preserve">The sand and water, </w:t>
            </w:r>
            <w:r w:rsidR="0061137A" w:rsidRPr="00595884">
              <w:rPr>
                <w:rFonts w:ascii="Calibri" w:hAnsi="Calibri" w:cs="Calibri"/>
                <w:sz w:val="16"/>
                <w:szCs w:val="16"/>
              </w:rPr>
              <w:t>after decontamination</w:t>
            </w:r>
            <w:r w:rsidRPr="00595884">
              <w:rPr>
                <w:rFonts w:ascii="Calibri" w:hAnsi="Calibri" w:cs="Calibri"/>
                <w:sz w:val="16"/>
                <w:szCs w:val="16"/>
              </w:rPr>
              <w:t xml:space="preserve">, were slightly polluted (respectively, 7.8 </w:t>
            </w:r>
            <w:proofErr w:type="spellStart"/>
            <w:r w:rsidRPr="00595884">
              <w:rPr>
                <w:rFonts w:ascii="Calibri" w:hAnsi="Calibri" w:cs="Calibri"/>
                <w:sz w:val="16"/>
                <w:szCs w:val="16"/>
              </w:rPr>
              <w:t>μg</w:t>
            </w:r>
            <w:proofErr w:type="spellEnd"/>
            <w:r w:rsidRPr="00595884">
              <w:rPr>
                <w:rFonts w:ascii="Calibri" w:hAnsi="Calibri" w:cs="Calibri"/>
                <w:sz w:val="16"/>
                <w:szCs w:val="16"/>
              </w:rPr>
              <w:t xml:space="preserve">/kg and 23.3 ng/l </w:t>
            </w:r>
            <w:r w:rsidR="00841ED6">
              <w:rPr>
                <w:rFonts w:ascii="Calibri" w:hAnsi="Calibri" w:cs="Calibri"/>
                <w:sz w:val="16"/>
                <w:szCs w:val="16"/>
              </w:rPr>
              <w:t>for</w:t>
            </w:r>
            <w:r w:rsidRPr="00595884">
              <w:rPr>
                <w:rFonts w:ascii="Calibri" w:hAnsi="Calibri" w:cs="Calibri"/>
                <w:sz w:val="16"/>
                <w:szCs w:val="16"/>
              </w:rPr>
              <w:t xml:space="preserve"> </w:t>
            </w:r>
            <w:r w:rsidR="00841ED6">
              <w:rPr>
                <w:rFonts w:ascii="Calibri" w:hAnsi="Calibri" w:cs="Calibri"/>
                <w:sz w:val="16"/>
                <w:szCs w:val="16"/>
              </w:rPr>
              <w:t xml:space="preserve">16 </w:t>
            </w:r>
            <w:r w:rsidRPr="00595884">
              <w:rPr>
                <w:rFonts w:ascii="Calibri" w:hAnsi="Calibri" w:cs="Calibri"/>
                <w:sz w:val="16"/>
                <w:szCs w:val="16"/>
              </w:rPr>
              <w:t xml:space="preserve">total PAHs), with values </w:t>
            </w:r>
            <w:proofErr w:type="gramStart"/>
            <w:r w:rsidRPr="00595884">
              <w:rPr>
                <w:rFonts w:ascii="Calibri" w:hAnsi="Calibri" w:cs="Calibri"/>
                <w:sz w:val="16"/>
                <w:szCs w:val="16"/>
              </w:rPr>
              <w:t>similar to</w:t>
            </w:r>
            <w:proofErr w:type="gramEnd"/>
            <w:r w:rsidRPr="00595884">
              <w:rPr>
                <w:rFonts w:ascii="Calibri" w:hAnsi="Calibri" w:cs="Calibri"/>
                <w:sz w:val="16"/>
                <w:szCs w:val="16"/>
              </w:rPr>
              <w:t xml:space="preserve"> those found in the control beaches (Note: both decontaminated and control beaches reported some minor </w:t>
            </w:r>
            <w:r w:rsidR="0061137A" w:rsidRPr="00595884">
              <w:rPr>
                <w:rFonts w:ascii="Calibri" w:hAnsi="Calibri" w:cs="Calibri"/>
                <w:sz w:val="16"/>
                <w:szCs w:val="16"/>
              </w:rPr>
              <w:t>exceedance</w:t>
            </w:r>
            <w:r w:rsidRPr="00595884">
              <w:rPr>
                <w:rFonts w:ascii="Calibri" w:hAnsi="Calibri" w:cs="Calibri"/>
                <w:sz w:val="16"/>
                <w:szCs w:val="16"/>
              </w:rPr>
              <w:t xml:space="preserve"> of the </w:t>
            </w:r>
            <w:proofErr w:type="spellStart"/>
            <w:r w:rsidRPr="00595884">
              <w:rPr>
                <w:rFonts w:ascii="Calibri" w:hAnsi="Calibri" w:cs="Calibri"/>
                <w:sz w:val="16"/>
                <w:szCs w:val="16"/>
              </w:rPr>
              <w:t>BaP</w:t>
            </w:r>
            <w:proofErr w:type="spellEnd"/>
            <w:r w:rsidRPr="00595884">
              <w:rPr>
                <w:rFonts w:ascii="Calibri" w:hAnsi="Calibri" w:cs="Calibri"/>
                <w:sz w:val="16"/>
                <w:szCs w:val="16"/>
              </w:rPr>
              <w:t xml:space="preserve"> equivalent HBT of 1 x 10</w:t>
            </w:r>
            <w:r w:rsidRPr="00595884">
              <w:rPr>
                <w:rFonts w:ascii="Calibri" w:hAnsi="Calibri" w:cs="Calibri"/>
                <w:sz w:val="16"/>
                <w:szCs w:val="16"/>
                <w:vertAlign w:val="superscript"/>
              </w:rPr>
              <w:t>-5</w:t>
            </w:r>
            <w:r w:rsidRPr="00595884">
              <w:rPr>
                <w:rFonts w:ascii="Calibri" w:hAnsi="Calibri" w:cs="Calibri"/>
                <w:sz w:val="16"/>
                <w:szCs w:val="16"/>
              </w:rPr>
              <w:t xml:space="preserve"> excess lifetime risk of cancer). By contrast, the rocky areas in some places were still highly polluted (up to 23 mg/kg on the surface layer).</w:t>
            </w:r>
            <w:r w:rsidRPr="00595884">
              <w:rPr>
                <w:rFonts w:ascii="Calibri" w:hAnsi="Calibri" w:cs="Calibri"/>
                <w:sz w:val="16"/>
                <w:szCs w:val="16"/>
              </w:rPr>
              <w:br/>
              <w:t>Risks were considered low, both in the long-term and short-term future, for recreational users.  Cancer risks did not differ substantially from those estimated on control beaches, except when depollution work had not been completed.  Consequently, it could be hypothesized that risks of cancer at beaches not cleaned yet, or recently spoiled by fuel deposits, would be of concern and would justify temporary closing of the beaches.</w:t>
            </w:r>
          </w:p>
        </w:tc>
        <w:tc>
          <w:tcPr>
            <w:tcW w:w="1300" w:type="dxa"/>
            <w:tcBorders>
              <w:top w:val="nil"/>
              <w:left w:val="nil"/>
              <w:bottom w:val="single" w:sz="4" w:space="0" w:color="B5DDDC"/>
              <w:right w:val="single" w:sz="4" w:space="0" w:color="B5DDDC"/>
            </w:tcBorders>
            <w:hideMark/>
          </w:tcPr>
          <w:p w14:paraId="4F5D8AEF" w14:textId="13E43746" w:rsidR="007451D2" w:rsidRPr="00595884" w:rsidRDefault="00274BC6" w:rsidP="007451D2">
            <w:pPr>
              <w:spacing w:before="0" w:after="0" w:line="240" w:lineRule="auto"/>
              <w:rPr>
                <w:rFonts w:ascii="Calibri" w:hAnsi="Calibri" w:cs="Calibri"/>
                <w:sz w:val="16"/>
                <w:szCs w:val="16"/>
              </w:rPr>
            </w:pPr>
            <w:r w:rsidRPr="00595884">
              <w:rPr>
                <w:rFonts w:ascii="Calibri" w:hAnsi="Calibri" w:cs="Calibri"/>
                <w:sz w:val="16"/>
                <w:szCs w:val="16"/>
              </w:rPr>
              <w:t>Not clearly stated and varies with exposure scenario and metric (</w:t>
            </w:r>
            <w:r w:rsidR="0061137A" w:rsidRPr="00595884">
              <w:rPr>
                <w:rFonts w:ascii="Calibri" w:hAnsi="Calibri" w:cs="Calibri"/>
                <w:sz w:val="16"/>
                <w:szCs w:val="16"/>
              </w:rPr>
              <w:t>i.e.,</w:t>
            </w:r>
            <w:r w:rsidRPr="00595884">
              <w:rPr>
                <w:rFonts w:ascii="Calibri" w:hAnsi="Calibri" w:cs="Calibri"/>
                <w:sz w:val="16"/>
                <w:szCs w:val="16"/>
              </w:rPr>
              <w:t xml:space="preserve"> median, 90th%ile). </w:t>
            </w:r>
            <w:r w:rsidR="0061137A" w:rsidRPr="00595884">
              <w:rPr>
                <w:rFonts w:ascii="Calibri" w:hAnsi="Calibri" w:cs="Calibri"/>
                <w:sz w:val="16"/>
                <w:szCs w:val="16"/>
              </w:rPr>
              <w:t>However,</w:t>
            </w:r>
            <w:r w:rsidRPr="00595884">
              <w:rPr>
                <w:rFonts w:ascii="Calibri" w:hAnsi="Calibri" w:cs="Calibri"/>
                <w:sz w:val="16"/>
                <w:szCs w:val="16"/>
              </w:rPr>
              <w:t xml:space="preserve"> all measured </w:t>
            </w:r>
            <w:r w:rsidR="0061137A" w:rsidRPr="00595884">
              <w:rPr>
                <w:rFonts w:ascii="Calibri" w:hAnsi="Calibri" w:cs="Calibri"/>
                <w:sz w:val="16"/>
                <w:szCs w:val="16"/>
              </w:rPr>
              <w:t>exceedances</w:t>
            </w:r>
            <w:r w:rsidRPr="00595884">
              <w:rPr>
                <w:rFonts w:ascii="Calibri" w:hAnsi="Calibri" w:cs="Calibri"/>
                <w:sz w:val="16"/>
                <w:szCs w:val="16"/>
              </w:rPr>
              <w:t xml:space="preserve"> were minor (max = 8.1 × 10</w:t>
            </w:r>
            <w:r w:rsidRPr="00595884">
              <w:rPr>
                <w:rFonts w:ascii="Calibri" w:hAnsi="Calibri" w:cs="Calibri"/>
                <w:sz w:val="16"/>
                <w:szCs w:val="16"/>
                <w:vertAlign w:val="superscript"/>
              </w:rPr>
              <w:t>−5</w:t>
            </w:r>
            <w:r w:rsidRPr="00595884">
              <w:rPr>
                <w:rFonts w:ascii="Calibri" w:hAnsi="Calibri" w:cs="Calibri"/>
                <w:sz w:val="16"/>
                <w:szCs w:val="16"/>
              </w:rPr>
              <w:t xml:space="preserve"> for 90th%ile) for exposure to still polluted rocks.</w:t>
            </w:r>
          </w:p>
        </w:tc>
        <w:tc>
          <w:tcPr>
            <w:tcW w:w="960" w:type="dxa"/>
            <w:tcBorders>
              <w:top w:val="nil"/>
              <w:left w:val="nil"/>
              <w:bottom w:val="single" w:sz="4" w:space="0" w:color="B5DDDC"/>
              <w:right w:val="single" w:sz="4" w:space="0" w:color="B5DDDC"/>
            </w:tcBorders>
            <w:hideMark/>
          </w:tcPr>
          <w:p w14:paraId="52A7C372" w14:textId="77777777" w:rsidR="007451D2" w:rsidRPr="00595884" w:rsidRDefault="00274BC6" w:rsidP="007451D2">
            <w:pPr>
              <w:spacing w:before="0" w:after="0" w:line="240" w:lineRule="auto"/>
              <w:rPr>
                <w:rFonts w:ascii="Calibri" w:hAnsi="Calibri" w:cs="Calibri"/>
                <w:sz w:val="16"/>
                <w:szCs w:val="16"/>
              </w:rPr>
            </w:pPr>
            <w:r w:rsidRPr="00595884">
              <w:rPr>
                <w:rFonts w:ascii="Calibri" w:hAnsi="Calibri" w:cs="Calibri"/>
                <w:sz w:val="16"/>
                <w:szCs w:val="16"/>
              </w:rPr>
              <w:t>n/a</w:t>
            </w:r>
          </w:p>
        </w:tc>
      </w:tr>
    </w:tbl>
    <w:p w14:paraId="6B9BE741" w14:textId="77777777" w:rsidR="007451D2" w:rsidRPr="00595884" w:rsidRDefault="007451D2" w:rsidP="007451D2"/>
    <w:p w14:paraId="0F55DE66" w14:textId="31CDCBA4" w:rsidR="00696BCE" w:rsidRPr="00595884" w:rsidRDefault="00696BCE" w:rsidP="00696BCE"/>
    <w:p w14:paraId="2E8EDB5D" w14:textId="63B63143" w:rsidR="00696BCE" w:rsidRPr="00595884" w:rsidRDefault="00274BC6" w:rsidP="007451D2">
      <w:pPr>
        <w:pStyle w:val="Caption"/>
        <w:pageBreakBefore/>
      </w:pPr>
      <w:bookmarkStart w:id="348" w:name="_Ref72246344"/>
      <w:bookmarkStart w:id="349" w:name="_Toc106811182"/>
      <w:r w:rsidRPr="00595884">
        <w:t xml:space="preserve">Table </w:t>
      </w:r>
      <w:r w:rsidR="003132AF">
        <w:fldChar w:fldCharType="begin"/>
      </w:r>
      <w:r w:rsidR="003132AF">
        <w:instrText xml:space="preserve"> STYLEREF 1 \s </w:instrText>
      </w:r>
      <w:r w:rsidR="003132AF">
        <w:fldChar w:fldCharType="separate"/>
      </w:r>
      <w:r w:rsidR="003132AF">
        <w:rPr>
          <w:noProof/>
        </w:rPr>
        <w:t>6</w:t>
      </w:r>
      <w:r w:rsidR="003132AF">
        <w:rPr>
          <w:noProof/>
        </w:rPr>
        <w:fldChar w:fldCharType="end"/>
      </w:r>
      <w:r w:rsidR="00CE064A">
        <w:noBreakHyphen/>
      </w:r>
      <w:r w:rsidR="003132AF">
        <w:fldChar w:fldCharType="begin"/>
      </w:r>
      <w:r w:rsidR="003132AF">
        <w:instrText xml:space="preserve"> SEQ Table \* ARABIC \s 1 </w:instrText>
      </w:r>
      <w:r w:rsidR="003132AF">
        <w:fldChar w:fldCharType="separate"/>
      </w:r>
      <w:r w:rsidR="003132AF">
        <w:rPr>
          <w:noProof/>
        </w:rPr>
        <w:t>8</w:t>
      </w:r>
      <w:r w:rsidR="003132AF">
        <w:rPr>
          <w:noProof/>
        </w:rPr>
        <w:fldChar w:fldCharType="end"/>
      </w:r>
      <w:bookmarkEnd w:id="348"/>
      <w:r w:rsidR="00A45418" w:rsidRPr="00595884">
        <w:t xml:space="preserve">. Results summary for </w:t>
      </w:r>
      <w:proofErr w:type="spellStart"/>
      <w:r w:rsidR="00A45418" w:rsidRPr="00595884">
        <w:t>Swartjes</w:t>
      </w:r>
      <w:proofErr w:type="spellEnd"/>
      <w:r w:rsidR="00A45418" w:rsidRPr="00595884">
        <w:t xml:space="preserve"> and Janssen (2016)</w:t>
      </w:r>
      <w:bookmarkEnd w:id="349"/>
    </w:p>
    <w:tbl>
      <w:tblPr>
        <w:tblW w:w="14240" w:type="dxa"/>
        <w:tblLook w:val="04A0" w:firstRow="1" w:lastRow="0" w:firstColumn="1" w:lastColumn="0" w:noHBand="0" w:noVBand="1"/>
      </w:tblPr>
      <w:tblGrid>
        <w:gridCol w:w="1060"/>
        <w:gridCol w:w="1079"/>
        <w:gridCol w:w="1535"/>
        <w:gridCol w:w="1536"/>
        <w:gridCol w:w="2012"/>
        <w:gridCol w:w="2230"/>
        <w:gridCol w:w="2309"/>
        <w:gridCol w:w="1477"/>
        <w:gridCol w:w="1002"/>
      </w:tblGrid>
      <w:tr w:rsidR="004254E5" w14:paraId="6247A103" w14:textId="77777777" w:rsidTr="003B0399">
        <w:trPr>
          <w:trHeight w:val="408"/>
        </w:trPr>
        <w:tc>
          <w:tcPr>
            <w:tcW w:w="1060" w:type="dxa"/>
            <w:tcBorders>
              <w:top w:val="single" w:sz="4" w:space="0" w:color="B5DDDC"/>
              <w:left w:val="single" w:sz="4" w:space="0" w:color="B5DDDC"/>
              <w:bottom w:val="single" w:sz="4" w:space="0" w:color="B5DDDC"/>
              <w:right w:val="single" w:sz="4" w:space="0" w:color="B5DDDC"/>
            </w:tcBorders>
            <w:shd w:val="clear" w:color="000000" w:fill="B5DDDC"/>
            <w:vAlign w:val="center"/>
            <w:hideMark/>
          </w:tcPr>
          <w:p w14:paraId="71FA9093" w14:textId="77777777" w:rsidR="007451D2" w:rsidRPr="00595884" w:rsidRDefault="00274BC6" w:rsidP="007451D2">
            <w:pPr>
              <w:spacing w:before="0" w:after="0" w:line="240" w:lineRule="auto"/>
              <w:rPr>
                <w:rFonts w:ascii="Calibri" w:hAnsi="Calibri" w:cs="Calibri"/>
                <w:b/>
                <w:bCs/>
                <w:color w:val="008000"/>
                <w:sz w:val="16"/>
                <w:szCs w:val="16"/>
              </w:rPr>
            </w:pPr>
            <w:proofErr w:type="gramStart"/>
            <w:r w:rsidRPr="00595884">
              <w:rPr>
                <w:rFonts w:ascii="Calibri" w:hAnsi="Calibri" w:cs="Calibri"/>
                <w:b/>
                <w:bCs/>
                <w:color w:val="008000"/>
                <w:sz w:val="16"/>
                <w:szCs w:val="16"/>
              </w:rPr>
              <w:t>Study,  Design</w:t>
            </w:r>
            <w:proofErr w:type="gramEnd"/>
            <w:r w:rsidRPr="00595884">
              <w:rPr>
                <w:rFonts w:ascii="Calibri" w:hAnsi="Calibri" w:cs="Calibri"/>
                <w:b/>
                <w:bCs/>
                <w:color w:val="008000"/>
                <w:sz w:val="16"/>
                <w:szCs w:val="16"/>
              </w:rPr>
              <w:t>, Quality</w:t>
            </w:r>
          </w:p>
        </w:tc>
        <w:tc>
          <w:tcPr>
            <w:tcW w:w="1079" w:type="dxa"/>
            <w:tcBorders>
              <w:top w:val="single" w:sz="4" w:space="0" w:color="B5DDDC"/>
              <w:left w:val="nil"/>
              <w:bottom w:val="single" w:sz="4" w:space="0" w:color="B5DDDC"/>
              <w:right w:val="single" w:sz="4" w:space="0" w:color="B5DDDC"/>
            </w:tcBorders>
            <w:shd w:val="clear" w:color="000000" w:fill="B5DDDC"/>
            <w:vAlign w:val="center"/>
            <w:hideMark/>
          </w:tcPr>
          <w:p w14:paraId="348939DC" w14:textId="77777777" w:rsidR="007451D2" w:rsidRPr="00595884" w:rsidRDefault="00274BC6" w:rsidP="007451D2">
            <w:pPr>
              <w:spacing w:before="0" w:after="0" w:line="240" w:lineRule="auto"/>
              <w:rPr>
                <w:rFonts w:ascii="Calibri" w:hAnsi="Calibri" w:cs="Calibri"/>
                <w:b/>
                <w:bCs/>
                <w:color w:val="008000"/>
                <w:sz w:val="16"/>
                <w:szCs w:val="16"/>
              </w:rPr>
            </w:pPr>
            <w:r w:rsidRPr="00595884">
              <w:rPr>
                <w:rFonts w:ascii="Calibri" w:hAnsi="Calibri" w:cs="Calibri"/>
                <w:b/>
                <w:bCs/>
                <w:color w:val="008000"/>
                <w:sz w:val="16"/>
                <w:szCs w:val="16"/>
              </w:rPr>
              <w:t>Population</w:t>
            </w:r>
          </w:p>
        </w:tc>
        <w:tc>
          <w:tcPr>
            <w:tcW w:w="1535" w:type="dxa"/>
            <w:tcBorders>
              <w:top w:val="single" w:sz="4" w:space="0" w:color="B5DDDC"/>
              <w:left w:val="nil"/>
              <w:bottom w:val="single" w:sz="4" w:space="0" w:color="B5DDDC"/>
              <w:right w:val="single" w:sz="4" w:space="0" w:color="B5DDDC"/>
            </w:tcBorders>
            <w:shd w:val="clear" w:color="000000" w:fill="B5DDDC"/>
            <w:vAlign w:val="center"/>
            <w:hideMark/>
          </w:tcPr>
          <w:p w14:paraId="0F7D7A7A" w14:textId="77777777" w:rsidR="007451D2" w:rsidRPr="00595884" w:rsidRDefault="00274BC6" w:rsidP="007451D2">
            <w:pPr>
              <w:spacing w:before="0" w:after="0" w:line="240" w:lineRule="auto"/>
              <w:rPr>
                <w:rFonts w:ascii="Calibri" w:hAnsi="Calibri" w:cs="Calibri"/>
                <w:b/>
                <w:bCs/>
                <w:color w:val="008000"/>
                <w:sz w:val="16"/>
                <w:szCs w:val="16"/>
              </w:rPr>
            </w:pPr>
            <w:r w:rsidRPr="00595884">
              <w:rPr>
                <w:rFonts w:ascii="Calibri" w:hAnsi="Calibri" w:cs="Calibri"/>
                <w:b/>
                <w:bCs/>
                <w:color w:val="008000"/>
                <w:sz w:val="16"/>
                <w:szCs w:val="16"/>
              </w:rPr>
              <w:t>Exposures</w:t>
            </w:r>
          </w:p>
        </w:tc>
        <w:tc>
          <w:tcPr>
            <w:tcW w:w="1536" w:type="dxa"/>
            <w:tcBorders>
              <w:top w:val="single" w:sz="4" w:space="0" w:color="B5DDDC"/>
              <w:left w:val="nil"/>
              <w:bottom w:val="single" w:sz="4" w:space="0" w:color="B5DDDC"/>
              <w:right w:val="single" w:sz="4" w:space="0" w:color="B5DDDC"/>
            </w:tcBorders>
            <w:shd w:val="clear" w:color="000000" w:fill="B5DDDC"/>
            <w:vAlign w:val="center"/>
            <w:hideMark/>
          </w:tcPr>
          <w:p w14:paraId="5BD04DB8" w14:textId="77777777" w:rsidR="007451D2" w:rsidRPr="00595884" w:rsidRDefault="00274BC6" w:rsidP="007451D2">
            <w:pPr>
              <w:spacing w:before="0" w:after="0" w:line="240" w:lineRule="auto"/>
              <w:rPr>
                <w:rFonts w:ascii="Calibri" w:hAnsi="Calibri" w:cs="Calibri"/>
                <w:b/>
                <w:bCs/>
                <w:color w:val="008000"/>
                <w:sz w:val="16"/>
                <w:szCs w:val="16"/>
              </w:rPr>
            </w:pPr>
            <w:r w:rsidRPr="00595884">
              <w:rPr>
                <w:rFonts w:ascii="Calibri" w:hAnsi="Calibri" w:cs="Calibri"/>
                <w:b/>
                <w:bCs/>
                <w:color w:val="008000"/>
                <w:sz w:val="16"/>
                <w:szCs w:val="16"/>
              </w:rPr>
              <w:t>Location type</w:t>
            </w:r>
          </w:p>
        </w:tc>
        <w:tc>
          <w:tcPr>
            <w:tcW w:w="2012" w:type="dxa"/>
            <w:tcBorders>
              <w:top w:val="single" w:sz="4" w:space="0" w:color="B5DDDC"/>
              <w:left w:val="nil"/>
              <w:bottom w:val="single" w:sz="4" w:space="0" w:color="B5DDDC"/>
              <w:right w:val="single" w:sz="4" w:space="0" w:color="B5DDDC"/>
            </w:tcBorders>
            <w:shd w:val="clear" w:color="000000" w:fill="B5DDDC"/>
            <w:vAlign w:val="center"/>
            <w:hideMark/>
          </w:tcPr>
          <w:p w14:paraId="61427CE9" w14:textId="77777777" w:rsidR="007451D2" w:rsidRPr="00595884" w:rsidRDefault="00274BC6" w:rsidP="007451D2">
            <w:pPr>
              <w:spacing w:before="0" w:after="0" w:line="240" w:lineRule="auto"/>
              <w:rPr>
                <w:rFonts w:ascii="Calibri" w:hAnsi="Calibri" w:cs="Calibri"/>
                <w:b/>
                <w:bCs/>
                <w:color w:val="008000"/>
                <w:sz w:val="16"/>
                <w:szCs w:val="16"/>
              </w:rPr>
            </w:pPr>
            <w:r w:rsidRPr="00595884">
              <w:rPr>
                <w:rFonts w:ascii="Calibri" w:hAnsi="Calibri" w:cs="Calibri"/>
                <w:b/>
                <w:bCs/>
                <w:color w:val="008000"/>
                <w:sz w:val="16"/>
                <w:szCs w:val="16"/>
              </w:rPr>
              <w:t>Outcome</w:t>
            </w:r>
          </w:p>
        </w:tc>
        <w:tc>
          <w:tcPr>
            <w:tcW w:w="2230" w:type="dxa"/>
            <w:tcBorders>
              <w:top w:val="single" w:sz="4" w:space="0" w:color="B5DDDC"/>
              <w:left w:val="nil"/>
              <w:bottom w:val="single" w:sz="4" w:space="0" w:color="B5DDDC"/>
              <w:right w:val="single" w:sz="4" w:space="0" w:color="B5DDDC"/>
            </w:tcBorders>
            <w:shd w:val="clear" w:color="000000" w:fill="B5DDDC"/>
            <w:vAlign w:val="center"/>
            <w:hideMark/>
          </w:tcPr>
          <w:p w14:paraId="4EBED428" w14:textId="77777777" w:rsidR="007451D2" w:rsidRPr="00595884" w:rsidRDefault="00274BC6" w:rsidP="007451D2">
            <w:pPr>
              <w:spacing w:before="0" w:after="0" w:line="240" w:lineRule="auto"/>
              <w:rPr>
                <w:rFonts w:ascii="Calibri" w:hAnsi="Calibri" w:cs="Calibri"/>
                <w:b/>
                <w:bCs/>
                <w:color w:val="008000"/>
                <w:sz w:val="16"/>
                <w:szCs w:val="16"/>
              </w:rPr>
            </w:pPr>
            <w:r w:rsidRPr="00595884">
              <w:rPr>
                <w:rFonts w:ascii="Calibri" w:hAnsi="Calibri" w:cs="Calibri"/>
                <w:b/>
                <w:bCs/>
                <w:color w:val="008000"/>
                <w:sz w:val="16"/>
                <w:szCs w:val="16"/>
              </w:rPr>
              <w:t>Analysis</w:t>
            </w:r>
          </w:p>
        </w:tc>
        <w:tc>
          <w:tcPr>
            <w:tcW w:w="2309" w:type="dxa"/>
            <w:tcBorders>
              <w:top w:val="single" w:sz="4" w:space="0" w:color="B5DDDC"/>
              <w:left w:val="nil"/>
              <w:bottom w:val="single" w:sz="4" w:space="0" w:color="B5DDDC"/>
              <w:right w:val="single" w:sz="4" w:space="0" w:color="B5DDDC"/>
            </w:tcBorders>
            <w:shd w:val="clear" w:color="000000" w:fill="B5DDDC"/>
            <w:vAlign w:val="center"/>
            <w:hideMark/>
          </w:tcPr>
          <w:p w14:paraId="09DDD063" w14:textId="77777777" w:rsidR="007451D2" w:rsidRPr="00595884" w:rsidRDefault="00274BC6" w:rsidP="007451D2">
            <w:pPr>
              <w:spacing w:before="0" w:after="0" w:line="240" w:lineRule="auto"/>
              <w:rPr>
                <w:rFonts w:ascii="Calibri" w:hAnsi="Calibri" w:cs="Calibri"/>
                <w:b/>
                <w:bCs/>
                <w:color w:val="008000"/>
                <w:sz w:val="16"/>
                <w:szCs w:val="16"/>
              </w:rPr>
            </w:pPr>
            <w:r w:rsidRPr="00595884">
              <w:rPr>
                <w:rFonts w:ascii="Calibri" w:hAnsi="Calibri" w:cs="Calibri"/>
                <w:b/>
                <w:bCs/>
                <w:color w:val="008000"/>
                <w:sz w:val="16"/>
                <w:szCs w:val="16"/>
              </w:rPr>
              <w:t>Results</w:t>
            </w:r>
          </w:p>
        </w:tc>
        <w:tc>
          <w:tcPr>
            <w:tcW w:w="1477" w:type="dxa"/>
            <w:tcBorders>
              <w:top w:val="single" w:sz="4" w:space="0" w:color="B5DDDC"/>
              <w:left w:val="nil"/>
              <w:bottom w:val="single" w:sz="4" w:space="0" w:color="B5DDDC"/>
              <w:right w:val="single" w:sz="4" w:space="0" w:color="B5DDDC"/>
            </w:tcBorders>
            <w:shd w:val="clear" w:color="000000" w:fill="B5DDDC"/>
            <w:vAlign w:val="center"/>
            <w:hideMark/>
          </w:tcPr>
          <w:p w14:paraId="1D900EE1" w14:textId="77777777" w:rsidR="007451D2" w:rsidRPr="00595884" w:rsidRDefault="00274BC6" w:rsidP="007451D2">
            <w:pPr>
              <w:spacing w:before="0" w:after="0" w:line="240" w:lineRule="auto"/>
              <w:rPr>
                <w:rFonts w:ascii="Calibri" w:hAnsi="Calibri" w:cs="Calibri"/>
                <w:b/>
                <w:bCs/>
                <w:color w:val="008000"/>
                <w:sz w:val="16"/>
                <w:szCs w:val="16"/>
              </w:rPr>
            </w:pPr>
            <w:r w:rsidRPr="00595884">
              <w:rPr>
                <w:rFonts w:ascii="Calibri" w:hAnsi="Calibri" w:cs="Calibri"/>
                <w:b/>
                <w:bCs/>
                <w:color w:val="008000"/>
                <w:sz w:val="16"/>
                <w:szCs w:val="16"/>
              </w:rPr>
              <w:t>Effect estimate</w:t>
            </w:r>
          </w:p>
        </w:tc>
        <w:tc>
          <w:tcPr>
            <w:tcW w:w="1002" w:type="dxa"/>
            <w:tcBorders>
              <w:top w:val="single" w:sz="4" w:space="0" w:color="B5DDDC"/>
              <w:left w:val="nil"/>
              <w:bottom w:val="single" w:sz="4" w:space="0" w:color="B5DDDC"/>
              <w:right w:val="single" w:sz="4" w:space="0" w:color="B5DDDC"/>
            </w:tcBorders>
            <w:shd w:val="clear" w:color="000000" w:fill="B5DDDC"/>
            <w:vAlign w:val="center"/>
            <w:hideMark/>
          </w:tcPr>
          <w:p w14:paraId="3A9787F5" w14:textId="57CAF699" w:rsidR="007451D2" w:rsidRPr="00595884" w:rsidRDefault="00274BC6" w:rsidP="007451D2">
            <w:pPr>
              <w:spacing w:before="0" w:after="0" w:line="240" w:lineRule="auto"/>
              <w:rPr>
                <w:rFonts w:ascii="Calibri" w:hAnsi="Calibri" w:cs="Calibri"/>
                <w:b/>
                <w:bCs/>
                <w:color w:val="008000"/>
                <w:sz w:val="16"/>
                <w:szCs w:val="16"/>
              </w:rPr>
            </w:pPr>
            <w:r w:rsidRPr="00595884">
              <w:rPr>
                <w:rFonts w:ascii="Calibri" w:hAnsi="Calibri" w:cs="Calibri"/>
                <w:b/>
                <w:bCs/>
                <w:color w:val="008000"/>
                <w:sz w:val="16"/>
                <w:szCs w:val="16"/>
              </w:rPr>
              <w:t>Significance</w:t>
            </w:r>
          </w:p>
        </w:tc>
      </w:tr>
      <w:tr w:rsidR="004254E5" w14:paraId="153EEBED" w14:textId="77777777" w:rsidTr="007451D2">
        <w:trPr>
          <w:trHeight w:val="252"/>
        </w:trPr>
        <w:tc>
          <w:tcPr>
            <w:tcW w:w="14240" w:type="dxa"/>
            <w:gridSpan w:val="9"/>
            <w:tcBorders>
              <w:top w:val="single" w:sz="4" w:space="0" w:color="B5DDDC"/>
              <w:left w:val="single" w:sz="4" w:space="0" w:color="B5DDDC"/>
              <w:bottom w:val="nil"/>
              <w:right w:val="nil"/>
            </w:tcBorders>
            <w:shd w:val="clear" w:color="000000" w:fill="D6EAEB"/>
            <w:vAlign w:val="center"/>
            <w:hideMark/>
          </w:tcPr>
          <w:p w14:paraId="70F8D637" w14:textId="77777777" w:rsidR="007451D2" w:rsidRPr="00595884" w:rsidRDefault="00274BC6" w:rsidP="007451D2">
            <w:pPr>
              <w:spacing w:before="0" w:after="0" w:line="240" w:lineRule="auto"/>
              <w:rPr>
                <w:rFonts w:ascii="Calibri" w:hAnsi="Calibri" w:cs="Calibri"/>
                <w:b/>
                <w:bCs/>
                <w:color w:val="000000"/>
                <w:sz w:val="16"/>
                <w:szCs w:val="16"/>
              </w:rPr>
            </w:pPr>
            <w:r w:rsidRPr="00595884">
              <w:rPr>
                <w:rFonts w:ascii="Calibri" w:hAnsi="Calibri" w:cs="Calibri"/>
                <w:b/>
                <w:bCs/>
                <w:color w:val="000000"/>
                <w:sz w:val="16"/>
                <w:szCs w:val="16"/>
              </w:rPr>
              <w:t xml:space="preserve">Research question: </w:t>
            </w:r>
            <w:r w:rsidRPr="00595884">
              <w:rPr>
                <w:rFonts w:ascii="Calibri" w:hAnsi="Calibri" w:cs="Calibri"/>
                <w:i/>
                <w:iCs/>
                <w:color w:val="000000"/>
                <w:sz w:val="16"/>
                <w:szCs w:val="16"/>
              </w:rPr>
              <w:t>e.g. Are exposures to the hazards outlined in the PECO Table likely to give rise to any significant human health risks given that chemical concentrations in recreational waters are generally low?</w:t>
            </w:r>
          </w:p>
        </w:tc>
      </w:tr>
      <w:tr w:rsidR="004254E5" w14:paraId="1CDE3E3F" w14:textId="77777777" w:rsidTr="007451D2">
        <w:trPr>
          <w:trHeight w:val="252"/>
        </w:trPr>
        <w:tc>
          <w:tcPr>
            <w:tcW w:w="14240" w:type="dxa"/>
            <w:gridSpan w:val="9"/>
            <w:tcBorders>
              <w:top w:val="nil"/>
              <w:left w:val="single" w:sz="4" w:space="0" w:color="B5DDDC"/>
              <w:bottom w:val="single" w:sz="4" w:space="0" w:color="B5DDDC"/>
              <w:right w:val="nil"/>
            </w:tcBorders>
            <w:shd w:val="clear" w:color="000000" w:fill="D6EAEB"/>
            <w:vAlign w:val="center"/>
            <w:hideMark/>
          </w:tcPr>
          <w:p w14:paraId="29EDA4F6" w14:textId="77777777" w:rsidR="007451D2" w:rsidRPr="00595884" w:rsidRDefault="00274BC6" w:rsidP="007451D2">
            <w:pPr>
              <w:spacing w:before="0" w:after="0" w:line="240" w:lineRule="auto"/>
              <w:rPr>
                <w:rFonts w:ascii="Calibri" w:hAnsi="Calibri" w:cs="Calibri"/>
                <w:b/>
                <w:bCs/>
                <w:color w:val="000000"/>
                <w:sz w:val="16"/>
                <w:szCs w:val="16"/>
              </w:rPr>
            </w:pPr>
            <w:r w:rsidRPr="00595884">
              <w:rPr>
                <w:rFonts w:ascii="Calibri" w:hAnsi="Calibri" w:cs="Calibri"/>
                <w:b/>
                <w:bCs/>
                <w:color w:val="000000"/>
                <w:sz w:val="16"/>
                <w:szCs w:val="16"/>
              </w:rPr>
              <w:t>Outcome 1. PECO listed chemical hazards measured in recreational waters above chronic health criteria (e.g. national recreational water quality guidelines).</w:t>
            </w:r>
          </w:p>
        </w:tc>
      </w:tr>
      <w:tr w:rsidR="004254E5" w14:paraId="41F84C83" w14:textId="77777777" w:rsidTr="003B0399">
        <w:trPr>
          <w:trHeight w:val="4692"/>
        </w:trPr>
        <w:tc>
          <w:tcPr>
            <w:tcW w:w="1060" w:type="dxa"/>
            <w:tcBorders>
              <w:top w:val="nil"/>
              <w:left w:val="single" w:sz="4" w:space="0" w:color="B5DDDC"/>
              <w:bottom w:val="single" w:sz="4" w:space="0" w:color="B5DDDC"/>
              <w:right w:val="single" w:sz="4" w:space="0" w:color="B5DDDC"/>
            </w:tcBorders>
            <w:hideMark/>
          </w:tcPr>
          <w:p w14:paraId="1506B84D" w14:textId="5A3E962F" w:rsidR="007451D2" w:rsidRPr="00595884" w:rsidRDefault="00274BC6" w:rsidP="007451D2">
            <w:pPr>
              <w:spacing w:before="0" w:after="0" w:line="240" w:lineRule="auto"/>
              <w:rPr>
                <w:rFonts w:ascii="Calibri" w:hAnsi="Calibri" w:cs="Calibri"/>
                <w:color w:val="000000"/>
                <w:sz w:val="16"/>
                <w:szCs w:val="16"/>
              </w:rPr>
            </w:pPr>
            <w:r w:rsidRPr="00595884">
              <w:rPr>
                <w:rFonts w:ascii="Calibri" w:hAnsi="Calibri" w:cs="Calibri"/>
                <w:color w:val="000000"/>
                <w:sz w:val="16"/>
                <w:szCs w:val="16"/>
              </w:rPr>
              <w:t xml:space="preserve">J5, </w:t>
            </w:r>
            <w:proofErr w:type="spellStart"/>
            <w:r w:rsidRPr="00595884">
              <w:rPr>
                <w:rFonts w:ascii="Calibri" w:hAnsi="Calibri" w:cs="Calibri"/>
                <w:color w:val="000000"/>
                <w:sz w:val="16"/>
                <w:szCs w:val="16"/>
              </w:rPr>
              <w:t>Swartjes</w:t>
            </w:r>
            <w:proofErr w:type="spellEnd"/>
            <w:r w:rsidRPr="00595884">
              <w:rPr>
                <w:rFonts w:ascii="Calibri" w:hAnsi="Calibri" w:cs="Calibri"/>
                <w:color w:val="000000"/>
                <w:sz w:val="16"/>
                <w:szCs w:val="16"/>
              </w:rPr>
              <w:t xml:space="preserve"> </w:t>
            </w:r>
            <w:r w:rsidR="00A45418" w:rsidRPr="00595884">
              <w:rPr>
                <w:rFonts w:ascii="Calibri" w:hAnsi="Calibri" w:cs="Calibri"/>
                <w:color w:val="000000"/>
                <w:sz w:val="16"/>
                <w:szCs w:val="16"/>
              </w:rPr>
              <w:t>and</w:t>
            </w:r>
            <w:r w:rsidRPr="00595884">
              <w:rPr>
                <w:rFonts w:ascii="Calibri" w:hAnsi="Calibri" w:cs="Calibri"/>
                <w:color w:val="000000"/>
                <w:sz w:val="16"/>
                <w:szCs w:val="16"/>
              </w:rPr>
              <w:t xml:space="preserve"> Janssen (2016). Qualitative study, Acceptable.</w:t>
            </w:r>
          </w:p>
        </w:tc>
        <w:tc>
          <w:tcPr>
            <w:tcW w:w="1079" w:type="dxa"/>
            <w:tcBorders>
              <w:top w:val="nil"/>
              <w:left w:val="nil"/>
              <w:bottom w:val="single" w:sz="4" w:space="0" w:color="B5DDDC"/>
              <w:right w:val="single" w:sz="4" w:space="0" w:color="B5DDDC"/>
            </w:tcBorders>
            <w:hideMark/>
          </w:tcPr>
          <w:p w14:paraId="3DD92B67" w14:textId="77777777" w:rsidR="007451D2" w:rsidRPr="00595884" w:rsidRDefault="00274BC6" w:rsidP="007451D2">
            <w:pPr>
              <w:spacing w:before="0" w:after="0" w:line="240" w:lineRule="auto"/>
              <w:rPr>
                <w:rFonts w:ascii="Calibri" w:hAnsi="Calibri" w:cs="Calibri"/>
                <w:sz w:val="16"/>
                <w:szCs w:val="16"/>
              </w:rPr>
            </w:pPr>
            <w:r w:rsidRPr="00595884">
              <w:rPr>
                <w:rFonts w:ascii="Calibri" w:hAnsi="Calibri" w:cs="Calibri"/>
                <w:sz w:val="16"/>
                <w:szCs w:val="16"/>
              </w:rPr>
              <w:t>Children of age group of 2–12 years.</w:t>
            </w:r>
          </w:p>
        </w:tc>
        <w:tc>
          <w:tcPr>
            <w:tcW w:w="1535" w:type="dxa"/>
            <w:tcBorders>
              <w:top w:val="nil"/>
              <w:left w:val="nil"/>
              <w:bottom w:val="single" w:sz="4" w:space="0" w:color="B5DDDC"/>
              <w:right w:val="single" w:sz="4" w:space="0" w:color="B5DDDC"/>
            </w:tcBorders>
            <w:hideMark/>
          </w:tcPr>
          <w:p w14:paraId="4F62E88E" w14:textId="3F090CF1" w:rsidR="007451D2" w:rsidRPr="00595884" w:rsidRDefault="00274BC6" w:rsidP="007451D2">
            <w:pPr>
              <w:spacing w:before="0" w:after="0" w:line="240" w:lineRule="auto"/>
              <w:rPr>
                <w:rFonts w:ascii="Calibri" w:hAnsi="Calibri" w:cs="Calibri"/>
                <w:sz w:val="16"/>
                <w:szCs w:val="16"/>
              </w:rPr>
            </w:pPr>
            <w:r w:rsidRPr="00595884">
              <w:rPr>
                <w:rFonts w:ascii="Calibri" w:hAnsi="Calibri" w:cs="Calibri"/>
                <w:sz w:val="16"/>
                <w:szCs w:val="16"/>
              </w:rPr>
              <w:t xml:space="preserve">Soil ingestion of soft grit coating the lumps that adheres to </w:t>
            </w:r>
            <w:r w:rsidR="0061137A" w:rsidRPr="00595884">
              <w:rPr>
                <w:rFonts w:ascii="Calibri" w:hAnsi="Calibri" w:cs="Calibri"/>
                <w:sz w:val="16"/>
                <w:szCs w:val="16"/>
              </w:rPr>
              <w:t>children’s</w:t>
            </w:r>
            <w:r w:rsidRPr="00595884">
              <w:rPr>
                <w:rFonts w:ascii="Calibri" w:hAnsi="Calibri" w:cs="Calibri"/>
                <w:sz w:val="16"/>
                <w:szCs w:val="16"/>
              </w:rPr>
              <w:t xml:space="preserve"> hands when they handle the iron ore lumps.  This results in a "hand loading".  The higher of 95th percentile estimate was used of 1.7 mg/cm</w:t>
            </w:r>
            <w:r w:rsidRPr="00E474F0">
              <w:rPr>
                <w:rFonts w:ascii="Calibri" w:hAnsi="Calibri" w:cs="Calibri"/>
                <w:sz w:val="16"/>
                <w:szCs w:val="16"/>
                <w:vertAlign w:val="superscript"/>
              </w:rPr>
              <w:t>2</w:t>
            </w:r>
            <w:r w:rsidRPr="00595884">
              <w:rPr>
                <w:rFonts w:ascii="Calibri" w:hAnsi="Calibri" w:cs="Calibri"/>
                <w:sz w:val="16"/>
                <w:szCs w:val="16"/>
              </w:rPr>
              <w:t xml:space="preserve"> due to the efficacy of the soil attachment.</w:t>
            </w:r>
          </w:p>
        </w:tc>
        <w:tc>
          <w:tcPr>
            <w:tcW w:w="1536" w:type="dxa"/>
            <w:tcBorders>
              <w:top w:val="nil"/>
              <w:left w:val="nil"/>
              <w:bottom w:val="single" w:sz="4" w:space="0" w:color="B5DDDC"/>
              <w:right w:val="single" w:sz="4" w:space="0" w:color="B5DDDC"/>
            </w:tcBorders>
            <w:hideMark/>
          </w:tcPr>
          <w:p w14:paraId="20807D22" w14:textId="77777777" w:rsidR="007451D2" w:rsidRPr="00595884" w:rsidRDefault="00274BC6" w:rsidP="007451D2">
            <w:pPr>
              <w:spacing w:before="0" w:after="0" w:line="240" w:lineRule="auto"/>
              <w:rPr>
                <w:rFonts w:ascii="Calibri" w:hAnsi="Calibri" w:cs="Calibri"/>
                <w:sz w:val="16"/>
                <w:szCs w:val="16"/>
              </w:rPr>
            </w:pPr>
            <w:r w:rsidRPr="00595884">
              <w:rPr>
                <w:rFonts w:ascii="Calibri" w:hAnsi="Calibri" w:cs="Calibri"/>
                <w:sz w:val="16"/>
                <w:szCs w:val="16"/>
              </w:rPr>
              <w:t xml:space="preserve">Sandy beaches, Netherlands (temperate environment).  </w:t>
            </w:r>
          </w:p>
        </w:tc>
        <w:tc>
          <w:tcPr>
            <w:tcW w:w="2012" w:type="dxa"/>
            <w:tcBorders>
              <w:top w:val="nil"/>
              <w:left w:val="nil"/>
              <w:bottom w:val="single" w:sz="4" w:space="0" w:color="B5DDDC"/>
              <w:right w:val="single" w:sz="4" w:space="0" w:color="B5DDDC"/>
            </w:tcBorders>
            <w:hideMark/>
          </w:tcPr>
          <w:p w14:paraId="7C4D4A41" w14:textId="17EF962C" w:rsidR="007451D2" w:rsidRPr="00595884" w:rsidRDefault="00274BC6" w:rsidP="006774BC">
            <w:pPr>
              <w:spacing w:before="0" w:after="0" w:line="240" w:lineRule="auto"/>
              <w:rPr>
                <w:rFonts w:ascii="Calibri" w:hAnsi="Calibri" w:cs="Calibri"/>
                <w:sz w:val="16"/>
                <w:szCs w:val="16"/>
              </w:rPr>
            </w:pPr>
            <w:r w:rsidRPr="00595884">
              <w:rPr>
                <w:rFonts w:ascii="Calibri" w:hAnsi="Calibri" w:cs="Calibri"/>
                <w:sz w:val="16"/>
                <w:szCs w:val="16"/>
              </w:rPr>
              <w:t>Children (2-12 yrs</w:t>
            </w:r>
            <w:r w:rsidR="0061137A" w:rsidRPr="00595884">
              <w:rPr>
                <w:rFonts w:ascii="Calibri" w:hAnsi="Calibri" w:cs="Calibri"/>
                <w:sz w:val="16"/>
                <w:szCs w:val="16"/>
              </w:rPr>
              <w:t>), average</w:t>
            </w:r>
            <w:r w:rsidRPr="00595884">
              <w:rPr>
                <w:rFonts w:ascii="Calibri" w:hAnsi="Calibri" w:cs="Calibri"/>
                <w:sz w:val="16"/>
                <w:szCs w:val="16"/>
              </w:rPr>
              <w:t xml:space="preserve"> residence time on beach = 4hrs/day.  Two scenarios (</w:t>
            </w:r>
            <w:proofErr w:type="spellStart"/>
            <w:r w:rsidRPr="00595884">
              <w:rPr>
                <w:rFonts w:ascii="Calibri" w:hAnsi="Calibri" w:cs="Calibri"/>
                <w:sz w:val="16"/>
                <w:szCs w:val="16"/>
              </w:rPr>
              <w:t>i</w:t>
            </w:r>
            <w:proofErr w:type="spellEnd"/>
            <w:r w:rsidRPr="00595884">
              <w:rPr>
                <w:rFonts w:ascii="Calibri" w:hAnsi="Calibri" w:cs="Calibri"/>
                <w:sz w:val="16"/>
                <w:szCs w:val="16"/>
              </w:rPr>
              <w:t>) Conservative: 21 days daily exposure and (2) Precautionary: 42 days. Beach contaminated with iron ore lumps containing As.</w:t>
            </w:r>
            <w:r w:rsidRPr="00595884">
              <w:rPr>
                <w:rFonts w:ascii="Calibri" w:hAnsi="Calibri" w:cs="Calibri"/>
                <w:sz w:val="16"/>
                <w:szCs w:val="16"/>
              </w:rPr>
              <w:br/>
              <w:t>The estimated exposure was compared with the BMDL [95% lower confidence limit of the BMD - Benchmark-dose]. The appraisal of the contaminated site depended on the Margin of Exposure (</w:t>
            </w:r>
            <w:proofErr w:type="spellStart"/>
            <w:r w:rsidRPr="00595884">
              <w:rPr>
                <w:rFonts w:ascii="Calibri" w:hAnsi="Calibri" w:cs="Calibri"/>
                <w:sz w:val="16"/>
                <w:szCs w:val="16"/>
              </w:rPr>
              <w:t>MoE</w:t>
            </w:r>
            <w:proofErr w:type="spellEnd"/>
            <w:r w:rsidRPr="00595884">
              <w:rPr>
                <w:rFonts w:ascii="Calibri" w:hAnsi="Calibri" w:cs="Calibri"/>
                <w:sz w:val="16"/>
                <w:szCs w:val="16"/>
              </w:rPr>
              <w:t xml:space="preserve">), i.e., the quotient between the BMDL and estimated exposure.  </w:t>
            </w:r>
            <w:proofErr w:type="gramStart"/>
            <w:r w:rsidRPr="00595884">
              <w:rPr>
                <w:rFonts w:ascii="Calibri" w:hAnsi="Calibri" w:cs="Calibri"/>
                <w:sz w:val="16"/>
                <w:szCs w:val="16"/>
              </w:rPr>
              <w:t>Generally speaking, a</w:t>
            </w:r>
            <w:proofErr w:type="gramEnd"/>
            <w:r w:rsidRPr="00595884">
              <w:rPr>
                <w:rFonts w:ascii="Calibri" w:hAnsi="Calibri" w:cs="Calibri"/>
                <w:sz w:val="16"/>
                <w:szCs w:val="16"/>
              </w:rPr>
              <w:t xml:space="preserve"> lower </w:t>
            </w:r>
            <w:proofErr w:type="spellStart"/>
            <w:r w:rsidRPr="00595884">
              <w:rPr>
                <w:rFonts w:ascii="Calibri" w:hAnsi="Calibri" w:cs="Calibri"/>
                <w:sz w:val="16"/>
                <w:szCs w:val="16"/>
              </w:rPr>
              <w:t>MoE</w:t>
            </w:r>
            <w:proofErr w:type="spellEnd"/>
            <w:r w:rsidRPr="00595884">
              <w:rPr>
                <w:rFonts w:ascii="Calibri" w:hAnsi="Calibri" w:cs="Calibri"/>
                <w:sz w:val="16"/>
                <w:szCs w:val="16"/>
              </w:rPr>
              <w:t xml:space="preserve"> implies higher health concern. </w:t>
            </w:r>
          </w:p>
        </w:tc>
        <w:tc>
          <w:tcPr>
            <w:tcW w:w="2230" w:type="dxa"/>
            <w:tcBorders>
              <w:top w:val="nil"/>
              <w:left w:val="nil"/>
              <w:bottom w:val="single" w:sz="4" w:space="0" w:color="B5DDDC"/>
              <w:right w:val="single" w:sz="4" w:space="0" w:color="B5DDDC"/>
            </w:tcBorders>
            <w:hideMark/>
          </w:tcPr>
          <w:p w14:paraId="3C2695B3" w14:textId="5D60CFD4" w:rsidR="007451D2" w:rsidRPr="00595884" w:rsidRDefault="00274BC6" w:rsidP="006774BC">
            <w:pPr>
              <w:spacing w:before="0" w:after="0" w:line="240" w:lineRule="auto"/>
              <w:rPr>
                <w:rFonts w:ascii="Calibri" w:hAnsi="Calibri" w:cs="Calibri"/>
                <w:sz w:val="16"/>
                <w:szCs w:val="16"/>
              </w:rPr>
            </w:pPr>
            <w:r w:rsidRPr="00595884">
              <w:rPr>
                <w:rFonts w:ascii="Calibri" w:hAnsi="Calibri" w:cs="Calibri"/>
                <w:sz w:val="16"/>
                <w:szCs w:val="16"/>
              </w:rPr>
              <w:t xml:space="preserve">The exposure is compared with the average </w:t>
            </w:r>
            <w:proofErr w:type="gramStart"/>
            <w:r w:rsidR="006774BC">
              <w:rPr>
                <w:rFonts w:ascii="Calibri" w:hAnsi="Calibri" w:cs="Calibri"/>
                <w:sz w:val="16"/>
                <w:szCs w:val="16"/>
              </w:rPr>
              <w:t>As</w:t>
            </w:r>
            <w:proofErr w:type="gramEnd"/>
            <w:r w:rsidR="006774BC" w:rsidRPr="00595884">
              <w:rPr>
                <w:rFonts w:ascii="Calibri" w:hAnsi="Calibri" w:cs="Calibri"/>
                <w:sz w:val="16"/>
                <w:szCs w:val="16"/>
              </w:rPr>
              <w:t xml:space="preserve"> </w:t>
            </w:r>
            <w:r w:rsidRPr="00595884">
              <w:rPr>
                <w:rFonts w:ascii="Calibri" w:hAnsi="Calibri" w:cs="Calibri"/>
                <w:sz w:val="16"/>
                <w:szCs w:val="16"/>
              </w:rPr>
              <w:t xml:space="preserve">background exposure to children in The Netherlands in the age of 2 to 6 years of 0.56 </w:t>
            </w:r>
            <w:proofErr w:type="spellStart"/>
            <w:r w:rsidRPr="00595884">
              <w:rPr>
                <w:rFonts w:ascii="Calibri" w:hAnsi="Calibri" w:cs="Calibri"/>
                <w:sz w:val="16"/>
                <w:szCs w:val="16"/>
              </w:rPr>
              <w:t>μg</w:t>
            </w:r>
            <w:proofErr w:type="spellEnd"/>
            <w:r w:rsidRPr="00595884">
              <w:rPr>
                <w:rFonts w:ascii="Calibri" w:hAnsi="Calibri" w:cs="Calibri"/>
                <w:sz w:val="16"/>
                <w:szCs w:val="16"/>
              </w:rPr>
              <w:t>/</w:t>
            </w:r>
            <w:proofErr w:type="spellStart"/>
            <w:r w:rsidRPr="00595884">
              <w:rPr>
                <w:rFonts w:ascii="Calibri" w:hAnsi="Calibri" w:cs="Calibri"/>
                <w:sz w:val="16"/>
                <w:szCs w:val="16"/>
              </w:rPr>
              <w:t>kgBW</w:t>
            </w:r>
            <w:proofErr w:type="spellEnd"/>
            <w:r w:rsidRPr="00595884">
              <w:rPr>
                <w:rFonts w:ascii="Calibri" w:hAnsi="Calibri" w:cs="Calibri"/>
                <w:sz w:val="16"/>
                <w:szCs w:val="16"/>
              </w:rPr>
              <w:t xml:space="preserve">/day.  </w:t>
            </w:r>
          </w:p>
        </w:tc>
        <w:tc>
          <w:tcPr>
            <w:tcW w:w="2309" w:type="dxa"/>
            <w:tcBorders>
              <w:top w:val="nil"/>
              <w:left w:val="nil"/>
              <w:bottom w:val="single" w:sz="4" w:space="0" w:color="B5DDDC"/>
              <w:right w:val="single" w:sz="4" w:space="0" w:color="B5DDDC"/>
            </w:tcBorders>
            <w:hideMark/>
          </w:tcPr>
          <w:p w14:paraId="2F49D80F" w14:textId="6611DA8B" w:rsidR="007451D2" w:rsidRPr="00595884" w:rsidRDefault="00274BC6" w:rsidP="00AF72F1">
            <w:pPr>
              <w:spacing w:before="0" w:after="0" w:line="240" w:lineRule="auto"/>
              <w:rPr>
                <w:rFonts w:ascii="Calibri" w:hAnsi="Calibri" w:cs="Calibri"/>
                <w:sz w:val="16"/>
                <w:szCs w:val="16"/>
              </w:rPr>
            </w:pPr>
            <w:r w:rsidRPr="00595884">
              <w:rPr>
                <w:rFonts w:ascii="Calibri" w:hAnsi="Calibri" w:cs="Calibri"/>
                <w:sz w:val="16"/>
                <w:szCs w:val="16"/>
              </w:rPr>
              <w:t xml:space="preserve">The conservative and precautionary scenarios gave an estimated exposure of 0.045–0.091 </w:t>
            </w:r>
            <w:proofErr w:type="spellStart"/>
            <w:r w:rsidRPr="00595884">
              <w:rPr>
                <w:rFonts w:ascii="Calibri" w:hAnsi="Calibri" w:cs="Calibri"/>
                <w:sz w:val="16"/>
                <w:szCs w:val="16"/>
              </w:rPr>
              <w:t>μg</w:t>
            </w:r>
            <w:proofErr w:type="spellEnd"/>
            <w:r w:rsidRPr="00595884">
              <w:rPr>
                <w:rFonts w:ascii="Calibri" w:hAnsi="Calibri" w:cs="Calibri"/>
                <w:sz w:val="16"/>
                <w:szCs w:val="16"/>
              </w:rPr>
              <w:t>/</w:t>
            </w:r>
            <w:proofErr w:type="spellStart"/>
            <w:r w:rsidRPr="00595884">
              <w:rPr>
                <w:rFonts w:ascii="Calibri" w:hAnsi="Calibri" w:cs="Calibri"/>
                <w:sz w:val="16"/>
                <w:szCs w:val="16"/>
              </w:rPr>
              <w:t>kgBW</w:t>
            </w:r>
            <w:proofErr w:type="spellEnd"/>
            <w:r w:rsidRPr="00595884">
              <w:rPr>
                <w:rFonts w:ascii="Calibri" w:hAnsi="Calibri" w:cs="Calibri"/>
                <w:sz w:val="16"/>
                <w:szCs w:val="16"/>
              </w:rPr>
              <w:t xml:space="preserve">/ day which implies an increase in background exposure of 8 to 16% due to exposure to </w:t>
            </w:r>
            <w:proofErr w:type="gramStart"/>
            <w:r w:rsidR="00AF72F1">
              <w:rPr>
                <w:rFonts w:ascii="Calibri" w:hAnsi="Calibri" w:cs="Calibri"/>
                <w:sz w:val="16"/>
                <w:szCs w:val="16"/>
              </w:rPr>
              <w:t>As</w:t>
            </w:r>
            <w:proofErr w:type="gramEnd"/>
            <w:r w:rsidR="00AF72F1" w:rsidRPr="00595884">
              <w:rPr>
                <w:rFonts w:ascii="Calibri" w:hAnsi="Calibri" w:cs="Calibri"/>
                <w:sz w:val="16"/>
                <w:szCs w:val="16"/>
              </w:rPr>
              <w:t xml:space="preserve"> </w:t>
            </w:r>
            <w:r w:rsidRPr="00595884">
              <w:rPr>
                <w:rFonts w:ascii="Calibri" w:hAnsi="Calibri" w:cs="Calibri"/>
                <w:sz w:val="16"/>
                <w:szCs w:val="16"/>
              </w:rPr>
              <w:t xml:space="preserve">in the iron ore lumps. </w:t>
            </w:r>
          </w:p>
        </w:tc>
        <w:tc>
          <w:tcPr>
            <w:tcW w:w="1477" w:type="dxa"/>
            <w:tcBorders>
              <w:top w:val="nil"/>
              <w:left w:val="nil"/>
              <w:bottom w:val="single" w:sz="4" w:space="0" w:color="B5DDDC"/>
              <w:right w:val="single" w:sz="4" w:space="0" w:color="B5DDDC"/>
            </w:tcBorders>
            <w:hideMark/>
          </w:tcPr>
          <w:p w14:paraId="3EF27DBB" w14:textId="77777777" w:rsidR="007451D2" w:rsidRPr="00595884" w:rsidRDefault="00274BC6" w:rsidP="007451D2">
            <w:pPr>
              <w:spacing w:before="0" w:after="0" w:line="240" w:lineRule="auto"/>
              <w:rPr>
                <w:rFonts w:ascii="Calibri" w:hAnsi="Calibri" w:cs="Calibri"/>
                <w:sz w:val="16"/>
                <w:szCs w:val="16"/>
              </w:rPr>
            </w:pPr>
            <w:r w:rsidRPr="00595884">
              <w:rPr>
                <w:rFonts w:ascii="Calibri" w:hAnsi="Calibri" w:cs="Calibri"/>
                <w:sz w:val="16"/>
                <w:szCs w:val="16"/>
              </w:rPr>
              <w:t>The estimated exposure gave a calculated Margin of Exposure (</w:t>
            </w:r>
            <w:proofErr w:type="spellStart"/>
            <w:r w:rsidRPr="00595884">
              <w:rPr>
                <w:rFonts w:ascii="Calibri" w:hAnsi="Calibri" w:cs="Calibri"/>
                <w:sz w:val="16"/>
                <w:szCs w:val="16"/>
              </w:rPr>
              <w:t>MoE</w:t>
            </w:r>
            <w:proofErr w:type="spellEnd"/>
            <w:r w:rsidRPr="00595884">
              <w:rPr>
                <w:rFonts w:ascii="Calibri" w:hAnsi="Calibri" w:cs="Calibri"/>
                <w:sz w:val="16"/>
                <w:szCs w:val="16"/>
              </w:rPr>
              <w:t>) range 33−67.</w:t>
            </w:r>
            <w:r w:rsidRPr="00595884">
              <w:rPr>
                <w:rFonts w:ascii="Calibri" w:hAnsi="Calibri" w:cs="Calibri"/>
                <w:sz w:val="16"/>
                <w:szCs w:val="16"/>
              </w:rPr>
              <w:br/>
              <w:t xml:space="preserve">The lack of a widely accepted benchmark </w:t>
            </w:r>
            <w:proofErr w:type="spellStart"/>
            <w:r w:rsidRPr="00595884">
              <w:rPr>
                <w:rFonts w:ascii="Calibri" w:hAnsi="Calibri" w:cs="Calibri"/>
                <w:sz w:val="16"/>
                <w:szCs w:val="16"/>
              </w:rPr>
              <w:t>MoE</w:t>
            </w:r>
            <w:proofErr w:type="spellEnd"/>
            <w:r w:rsidRPr="00595884">
              <w:rPr>
                <w:rFonts w:ascii="Calibri" w:hAnsi="Calibri" w:cs="Calibri"/>
                <w:sz w:val="16"/>
                <w:szCs w:val="16"/>
              </w:rPr>
              <w:t xml:space="preserve"> was noted. Nevertheless, the predicted range was considered to indicate a relatively low health concern (i.e. considered safe) compared to </w:t>
            </w:r>
            <w:proofErr w:type="spellStart"/>
            <w:r w:rsidRPr="00595884">
              <w:rPr>
                <w:rFonts w:ascii="Calibri" w:hAnsi="Calibri" w:cs="Calibri"/>
                <w:sz w:val="16"/>
                <w:szCs w:val="16"/>
              </w:rPr>
              <w:t>MoEs</w:t>
            </w:r>
            <w:proofErr w:type="spellEnd"/>
            <w:r w:rsidRPr="00595884">
              <w:rPr>
                <w:rFonts w:ascii="Calibri" w:hAnsi="Calibri" w:cs="Calibri"/>
                <w:sz w:val="16"/>
                <w:szCs w:val="16"/>
              </w:rPr>
              <w:t xml:space="preserve"> for background exposure via food and drinking water in the Netherlands. </w:t>
            </w:r>
          </w:p>
        </w:tc>
        <w:tc>
          <w:tcPr>
            <w:tcW w:w="1002" w:type="dxa"/>
            <w:tcBorders>
              <w:top w:val="nil"/>
              <w:left w:val="nil"/>
              <w:bottom w:val="single" w:sz="4" w:space="0" w:color="B5DDDC"/>
              <w:right w:val="single" w:sz="4" w:space="0" w:color="B5DDDC"/>
            </w:tcBorders>
            <w:hideMark/>
          </w:tcPr>
          <w:p w14:paraId="77CE574E" w14:textId="77777777" w:rsidR="007451D2" w:rsidRPr="00595884" w:rsidRDefault="00274BC6" w:rsidP="007451D2">
            <w:pPr>
              <w:spacing w:before="0" w:after="0" w:line="240" w:lineRule="auto"/>
              <w:rPr>
                <w:rFonts w:ascii="Calibri" w:hAnsi="Calibri" w:cs="Calibri"/>
                <w:sz w:val="16"/>
                <w:szCs w:val="16"/>
              </w:rPr>
            </w:pPr>
            <w:r w:rsidRPr="00595884">
              <w:rPr>
                <w:rFonts w:ascii="Calibri" w:hAnsi="Calibri" w:cs="Calibri"/>
                <w:sz w:val="16"/>
                <w:szCs w:val="16"/>
              </w:rPr>
              <w:t>n/a</w:t>
            </w:r>
          </w:p>
        </w:tc>
      </w:tr>
    </w:tbl>
    <w:p w14:paraId="68674FE1" w14:textId="6613492C" w:rsidR="00C03F10" w:rsidRPr="00E474F0" w:rsidRDefault="00274BC6" w:rsidP="00E474F0">
      <w:pPr>
        <w:spacing w:before="0" w:after="0" w:line="240" w:lineRule="auto"/>
        <w:rPr>
          <w:rFonts w:asciiTheme="minorHAnsi" w:hAnsiTheme="minorHAnsi" w:cstheme="minorHAnsi"/>
          <w:sz w:val="16"/>
          <w:szCs w:val="16"/>
        </w:rPr>
      </w:pPr>
      <w:r w:rsidRPr="00E474F0">
        <w:rPr>
          <w:rFonts w:asciiTheme="minorHAnsi" w:hAnsiTheme="minorHAnsi" w:cstheme="minorHAnsi"/>
          <w:sz w:val="16"/>
          <w:szCs w:val="16"/>
        </w:rPr>
        <w:t xml:space="preserve">* </w:t>
      </w:r>
      <w:proofErr w:type="gramStart"/>
      <w:r w:rsidR="00AB1228">
        <w:rPr>
          <w:rFonts w:asciiTheme="minorHAnsi" w:hAnsiTheme="minorHAnsi" w:cstheme="minorHAnsi"/>
          <w:sz w:val="16"/>
          <w:szCs w:val="16"/>
        </w:rPr>
        <w:t>m</w:t>
      </w:r>
      <w:r w:rsidRPr="00E474F0">
        <w:rPr>
          <w:rFonts w:asciiTheme="minorHAnsi" w:hAnsiTheme="minorHAnsi" w:cstheme="minorHAnsi"/>
          <w:sz w:val="16"/>
          <w:szCs w:val="16"/>
        </w:rPr>
        <w:t>ercury</w:t>
      </w:r>
      <w:proofErr w:type="gramEnd"/>
      <w:r w:rsidRPr="00E474F0">
        <w:rPr>
          <w:rFonts w:asciiTheme="minorHAnsi" w:hAnsiTheme="minorHAnsi" w:cstheme="minorHAnsi"/>
          <w:sz w:val="16"/>
          <w:szCs w:val="16"/>
        </w:rPr>
        <w:t xml:space="preserve"> (Hg), </w:t>
      </w:r>
      <w:r w:rsidR="00AB1228">
        <w:rPr>
          <w:rFonts w:asciiTheme="minorHAnsi" w:hAnsiTheme="minorHAnsi" w:cstheme="minorHAnsi"/>
          <w:sz w:val="16"/>
          <w:szCs w:val="16"/>
        </w:rPr>
        <w:t>c</w:t>
      </w:r>
      <w:r w:rsidRPr="00E474F0">
        <w:rPr>
          <w:rFonts w:asciiTheme="minorHAnsi" w:hAnsiTheme="minorHAnsi" w:cstheme="minorHAnsi"/>
          <w:sz w:val="16"/>
          <w:szCs w:val="16"/>
        </w:rPr>
        <w:t xml:space="preserve">admium (Cd), </w:t>
      </w:r>
      <w:r w:rsidR="00AB1228">
        <w:rPr>
          <w:rFonts w:asciiTheme="minorHAnsi" w:hAnsiTheme="minorHAnsi" w:cstheme="minorHAnsi"/>
          <w:sz w:val="16"/>
          <w:szCs w:val="16"/>
        </w:rPr>
        <w:t>l</w:t>
      </w:r>
      <w:r w:rsidRPr="00E474F0">
        <w:rPr>
          <w:rFonts w:asciiTheme="minorHAnsi" w:hAnsiTheme="minorHAnsi" w:cstheme="minorHAnsi"/>
          <w:sz w:val="16"/>
          <w:szCs w:val="16"/>
        </w:rPr>
        <w:t xml:space="preserve">ead (Pb), </w:t>
      </w:r>
      <w:r w:rsidR="00AB1228">
        <w:rPr>
          <w:rFonts w:asciiTheme="minorHAnsi" w:hAnsiTheme="minorHAnsi" w:cstheme="minorHAnsi"/>
          <w:sz w:val="16"/>
          <w:szCs w:val="16"/>
        </w:rPr>
        <w:t>a</w:t>
      </w:r>
      <w:r w:rsidRPr="00E474F0">
        <w:rPr>
          <w:rFonts w:asciiTheme="minorHAnsi" w:hAnsiTheme="minorHAnsi" w:cstheme="minorHAnsi"/>
          <w:sz w:val="16"/>
          <w:szCs w:val="16"/>
        </w:rPr>
        <w:t>rsenic (</w:t>
      </w:r>
      <w:proofErr w:type="spellStart"/>
      <w:r w:rsidRPr="00E474F0">
        <w:rPr>
          <w:rFonts w:asciiTheme="minorHAnsi" w:hAnsiTheme="minorHAnsi" w:cstheme="minorHAnsi"/>
          <w:sz w:val="16"/>
          <w:szCs w:val="16"/>
        </w:rPr>
        <w:t>Ar</w:t>
      </w:r>
      <w:proofErr w:type="spellEnd"/>
      <w:r w:rsidRPr="00E474F0">
        <w:rPr>
          <w:rFonts w:asciiTheme="minorHAnsi" w:hAnsiTheme="minorHAnsi" w:cstheme="minorHAnsi"/>
          <w:sz w:val="16"/>
          <w:szCs w:val="16"/>
        </w:rPr>
        <w:t xml:space="preserve">), </w:t>
      </w:r>
      <w:r w:rsidR="00AB1228">
        <w:rPr>
          <w:rFonts w:asciiTheme="minorHAnsi" w:hAnsiTheme="minorHAnsi" w:cstheme="minorHAnsi"/>
          <w:sz w:val="16"/>
          <w:szCs w:val="16"/>
        </w:rPr>
        <w:t>c</w:t>
      </w:r>
      <w:r w:rsidRPr="00E474F0">
        <w:rPr>
          <w:rFonts w:asciiTheme="minorHAnsi" w:hAnsiTheme="minorHAnsi" w:cstheme="minorHAnsi"/>
          <w:sz w:val="16"/>
          <w:szCs w:val="16"/>
        </w:rPr>
        <w:t xml:space="preserve">hromium (Cr), </w:t>
      </w:r>
      <w:r w:rsidR="00AB1228">
        <w:rPr>
          <w:rFonts w:asciiTheme="minorHAnsi" w:hAnsiTheme="minorHAnsi" w:cstheme="minorHAnsi"/>
          <w:sz w:val="16"/>
          <w:szCs w:val="16"/>
        </w:rPr>
        <w:t>a</w:t>
      </w:r>
      <w:r w:rsidRPr="00E474F0">
        <w:rPr>
          <w:rFonts w:asciiTheme="minorHAnsi" w:hAnsiTheme="minorHAnsi" w:cstheme="minorHAnsi"/>
          <w:sz w:val="16"/>
          <w:szCs w:val="16"/>
        </w:rPr>
        <w:t xml:space="preserve">luminium (Al), </w:t>
      </w:r>
      <w:r w:rsidR="00AB1228">
        <w:rPr>
          <w:rFonts w:asciiTheme="minorHAnsi" w:hAnsiTheme="minorHAnsi" w:cstheme="minorHAnsi"/>
          <w:sz w:val="16"/>
          <w:szCs w:val="16"/>
        </w:rPr>
        <w:t>c</w:t>
      </w:r>
      <w:r w:rsidRPr="00E474F0">
        <w:rPr>
          <w:rFonts w:asciiTheme="minorHAnsi" w:hAnsiTheme="minorHAnsi" w:cstheme="minorHAnsi"/>
          <w:sz w:val="16"/>
          <w:szCs w:val="16"/>
        </w:rPr>
        <w:t xml:space="preserve">opper (Cu), </w:t>
      </w:r>
      <w:r w:rsidR="00AB1228">
        <w:rPr>
          <w:rFonts w:asciiTheme="minorHAnsi" w:hAnsiTheme="minorHAnsi" w:cstheme="minorHAnsi"/>
          <w:sz w:val="16"/>
          <w:szCs w:val="16"/>
        </w:rPr>
        <w:t>m</w:t>
      </w:r>
      <w:r w:rsidRPr="00E474F0">
        <w:rPr>
          <w:rFonts w:asciiTheme="minorHAnsi" w:hAnsiTheme="minorHAnsi" w:cstheme="minorHAnsi"/>
          <w:sz w:val="16"/>
          <w:szCs w:val="16"/>
        </w:rPr>
        <w:t xml:space="preserve">anganese (Mn), </w:t>
      </w:r>
      <w:r w:rsidR="00AB1228">
        <w:rPr>
          <w:rFonts w:asciiTheme="minorHAnsi" w:hAnsiTheme="minorHAnsi" w:cstheme="minorHAnsi"/>
          <w:sz w:val="16"/>
          <w:szCs w:val="16"/>
        </w:rPr>
        <w:t>c</w:t>
      </w:r>
      <w:r w:rsidRPr="00E474F0">
        <w:rPr>
          <w:rFonts w:asciiTheme="minorHAnsi" w:hAnsiTheme="minorHAnsi" w:cstheme="minorHAnsi"/>
          <w:sz w:val="16"/>
          <w:szCs w:val="16"/>
        </w:rPr>
        <w:t xml:space="preserve">obalt (Co), </w:t>
      </w:r>
      <w:r w:rsidR="00AB1228">
        <w:rPr>
          <w:rFonts w:asciiTheme="minorHAnsi" w:hAnsiTheme="minorHAnsi" w:cstheme="minorHAnsi"/>
          <w:sz w:val="16"/>
          <w:szCs w:val="16"/>
        </w:rPr>
        <w:t>b</w:t>
      </w:r>
      <w:r w:rsidRPr="00E474F0">
        <w:rPr>
          <w:rFonts w:asciiTheme="minorHAnsi" w:hAnsiTheme="minorHAnsi" w:cstheme="minorHAnsi"/>
          <w:sz w:val="16"/>
          <w:szCs w:val="16"/>
        </w:rPr>
        <w:t xml:space="preserve">arium (Ba), </w:t>
      </w:r>
      <w:r w:rsidR="00AB1228">
        <w:rPr>
          <w:rFonts w:asciiTheme="minorHAnsi" w:hAnsiTheme="minorHAnsi" w:cstheme="minorHAnsi"/>
          <w:sz w:val="16"/>
          <w:szCs w:val="16"/>
        </w:rPr>
        <w:t>n</w:t>
      </w:r>
      <w:r w:rsidRPr="00E474F0">
        <w:rPr>
          <w:rFonts w:asciiTheme="minorHAnsi" w:hAnsiTheme="minorHAnsi" w:cstheme="minorHAnsi"/>
          <w:sz w:val="16"/>
          <w:szCs w:val="16"/>
        </w:rPr>
        <w:t xml:space="preserve">ickel (Ni), </w:t>
      </w:r>
      <w:r w:rsidR="00AB1228">
        <w:rPr>
          <w:rFonts w:asciiTheme="minorHAnsi" w:hAnsiTheme="minorHAnsi" w:cstheme="minorHAnsi"/>
          <w:sz w:val="16"/>
          <w:szCs w:val="16"/>
        </w:rPr>
        <w:t>i</w:t>
      </w:r>
      <w:r w:rsidRPr="00E474F0">
        <w:rPr>
          <w:rFonts w:asciiTheme="minorHAnsi" w:hAnsiTheme="minorHAnsi" w:cstheme="minorHAnsi"/>
          <w:sz w:val="16"/>
          <w:szCs w:val="16"/>
        </w:rPr>
        <w:t xml:space="preserve">ron (Fe), </w:t>
      </w:r>
      <w:r w:rsidR="00AB1228">
        <w:rPr>
          <w:rFonts w:asciiTheme="minorHAnsi" w:hAnsiTheme="minorHAnsi" w:cstheme="minorHAnsi"/>
          <w:sz w:val="16"/>
          <w:szCs w:val="16"/>
        </w:rPr>
        <w:t>z</w:t>
      </w:r>
      <w:r w:rsidRPr="00E474F0">
        <w:rPr>
          <w:rFonts w:asciiTheme="minorHAnsi" w:hAnsiTheme="minorHAnsi" w:cstheme="minorHAnsi"/>
          <w:sz w:val="16"/>
          <w:szCs w:val="16"/>
        </w:rPr>
        <w:t xml:space="preserve">inc (Zn), </w:t>
      </w:r>
      <w:r w:rsidR="00AB1228">
        <w:rPr>
          <w:rFonts w:asciiTheme="minorHAnsi" w:hAnsiTheme="minorHAnsi" w:cstheme="minorHAnsi"/>
          <w:sz w:val="16"/>
          <w:szCs w:val="16"/>
        </w:rPr>
        <w:t>u</w:t>
      </w:r>
      <w:r w:rsidRPr="00E474F0">
        <w:rPr>
          <w:rFonts w:asciiTheme="minorHAnsi" w:hAnsiTheme="minorHAnsi" w:cstheme="minorHAnsi"/>
          <w:sz w:val="16"/>
          <w:szCs w:val="16"/>
        </w:rPr>
        <w:t xml:space="preserve">ranium (U), </w:t>
      </w:r>
      <w:r w:rsidR="00AB1228">
        <w:rPr>
          <w:rFonts w:asciiTheme="minorHAnsi" w:hAnsiTheme="minorHAnsi" w:cstheme="minorHAnsi"/>
          <w:sz w:val="16"/>
          <w:szCs w:val="16"/>
        </w:rPr>
        <w:t>v</w:t>
      </w:r>
      <w:r w:rsidRPr="00E474F0">
        <w:rPr>
          <w:rFonts w:asciiTheme="minorHAnsi" w:hAnsiTheme="minorHAnsi" w:cstheme="minorHAnsi"/>
          <w:sz w:val="16"/>
          <w:szCs w:val="16"/>
        </w:rPr>
        <w:t xml:space="preserve">anadium (V), </w:t>
      </w:r>
      <w:r w:rsidR="00AB1228">
        <w:rPr>
          <w:rFonts w:asciiTheme="minorHAnsi" w:hAnsiTheme="minorHAnsi" w:cstheme="minorHAnsi"/>
          <w:sz w:val="16"/>
          <w:szCs w:val="16"/>
        </w:rPr>
        <w:t>z</w:t>
      </w:r>
      <w:r w:rsidRPr="00E474F0">
        <w:rPr>
          <w:rFonts w:asciiTheme="minorHAnsi" w:hAnsiTheme="minorHAnsi" w:cstheme="minorHAnsi"/>
          <w:sz w:val="16"/>
          <w:szCs w:val="16"/>
        </w:rPr>
        <w:t xml:space="preserve">irconium (Zr) and </w:t>
      </w:r>
      <w:r w:rsidR="00AB1228">
        <w:rPr>
          <w:rFonts w:asciiTheme="minorHAnsi" w:hAnsiTheme="minorHAnsi" w:cstheme="minorHAnsi"/>
          <w:sz w:val="16"/>
          <w:szCs w:val="16"/>
        </w:rPr>
        <w:t>s</w:t>
      </w:r>
      <w:r w:rsidRPr="00E474F0">
        <w:rPr>
          <w:rFonts w:asciiTheme="minorHAnsi" w:hAnsiTheme="minorHAnsi" w:cstheme="minorHAnsi"/>
          <w:sz w:val="16"/>
          <w:szCs w:val="16"/>
        </w:rPr>
        <w:t>trontium (Sr).</w:t>
      </w:r>
    </w:p>
    <w:p w14:paraId="6E573220" w14:textId="77777777" w:rsidR="00B265FC" w:rsidRPr="00595884" w:rsidRDefault="00B265FC" w:rsidP="007451D2">
      <w:pPr>
        <w:spacing w:before="0" w:after="0" w:line="240" w:lineRule="auto"/>
      </w:pPr>
    </w:p>
    <w:p w14:paraId="51C0587F" w14:textId="77777777" w:rsidR="00C246CB" w:rsidRPr="00595884" w:rsidRDefault="00C246CB" w:rsidP="00E5124B">
      <w:pPr>
        <w:sectPr w:rsidR="00C246CB" w:rsidRPr="00595884" w:rsidSect="00C246CB">
          <w:headerReference w:type="default" r:id="rId36"/>
          <w:pgSz w:w="16838" w:h="11906" w:orient="landscape"/>
          <w:pgMar w:top="1588" w:right="1588" w:bottom="1418" w:left="1418" w:header="680" w:footer="709" w:gutter="0"/>
          <w:cols w:space="708"/>
          <w:docGrid w:linePitch="360"/>
        </w:sectPr>
      </w:pPr>
    </w:p>
    <w:p w14:paraId="2B1166AB" w14:textId="18685B00" w:rsidR="00776E9C" w:rsidRPr="00595884" w:rsidRDefault="00274BC6" w:rsidP="00D95B6A">
      <w:pPr>
        <w:pStyle w:val="Heading2"/>
      </w:pPr>
      <w:bookmarkStart w:id="350" w:name="_Toc106811145"/>
      <w:r w:rsidRPr="00595884">
        <w:t>Assessment</w:t>
      </w:r>
      <w:r w:rsidR="005B2629" w:rsidRPr="00595884">
        <w:t xml:space="preserve"> </w:t>
      </w:r>
      <w:r w:rsidR="00343A55">
        <w:t>of the certainty in the body of evidence</w:t>
      </w:r>
      <w:bookmarkEnd w:id="350"/>
    </w:p>
    <w:p w14:paraId="7A155EA2" w14:textId="670184F4" w:rsidR="00776E9C" w:rsidRPr="00595884" w:rsidRDefault="00274BC6" w:rsidP="00776E9C">
      <w:pPr>
        <w:pStyle w:val="Heading3"/>
      </w:pPr>
      <w:bookmarkStart w:id="351" w:name="_Toc71621667"/>
      <w:bookmarkStart w:id="352" w:name="_Toc106811146"/>
      <w:proofErr w:type="spellStart"/>
      <w:r>
        <w:t>F</w:t>
      </w:r>
      <w:r w:rsidRPr="00595884">
        <w:t>rading</w:t>
      </w:r>
      <w:proofErr w:type="spellEnd"/>
      <w:r>
        <w:t xml:space="preserve"> the</w:t>
      </w:r>
      <w:r w:rsidRPr="00595884">
        <w:t xml:space="preserve"> certainty of evidence</w:t>
      </w:r>
      <w:bookmarkEnd w:id="351"/>
      <w:r w:rsidRPr="00595884">
        <w:t xml:space="preserve"> of </w:t>
      </w:r>
      <w:r w:rsidR="00E1386E">
        <w:t>p</w:t>
      </w:r>
      <w:r w:rsidR="00F03193" w:rsidRPr="00595884">
        <w:t xml:space="preserve">rimary </w:t>
      </w:r>
      <w:r w:rsidR="00E1386E">
        <w:t>s</w:t>
      </w:r>
      <w:r w:rsidR="00F03193" w:rsidRPr="00595884">
        <w:t>tudies</w:t>
      </w:r>
      <w:bookmarkEnd w:id="352"/>
    </w:p>
    <w:p w14:paraId="1FFA88F2" w14:textId="275A76C5" w:rsidR="00343A55" w:rsidRDefault="00274BC6" w:rsidP="00C246CB">
      <w:r w:rsidRPr="00343A55">
        <w:t xml:space="preserve">As described in the research protocol (O’Connor, 2020), a process based on the OHAT approach to using the GRADE framework was used to assess the certainty of the body of evidence for the </w:t>
      </w:r>
      <w:r>
        <w:t>three</w:t>
      </w:r>
      <w:r w:rsidRPr="00343A55">
        <w:t xml:space="preserve"> primary studies used to answer the primary research question (OHAT, 2019).</w:t>
      </w:r>
      <w:r w:rsidR="00866525">
        <w:t xml:space="preserve"> As </w:t>
      </w:r>
      <w:proofErr w:type="gramStart"/>
      <w:r w:rsidR="00866525">
        <w:t>all of</w:t>
      </w:r>
      <w:proofErr w:type="gramEnd"/>
      <w:r w:rsidR="00866525">
        <w:t xml:space="preserve"> these studies had been assessed as qualitative studies, there were combined into a single evidence stream.</w:t>
      </w:r>
    </w:p>
    <w:p w14:paraId="73902C3F" w14:textId="12D817E6" w:rsidR="00343A55" w:rsidRDefault="00274BC6" w:rsidP="00343A55">
      <w:pPr>
        <w:rPr>
          <w:szCs w:val="20"/>
        </w:rPr>
      </w:pPr>
      <w:r>
        <w:rPr>
          <w:szCs w:val="20"/>
        </w:rPr>
        <w:t xml:space="preserve">As noted in Section </w:t>
      </w:r>
      <w:r>
        <w:rPr>
          <w:szCs w:val="20"/>
        </w:rPr>
        <w:fldChar w:fldCharType="begin"/>
      </w:r>
      <w:r>
        <w:rPr>
          <w:szCs w:val="20"/>
        </w:rPr>
        <w:instrText xml:space="preserve"> REF _Ref72251235 \r \h </w:instrText>
      </w:r>
      <w:r>
        <w:rPr>
          <w:szCs w:val="20"/>
        </w:rPr>
      </w:r>
      <w:r>
        <w:rPr>
          <w:szCs w:val="20"/>
        </w:rPr>
        <w:fldChar w:fldCharType="separate"/>
      </w:r>
      <w:r w:rsidR="003132AF">
        <w:rPr>
          <w:szCs w:val="20"/>
        </w:rPr>
        <w:t>2.3.2</w:t>
      </w:r>
      <w:r>
        <w:rPr>
          <w:szCs w:val="20"/>
        </w:rPr>
        <w:fldChar w:fldCharType="end"/>
      </w:r>
      <w:r>
        <w:rPr>
          <w:szCs w:val="20"/>
        </w:rPr>
        <w:t>, at the direction of the Committee,</w:t>
      </w:r>
      <w:r w:rsidRPr="00595884">
        <w:rPr>
          <w:szCs w:val="20"/>
        </w:rPr>
        <w:t xml:space="preserve"> secondary research questions </w:t>
      </w:r>
      <w:r>
        <w:rPr>
          <w:szCs w:val="20"/>
        </w:rPr>
        <w:t>were</w:t>
      </w:r>
      <w:r w:rsidRPr="00595884">
        <w:rPr>
          <w:szCs w:val="20"/>
        </w:rPr>
        <w:t xml:space="preserve"> addressed through the review of existing guid</w:t>
      </w:r>
      <w:r>
        <w:rPr>
          <w:szCs w:val="20"/>
        </w:rPr>
        <w:t>elines</w:t>
      </w:r>
      <w:r w:rsidRPr="00595884">
        <w:rPr>
          <w:szCs w:val="20"/>
        </w:rPr>
        <w:t xml:space="preserve"> </w:t>
      </w:r>
      <w:r>
        <w:rPr>
          <w:szCs w:val="20"/>
        </w:rPr>
        <w:t xml:space="preserve">and reviews only, </w:t>
      </w:r>
      <w:r w:rsidRPr="00595884">
        <w:rPr>
          <w:szCs w:val="20"/>
        </w:rPr>
        <w:t>rather than th</w:t>
      </w:r>
      <w:r>
        <w:rPr>
          <w:szCs w:val="20"/>
        </w:rPr>
        <w:t>r</w:t>
      </w:r>
      <w:r w:rsidRPr="00595884">
        <w:rPr>
          <w:szCs w:val="20"/>
        </w:rPr>
        <w:t>ough review of the primary studies</w:t>
      </w:r>
      <w:r>
        <w:rPr>
          <w:szCs w:val="20"/>
        </w:rPr>
        <w:t xml:space="preserve"> and thus were not included in the GRADE assessment.</w:t>
      </w:r>
    </w:p>
    <w:p w14:paraId="318E1518" w14:textId="77777777" w:rsidR="00866525" w:rsidRPr="00866525" w:rsidRDefault="00274BC6" w:rsidP="00866525">
      <w:pPr>
        <w:rPr>
          <w:b/>
        </w:rPr>
      </w:pPr>
      <w:r w:rsidRPr="00866525">
        <w:rPr>
          <w:b/>
        </w:rPr>
        <w:t>Initial confidence ratings</w:t>
      </w:r>
    </w:p>
    <w:p w14:paraId="32CBF583" w14:textId="70A735B0" w:rsidR="00866525" w:rsidRPr="00866525" w:rsidRDefault="00274BC6" w:rsidP="00866525">
      <w:r>
        <w:t>The</w:t>
      </w:r>
      <w:r w:rsidRPr="00866525">
        <w:t xml:space="preserve"> evidence stream was assigned an initial certainty rating </w:t>
      </w:r>
      <w:proofErr w:type="gramStart"/>
      <w:r w:rsidRPr="00866525">
        <w:t>similar to</w:t>
      </w:r>
      <w:proofErr w:type="gramEnd"/>
      <w:r w:rsidRPr="00866525">
        <w:t xml:space="preserve"> that described in the OHAT Handbook (OHAT, 2019). </w:t>
      </w:r>
      <w:r>
        <w:t>Qualitative studies were given the same initial rating as o</w:t>
      </w:r>
      <w:r w:rsidRPr="00F36A1E">
        <w:t xml:space="preserve">bservational studies </w:t>
      </w:r>
      <w:r>
        <w:t>(“</w:t>
      </w:r>
      <w:r w:rsidRPr="00F36A1E">
        <w:t>low certainty</w:t>
      </w:r>
      <w:r>
        <w:t>”)</w:t>
      </w:r>
      <w:r w:rsidRPr="00F36A1E">
        <w:t>.</w:t>
      </w:r>
    </w:p>
    <w:p w14:paraId="55967A7B" w14:textId="77777777" w:rsidR="00866525" w:rsidRPr="00866525" w:rsidRDefault="00274BC6" w:rsidP="00866525">
      <w:pPr>
        <w:rPr>
          <w:b/>
        </w:rPr>
      </w:pPr>
      <w:r w:rsidRPr="00866525">
        <w:rPr>
          <w:b/>
        </w:rPr>
        <w:t>Risk of bias</w:t>
      </w:r>
    </w:p>
    <w:p w14:paraId="08E59D00" w14:textId="77777777" w:rsidR="00866525" w:rsidRPr="00866525" w:rsidRDefault="00274BC6" w:rsidP="00866525">
      <w:r w:rsidRPr="00866525">
        <w:t xml:space="preserve">While none of the studies reviewed were designed as randomised control trials or similar clinical trials, there was a general low risk of bias across the included studies. </w:t>
      </w:r>
    </w:p>
    <w:p w14:paraId="6BC4B415" w14:textId="77777777" w:rsidR="00866525" w:rsidRPr="00866525" w:rsidRDefault="00274BC6" w:rsidP="00866525">
      <w:pPr>
        <w:rPr>
          <w:b/>
        </w:rPr>
      </w:pPr>
      <w:r w:rsidRPr="00866525">
        <w:rPr>
          <w:b/>
        </w:rPr>
        <w:t>Unexplained inconsistency</w:t>
      </w:r>
    </w:p>
    <w:p w14:paraId="743D7479" w14:textId="77777777" w:rsidR="00866525" w:rsidRPr="00866525" w:rsidRDefault="00274BC6" w:rsidP="00866525">
      <w:r w:rsidRPr="00866525">
        <w:t>A large amount of heterogeneity was observed across the body of evidence; however, this can be explained by the inconsistent nature of the exposure scenarios for recreational water exposure (different recreational water exposures, durations, locations and types) and study designs. This resulted in a rating of ‘not serious’ across all study types and outcomes.</w:t>
      </w:r>
    </w:p>
    <w:p w14:paraId="74AA470E" w14:textId="77777777" w:rsidR="00866525" w:rsidRPr="00866525" w:rsidRDefault="00274BC6" w:rsidP="00866525">
      <w:pPr>
        <w:rPr>
          <w:b/>
        </w:rPr>
      </w:pPr>
      <w:r w:rsidRPr="00866525">
        <w:rPr>
          <w:b/>
        </w:rPr>
        <w:t>Indirectness</w:t>
      </w:r>
    </w:p>
    <w:p w14:paraId="4374E317" w14:textId="4B63C3CC" w:rsidR="00866525" w:rsidRPr="00866525" w:rsidRDefault="00274BC6" w:rsidP="00866525">
      <w:r w:rsidRPr="00866525">
        <w:t>Most of the included studies were relevant to the primary research question and the populations and recreational exposure types could be assessed for Australian settings. This resulted in a rating of ‘not serious’.</w:t>
      </w:r>
    </w:p>
    <w:p w14:paraId="7638BEB2" w14:textId="77777777" w:rsidR="00866525" w:rsidRPr="00866525" w:rsidRDefault="00274BC6" w:rsidP="00866525">
      <w:pPr>
        <w:rPr>
          <w:b/>
        </w:rPr>
      </w:pPr>
      <w:r w:rsidRPr="00866525">
        <w:rPr>
          <w:b/>
        </w:rPr>
        <w:t>Imprecision</w:t>
      </w:r>
    </w:p>
    <w:p w14:paraId="79F8AE98" w14:textId="77777777" w:rsidR="00866525" w:rsidRPr="00866525" w:rsidRDefault="00274BC6" w:rsidP="00866525">
      <w:r w:rsidRPr="00866525">
        <w:t>Reasonable efforts were made to assess the statistical significance of the findings across the body of evidence. This resulted in a rating of ‘not serious’ across all study types.</w:t>
      </w:r>
    </w:p>
    <w:p w14:paraId="544EE7D7" w14:textId="77777777" w:rsidR="00866525" w:rsidRPr="00866525" w:rsidRDefault="00274BC6" w:rsidP="00866525">
      <w:pPr>
        <w:rPr>
          <w:b/>
        </w:rPr>
      </w:pPr>
      <w:r w:rsidRPr="00866525">
        <w:rPr>
          <w:b/>
        </w:rPr>
        <w:t>Publication bias</w:t>
      </w:r>
    </w:p>
    <w:p w14:paraId="72210F39" w14:textId="0674C0D1" w:rsidR="00866525" w:rsidRPr="00866525" w:rsidRDefault="00274BC6" w:rsidP="00866525">
      <w:r w:rsidRPr="00866525">
        <w:t>Publication bias was not detected.</w:t>
      </w:r>
    </w:p>
    <w:p w14:paraId="79520207" w14:textId="77777777" w:rsidR="00866525" w:rsidRPr="00866525" w:rsidRDefault="00274BC6" w:rsidP="00866525">
      <w:pPr>
        <w:rPr>
          <w:b/>
        </w:rPr>
      </w:pPr>
      <w:r w:rsidRPr="00866525">
        <w:rPr>
          <w:b/>
        </w:rPr>
        <w:t>Reasons for upgrading</w:t>
      </w:r>
    </w:p>
    <w:p w14:paraId="5A24BE5A" w14:textId="77777777" w:rsidR="00866525" w:rsidRPr="00866525" w:rsidRDefault="00274BC6" w:rsidP="00866525">
      <w:r w:rsidRPr="00866525">
        <w:t>There was insufficient information to determine if there were any further reasons to upgrade the certainty of the overall body of evidence using the GRADE system.</w:t>
      </w:r>
    </w:p>
    <w:p w14:paraId="26C9DB1C" w14:textId="7197F186" w:rsidR="00866525" w:rsidRPr="00866525" w:rsidRDefault="00274BC6" w:rsidP="00C246CB">
      <w:pPr>
        <w:rPr>
          <w:b/>
        </w:rPr>
      </w:pPr>
      <w:r w:rsidRPr="00866525">
        <w:rPr>
          <w:b/>
        </w:rPr>
        <w:t>Overall certainty rating</w:t>
      </w:r>
    </w:p>
    <w:p w14:paraId="28A5B564" w14:textId="2917EB32" w:rsidR="00866525" w:rsidRDefault="00274BC6" w:rsidP="00C246CB">
      <w:r>
        <w:t>The</w:t>
      </w:r>
      <w:r w:rsidR="003F5609">
        <w:t xml:space="preserve"> GRADE assessment of </w:t>
      </w:r>
      <w:r w:rsidR="003F5609" w:rsidRPr="00795317">
        <w:t xml:space="preserve">the overall quality of the </w:t>
      </w:r>
      <w:r w:rsidR="001F75BD">
        <w:t xml:space="preserve">primary studies body of </w:t>
      </w:r>
      <w:r w:rsidR="003F5609" w:rsidRPr="00795317">
        <w:t xml:space="preserve">evidence </w:t>
      </w:r>
      <w:r>
        <w:t xml:space="preserve">was undertaken for the </w:t>
      </w:r>
      <w:r w:rsidRPr="00795317">
        <w:t>outcome</w:t>
      </w:r>
      <w:r>
        <w:t xml:space="preserve"> identified for the primary research question which was “</w:t>
      </w:r>
      <w:r w:rsidRPr="003F5609">
        <w:t>PECO listed hazard measured in recreational waters</w:t>
      </w:r>
      <w:r>
        <w:t>”</w:t>
      </w:r>
      <w:r w:rsidR="003634B6">
        <w:t xml:space="preserve"> (i.e. the hazards listed in </w:t>
      </w:r>
      <w:r w:rsidR="003634B6">
        <w:fldChar w:fldCharType="begin"/>
      </w:r>
      <w:r w:rsidR="003634B6">
        <w:instrText xml:space="preserve"> REF _Ref71043025 \h </w:instrText>
      </w:r>
      <w:r w:rsidR="003634B6">
        <w:fldChar w:fldCharType="separate"/>
      </w:r>
      <w:r w:rsidR="003132AF" w:rsidRPr="00595884">
        <w:t xml:space="preserve">Table </w:t>
      </w:r>
      <w:r w:rsidR="003132AF">
        <w:rPr>
          <w:noProof/>
        </w:rPr>
        <w:t>2</w:t>
      </w:r>
      <w:r w:rsidR="003132AF">
        <w:noBreakHyphen/>
      </w:r>
      <w:r w:rsidR="003132AF">
        <w:rPr>
          <w:noProof/>
        </w:rPr>
        <w:t>1</w:t>
      </w:r>
      <w:r w:rsidR="003634B6">
        <w:fldChar w:fldCharType="end"/>
      </w:r>
      <w:r w:rsidR="003634B6">
        <w:t>)</w:t>
      </w:r>
      <w:r>
        <w:t>.</w:t>
      </w:r>
    </w:p>
    <w:p w14:paraId="144BAB75" w14:textId="683AD435" w:rsidR="003F5609" w:rsidRDefault="00274BC6" w:rsidP="00C246CB">
      <w:r>
        <w:t xml:space="preserve">The </w:t>
      </w:r>
      <w:r w:rsidR="00866525">
        <w:t>overall certainty rating</w:t>
      </w:r>
      <w:r w:rsidR="001F75BD">
        <w:t xml:space="preserve"> </w:t>
      </w:r>
      <w:r w:rsidR="009E17D3">
        <w:t>was</w:t>
      </w:r>
      <w:r w:rsidR="001F75BD">
        <w:t xml:space="preserve"> “</w:t>
      </w:r>
      <w:r w:rsidR="00866525">
        <w:t>l</w:t>
      </w:r>
      <w:r w:rsidR="001F75BD">
        <w:t xml:space="preserve">ow” </w:t>
      </w:r>
      <w:r w:rsidR="00866525">
        <w:t xml:space="preserve">for the evidence stream of three qualitative studies </w:t>
      </w:r>
      <w:r w:rsidR="001F75BD">
        <w:t>(</w:t>
      </w:r>
      <w:r w:rsidR="001F75BD">
        <w:fldChar w:fldCharType="begin"/>
      </w:r>
      <w:r w:rsidR="001F75BD">
        <w:instrText xml:space="preserve"> REF _Ref72249111 \h </w:instrText>
      </w:r>
      <w:r w:rsidR="001F75BD">
        <w:fldChar w:fldCharType="separate"/>
      </w:r>
      <w:r w:rsidR="003132AF" w:rsidRPr="00595884">
        <w:t xml:space="preserve">Table </w:t>
      </w:r>
      <w:r w:rsidR="003132AF">
        <w:rPr>
          <w:noProof/>
        </w:rPr>
        <w:t>6</w:t>
      </w:r>
      <w:r w:rsidR="003132AF">
        <w:noBreakHyphen/>
      </w:r>
      <w:r w:rsidR="003132AF">
        <w:rPr>
          <w:noProof/>
        </w:rPr>
        <w:t>9</w:t>
      </w:r>
      <w:r w:rsidR="001F75BD">
        <w:fldChar w:fldCharType="end"/>
      </w:r>
      <w:r w:rsidR="001F75BD">
        <w:t>)</w:t>
      </w:r>
      <w:r>
        <w:t xml:space="preserve"> and t</w:t>
      </w:r>
      <w:r w:rsidR="001F75BD">
        <w:t xml:space="preserve">his led to a </w:t>
      </w:r>
      <w:r>
        <w:t>final certainty rating of “</w:t>
      </w:r>
      <w:r w:rsidRPr="00A13D60">
        <w:rPr>
          <w:i/>
          <w:iCs/>
        </w:rPr>
        <w:t>limited confidence in the reported associations</w:t>
      </w:r>
      <w:r>
        <w:t>”</w:t>
      </w:r>
      <w:r w:rsidR="001F75BD">
        <w:t xml:space="preserve">.  </w:t>
      </w:r>
      <w:r w:rsidR="000616E5">
        <w:t xml:space="preserve">This result stems largely from the </w:t>
      </w:r>
      <w:r w:rsidR="009E17D3">
        <w:t xml:space="preserve">very limited number of quality studies that made it through the screening and quality assessment stages of the literature review, as each of the three final studies </w:t>
      </w:r>
      <w:proofErr w:type="gramStart"/>
      <w:r w:rsidR="009E17D3">
        <w:t>was considered to be</w:t>
      </w:r>
      <w:proofErr w:type="gramEnd"/>
      <w:r w:rsidR="009E17D3">
        <w:t xml:space="preserve"> of reasonable quality.  Substantial heterogeneity in study focus and corresponding results was observed, however, such heterogeneity is readily explained due to the different chemical suites studied and the chosen study environments.</w:t>
      </w:r>
      <w:r w:rsidR="00866525">
        <w:t xml:space="preserve"> </w:t>
      </w:r>
      <w:r>
        <w:t xml:space="preserve">None of the factors that </w:t>
      </w:r>
      <w:r w:rsidR="002C2B96">
        <w:t>could influence a change in the grading of certainty of the body of evidence</w:t>
      </w:r>
      <w:r w:rsidR="00540F54">
        <w:t xml:space="preserve"> (</w:t>
      </w:r>
      <w:r w:rsidR="00540F54">
        <w:fldChar w:fldCharType="begin"/>
      </w:r>
      <w:r w:rsidR="00540F54">
        <w:instrText xml:space="preserve"> REF _Ref48215533 \h </w:instrText>
      </w:r>
      <w:r w:rsidR="00540F54">
        <w:fldChar w:fldCharType="separate"/>
      </w:r>
      <w:r w:rsidR="003132AF" w:rsidRPr="00595884">
        <w:t xml:space="preserve">Figure </w:t>
      </w:r>
      <w:r w:rsidR="003132AF">
        <w:rPr>
          <w:noProof/>
        </w:rPr>
        <w:t>2</w:t>
      </w:r>
      <w:r w:rsidR="003132AF" w:rsidRPr="00595884">
        <w:noBreakHyphen/>
      </w:r>
      <w:r w:rsidR="003132AF">
        <w:rPr>
          <w:noProof/>
        </w:rPr>
        <w:t>1</w:t>
      </w:r>
      <w:r w:rsidR="00540F54">
        <w:fldChar w:fldCharType="end"/>
      </w:r>
      <w:r w:rsidR="00540F54">
        <w:t xml:space="preserve">, </w:t>
      </w:r>
      <w:r w:rsidR="00540F54">
        <w:fldChar w:fldCharType="begin"/>
      </w:r>
      <w:r w:rsidR="00540F54">
        <w:instrText xml:space="preserve"> REF _Ref48213891 \h </w:instrText>
      </w:r>
      <w:r w:rsidR="00540F54">
        <w:fldChar w:fldCharType="separate"/>
      </w:r>
      <w:r w:rsidR="003132AF" w:rsidRPr="00595884">
        <w:t xml:space="preserve">Table </w:t>
      </w:r>
      <w:r w:rsidR="003132AF">
        <w:rPr>
          <w:noProof/>
        </w:rPr>
        <w:t>2</w:t>
      </w:r>
      <w:r w:rsidR="003132AF">
        <w:noBreakHyphen/>
      </w:r>
      <w:r w:rsidR="003132AF">
        <w:rPr>
          <w:noProof/>
        </w:rPr>
        <w:t>7</w:t>
      </w:r>
      <w:r w:rsidR="00540F54">
        <w:fldChar w:fldCharType="end"/>
      </w:r>
      <w:r w:rsidR="00540F54">
        <w:t>) were identified (</w:t>
      </w:r>
      <w:r w:rsidR="00540F54">
        <w:fldChar w:fldCharType="begin"/>
      </w:r>
      <w:r w:rsidR="00540F54">
        <w:instrText xml:space="preserve"> REF _Ref72249111 \h </w:instrText>
      </w:r>
      <w:r w:rsidR="00540F54">
        <w:fldChar w:fldCharType="separate"/>
      </w:r>
      <w:r w:rsidR="003132AF" w:rsidRPr="00595884">
        <w:t xml:space="preserve">Table </w:t>
      </w:r>
      <w:r w:rsidR="003132AF">
        <w:rPr>
          <w:noProof/>
        </w:rPr>
        <w:t>6</w:t>
      </w:r>
      <w:r w:rsidR="003132AF">
        <w:noBreakHyphen/>
      </w:r>
      <w:r w:rsidR="003132AF">
        <w:rPr>
          <w:noProof/>
        </w:rPr>
        <w:t>9</w:t>
      </w:r>
      <w:r w:rsidR="00540F54">
        <w:fldChar w:fldCharType="end"/>
      </w:r>
      <w:r w:rsidR="00540F54">
        <w:t>).</w:t>
      </w:r>
    </w:p>
    <w:p w14:paraId="5689B313" w14:textId="77777777" w:rsidR="008F44D2" w:rsidRPr="008F44D2" w:rsidRDefault="008F44D2" w:rsidP="008F44D2">
      <w:pPr>
        <w:rPr>
          <w:bCs/>
        </w:rPr>
      </w:pPr>
      <w:r w:rsidRPr="008F44D2">
        <w:t>It is worth noting that methods and approaches for systematic reviews of environmental health evidence is still an area of research and development, and further modification of the available frameworks and tools is beyond the scope of services required for this review.</w:t>
      </w:r>
      <w:r w:rsidRPr="008F44D2">
        <w:rPr>
          <w:rFonts w:asciiTheme="minorHAnsi" w:eastAsiaTheme="minorHAnsi" w:hAnsiTheme="minorHAnsi" w:cstheme="minorBidi"/>
          <w:bCs/>
          <w:sz w:val="22"/>
          <w:szCs w:val="22"/>
          <w:lang w:eastAsia="en-US"/>
        </w:rPr>
        <w:t xml:space="preserve"> </w:t>
      </w:r>
      <w:r w:rsidRPr="008F44D2">
        <w:rPr>
          <w:bCs/>
        </w:rPr>
        <w:t>Further analysis and evaluation of the primary studies by the Committee can be undertaken if required.</w:t>
      </w:r>
    </w:p>
    <w:p w14:paraId="3F899CAC" w14:textId="77777777" w:rsidR="003634B6" w:rsidRPr="00595884" w:rsidRDefault="003634B6" w:rsidP="00540F54"/>
    <w:p w14:paraId="057F790A" w14:textId="77777777" w:rsidR="00175CB5" w:rsidRPr="00595884" w:rsidRDefault="00175CB5" w:rsidP="00C246CB"/>
    <w:p w14:paraId="7EA86FC2" w14:textId="77777777" w:rsidR="00C246CB" w:rsidRPr="00595884" w:rsidRDefault="00C246CB" w:rsidP="00C246CB">
      <w:pPr>
        <w:sectPr w:rsidR="00C246CB" w:rsidRPr="00595884" w:rsidSect="00C246CB">
          <w:headerReference w:type="default" r:id="rId37"/>
          <w:headerReference w:type="first" r:id="rId38"/>
          <w:pgSz w:w="11906" w:h="16838"/>
          <w:pgMar w:top="1588" w:right="1418" w:bottom="1418" w:left="2835" w:header="680" w:footer="709" w:gutter="0"/>
          <w:cols w:space="708"/>
          <w:docGrid w:linePitch="360"/>
        </w:sectPr>
      </w:pPr>
    </w:p>
    <w:p w14:paraId="4920C741" w14:textId="23AB9796" w:rsidR="00696BCE" w:rsidRPr="00595884" w:rsidRDefault="00274BC6" w:rsidP="004529CC">
      <w:pPr>
        <w:pStyle w:val="Caption"/>
      </w:pPr>
      <w:bookmarkStart w:id="353" w:name="_Ref72249111"/>
      <w:bookmarkStart w:id="354" w:name="_Toc106811183"/>
      <w:r w:rsidRPr="00595884">
        <w:t xml:space="preserve">Table </w:t>
      </w:r>
      <w:r w:rsidR="003132AF">
        <w:fldChar w:fldCharType="begin"/>
      </w:r>
      <w:r w:rsidR="003132AF">
        <w:instrText xml:space="preserve"> STYLEREF 1 \s </w:instrText>
      </w:r>
      <w:r w:rsidR="003132AF">
        <w:fldChar w:fldCharType="separate"/>
      </w:r>
      <w:r w:rsidR="003132AF">
        <w:rPr>
          <w:noProof/>
        </w:rPr>
        <w:t>6</w:t>
      </w:r>
      <w:r w:rsidR="003132AF">
        <w:rPr>
          <w:noProof/>
        </w:rPr>
        <w:fldChar w:fldCharType="end"/>
      </w:r>
      <w:r w:rsidR="00CE064A">
        <w:noBreakHyphen/>
      </w:r>
      <w:r w:rsidR="003132AF">
        <w:fldChar w:fldCharType="begin"/>
      </w:r>
      <w:r w:rsidR="003132AF">
        <w:instrText xml:space="preserve"> SEQ Table \* ARABIC \s 1 </w:instrText>
      </w:r>
      <w:r w:rsidR="003132AF">
        <w:fldChar w:fldCharType="separate"/>
      </w:r>
      <w:r w:rsidR="003132AF">
        <w:rPr>
          <w:noProof/>
        </w:rPr>
        <w:t>9</w:t>
      </w:r>
      <w:r w:rsidR="003132AF">
        <w:rPr>
          <w:noProof/>
        </w:rPr>
        <w:fldChar w:fldCharType="end"/>
      </w:r>
      <w:bookmarkEnd w:id="353"/>
      <w:r w:rsidRPr="00595884">
        <w:t xml:space="preserve">. </w:t>
      </w:r>
      <w:r w:rsidR="001F75BD" w:rsidRPr="00595884">
        <w:t xml:space="preserve">GRADE report </w:t>
      </w:r>
      <w:r w:rsidR="001F75BD">
        <w:t>for p</w:t>
      </w:r>
      <w:r w:rsidRPr="00595884">
        <w:t>resence of significant human health risks due to chemical hazards</w:t>
      </w:r>
      <w:r w:rsidRPr="00595884">
        <w:rPr>
          <w:vertAlign w:val="superscript"/>
        </w:rPr>
        <w:t>#</w:t>
      </w:r>
      <w:r w:rsidRPr="00595884">
        <w:t xml:space="preserve"> in recreational water</w:t>
      </w:r>
      <w:bookmarkEnd w:id="354"/>
    </w:p>
    <w:tbl>
      <w:tblPr>
        <w:tblW w:w="14596" w:type="dxa"/>
        <w:tblLook w:val="04A0" w:firstRow="1" w:lastRow="0" w:firstColumn="1" w:lastColumn="0" w:noHBand="0" w:noVBand="1"/>
      </w:tblPr>
      <w:tblGrid>
        <w:gridCol w:w="1216"/>
        <w:gridCol w:w="1216"/>
        <w:gridCol w:w="1217"/>
        <w:gridCol w:w="1216"/>
        <w:gridCol w:w="1216"/>
        <w:gridCol w:w="1217"/>
        <w:gridCol w:w="1216"/>
        <w:gridCol w:w="1216"/>
        <w:gridCol w:w="1217"/>
        <w:gridCol w:w="1216"/>
        <w:gridCol w:w="1216"/>
        <w:gridCol w:w="1217"/>
      </w:tblGrid>
      <w:tr w:rsidR="004254E5" w14:paraId="00862052" w14:textId="77777777" w:rsidTr="005B6ACD">
        <w:trPr>
          <w:trHeight w:val="612"/>
        </w:trPr>
        <w:tc>
          <w:tcPr>
            <w:tcW w:w="1216" w:type="dxa"/>
            <w:tcBorders>
              <w:top w:val="single" w:sz="4" w:space="0" w:color="B5DDDC"/>
              <w:left w:val="single" w:sz="4" w:space="0" w:color="B5DDDC"/>
              <w:bottom w:val="single" w:sz="4" w:space="0" w:color="B5DDDC"/>
              <w:right w:val="single" w:sz="4" w:space="0" w:color="B5DDDC"/>
            </w:tcBorders>
            <w:shd w:val="clear" w:color="000000" w:fill="B5DDDC"/>
            <w:vAlign w:val="center"/>
            <w:hideMark/>
          </w:tcPr>
          <w:p w14:paraId="1593FB56" w14:textId="1D3237DD" w:rsidR="00CC4DE4" w:rsidRPr="00595884" w:rsidRDefault="00274BC6" w:rsidP="0050769B">
            <w:pPr>
              <w:spacing w:before="0" w:after="0" w:line="240" w:lineRule="auto"/>
              <w:rPr>
                <w:rFonts w:ascii="Calibri" w:hAnsi="Calibri" w:cs="Calibri"/>
                <w:b/>
                <w:bCs/>
                <w:color w:val="008000"/>
                <w:sz w:val="16"/>
                <w:szCs w:val="16"/>
              </w:rPr>
            </w:pPr>
            <w:r>
              <w:rPr>
                <w:rFonts w:ascii="Calibri" w:hAnsi="Calibri" w:cs="Calibri"/>
                <w:b/>
                <w:bCs/>
                <w:color w:val="008000"/>
                <w:sz w:val="16"/>
                <w:szCs w:val="16"/>
              </w:rPr>
              <w:t>Body of evidence</w:t>
            </w:r>
          </w:p>
        </w:tc>
        <w:tc>
          <w:tcPr>
            <w:tcW w:w="1216" w:type="dxa"/>
            <w:tcBorders>
              <w:top w:val="single" w:sz="4" w:space="0" w:color="B5DDDC"/>
              <w:left w:val="nil"/>
              <w:bottom w:val="single" w:sz="4" w:space="0" w:color="B5DDDC"/>
              <w:right w:val="single" w:sz="4" w:space="0" w:color="B5DDDC"/>
            </w:tcBorders>
            <w:shd w:val="clear" w:color="000000" w:fill="B5DDDC"/>
            <w:vAlign w:val="center"/>
            <w:hideMark/>
          </w:tcPr>
          <w:p w14:paraId="35E67923" w14:textId="77777777" w:rsidR="00CC4DE4" w:rsidRPr="00595884" w:rsidRDefault="00274BC6" w:rsidP="0050769B">
            <w:pPr>
              <w:spacing w:before="0" w:after="0" w:line="240" w:lineRule="auto"/>
              <w:rPr>
                <w:rFonts w:ascii="Calibri" w:hAnsi="Calibri" w:cs="Calibri"/>
                <w:b/>
                <w:bCs/>
                <w:color w:val="008000"/>
                <w:sz w:val="16"/>
                <w:szCs w:val="16"/>
              </w:rPr>
            </w:pPr>
            <w:r w:rsidRPr="00595884">
              <w:rPr>
                <w:rFonts w:ascii="Calibri" w:hAnsi="Calibri" w:cs="Calibri"/>
                <w:b/>
                <w:bCs/>
                <w:color w:val="008000"/>
                <w:sz w:val="16"/>
                <w:szCs w:val="16"/>
              </w:rPr>
              <w:t>Risk of bias</w:t>
            </w:r>
          </w:p>
        </w:tc>
        <w:tc>
          <w:tcPr>
            <w:tcW w:w="1217" w:type="dxa"/>
            <w:tcBorders>
              <w:top w:val="single" w:sz="4" w:space="0" w:color="B5DDDC"/>
              <w:left w:val="nil"/>
              <w:bottom w:val="single" w:sz="4" w:space="0" w:color="B5DDDC"/>
              <w:right w:val="single" w:sz="4" w:space="0" w:color="B5DDDC"/>
            </w:tcBorders>
            <w:shd w:val="clear" w:color="000000" w:fill="B5DDDC"/>
            <w:vAlign w:val="center"/>
            <w:hideMark/>
          </w:tcPr>
          <w:p w14:paraId="65C20D67" w14:textId="77777777" w:rsidR="00CC4DE4" w:rsidRPr="00595884" w:rsidRDefault="00274BC6" w:rsidP="0050769B">
            <w:pPr>
              <w:spacing w:before="0" w:after="0" w:line="240" w:lineRule="auto"/>
              <w:rPr>
                <w:rFonts w:ascii="Calibri" w:hAnsi="Calibri" w:cs="Calibri"/>
                <w:b/>
                <w:bCs/>
                <w:color w:val="008000"/>
                <w:sz w:val="16"/>
                <w:szCs w:val="16"/>
              </w:rPr>
            </w:pPr>
            <w:r w:rsidRPr="00595884">
              <w:rPr>
                <w:rFonts w:ascii="Calibri" w:hAnsi="Calibri" w:cs="Calibri"/>
                <w:b/>
                <w:bCs/>
                <w:color w:val="008000"/>
                <w:sz w:val="16"/>
                <w:szCs w:val="16"/>
              </w:rPr>
              <w:t>Unexplained inconsistency</w:t>
            </w:r>
          </w:p>
        </w:tc>
        <w:tc>
          <w:tcPr>
            <w:tcW w:w="1216" w:type="dxa"/>
            <w:tcBorders>
              <w:top w:val="single" w:sz="4" w:space="0" w:color="B5DDDC"/>
              <w:left w:val="nil"/>
              <w:bottom w:val="single" w:sz="4" w:space="0" w:color="B5DDDC"/>
              <w:right w:val="single" w:sz="4" w:space="0" w:color="B5DDDC"/>
            </w:tcBorders>
            <w:shd w:val="clear" w:color="000000" w:fill="B5DDDC"/>
            <w:vAlign w:val="center"/>
            <w:hideMark/>
          </w:tcPr>
          <w:p w14:paraId="60891284" w14:textId="77777777" w:rsidR="00CC4DE4" w:rsidRPr="00595884" w:rsidRDefault="00274BC6" w:rsidP="0050769B">
            <w:pPr>
              <w:spacing w:before="0" w:after="0" w:line="240" w:lineRule="auto"/>
              <w:rPr>
                <w:rFonts w:ascii="Calibri" w:hAnsi="Calibri" w:cs="Calibri"/>
                <w:b/>
                <w:bCs/>
                <w:color w:val="008000"/>
                <w:sz w:val="16"/>
                <w:szCs w:val="16"/>
              </w:rPr>
            </w:pPr>
            <w:r w:rsidRPr="00595884">
              <w:rPr>
                <w:rFonts w:ascii="Calibri" w:hAnsi="Calibri" w:cs="Calibri"/>
                <w:b/>
                <w:bCs/>
                <w:color w:val="008000"/>
                <w:sz w:val="16"/>
                <w:szCs w:val="16"/>
              </w:rPr>
              <w:t>Indirectness</w:t>
            </w:r>
          </w:p>
        </w:tc>
        <w:tc>
          <w:tcPr>
            <w:tcW w:w="1216" w:type="dxa"/>
            <w:tcBorders>
              <w:top w:val="single" w:sz="4" w:space="0" w:color="B5DDDC"/>
              <w:left w:val="nil"/>
              <w:bottom w:val="single" w:sz="4" w:space="0" w:color="B5DDDC"/>
              <w:right w:val="single" w:sz="4" w:space="0" w:color="B5DDDC"/>
            </w:tcBorders>
            <w:shd w:val="clear" w:color="000000" w:fill="B5DDDC"/>
            <w:vAlign w:val="center"/>
            <w:hideMark/>
          </w:tcPr>
          <w:p w14:paraId="05983397" w14:textId="77777777" w:rsidR="00CC4DE4" w:rsidRPr="00595884" w:rsidRDefault="00274BC6" w:rsidP="0050769B">
            <w:pPr>
              <w:spacing w:before="0" w:after="0" w:line="240" w:lineRule="auto"/>
              <w:rPr>
                <w:rFonts w:ascii="Calibri" w:hAnsi="Calibri" w:cs="Calibri"/>
                <w:b/>
                <w:bCs/>
                <w:color w:val="008000"/>
                <w:sz w:val="16"/>
                <w:szCs w:val="16"/>
              </w:rPr>
            </w:pPr>
            <w:r w:rsidRPr="00595884">
              <w:rPr>
                <w:rFonts w:ascii="Calibri" w:hAnsi="Calibri" w:cs="Calibri"/>
                <w:b/>
                <w:bCs/>
                <w:color w:val="008000"/>
                <w:sz w:val="16"/>
                <w:szCs w:val="16"/>
              </w:rPr>
              <w:t>Imprecision</w:t>
            </w:r>
          </w:p>
        </w:tc>
        <w:tc>
          <w:tcPr>
            <w:tcW w:w="1217" w:type="dxa"/>
            <w:tcBorders>
              <w:top w:val="single" w:sz="4" w:space="0" w:color="B5DDDC"/>
              <w:left w:val="nil"/>
              <w:bottom w:val="single" w:sz="4" w:space="0" w:color="B5DDDC"/>
              <w:right w:val="single" w:sz="4" w:space="0" w:color="B5DDDC"/>
            </w:tcBorders>
            <w:shd w:val="clear" w:color="000000" w:fill="B5DDDC"/>
            <w:vAlign w:val="center"/>
            <w:hideMark/>
          </w:tcPr>
          <w:p w14:paraId="3AFFCEF8" w14:textId="77777777" w:rsidR="00CC4DE4" w:rsidRPr="00595884" w:rsidRDefault="00274BC6" w:rsidP="0050769B">
            <w:pPr>
              <w:spacing w:before="0" w:after="0" w:line="240" w:lineRule="auto"/>
              <w:rPr>
                <w:rFonts w:ascii="Calibri" w:hAnsi="Calibri" w:cs="Calibri"/>
                <w:b/>
                <w:bCs/>
                <w:color w:val="008000"/>
                <w:sz w:val="16"/>
                <w:szCs w:val="16"/>
              </w:rPr>
            </w:pPr>
            <w:r w:rsidRPr="00595884">
              <w:rPr>
                <w:rFonts w:ascii="Calibri" w:hAnsi="Calibri" w:cs="Calibri"/>
                <w:b/>
                <w:bCs/>
                <w:color w:val="008000"/>
                <w:sz w:val="16"/>
                <w:szCs w:val="16"/>
              </w:rPr>
              <w:t>Publication bias</w:t>
            </w:r>
          </w:p>
        </w:tc>
        <w:tc>
          <w:tcPr>
            <w:tcW w:w="1216" w:type="dxa"/>
            <w:tcBorders>
              <w:top w:val="single" w:sz="4" w:space="0" w:color="B5DDDC"/>
              <w:left w:val="nil"/>
              <w:bottom w:val="single" w:sz="4" w:space="0" w:color="B5DDDC"/>
              <w:right w:val="single" w:sz="4" w:space="0" w:color="B5DDDC"/>
            </w:tcBorders>
            <w:shd w:val="clear" w:color="000000" w:fill="B5DDDC"/>
            <w:vAlign w:val="center"/>
            <w:hideMark/>
          </w:tcPr>
          <w:p w14:paraId="02B3D2E5" w14:textId="77777777" w:rsidR="00CC4DE4" w:rsidRPr="00595884" w:rsidRDefault="00274BC6" w:rsidP="0050769B">
            <w:pPr>
              <w:spacing w:before="0" w:after="0" w:line="240" w:lineRule="auto"/>
              <w:rPr>
                <w:rFonts w:ascii="Calibri" w:hAnsi="Calibri" w:cs="Calibri"/>
                <w:b/>
                <w:bCs/>
                <w:color w:val="008000"/>
                <w:sz w:val="16"/>
                <w:szCs w:val="16"/>
              </w:rPr>
            </w:pPr>
            <w:r w:rsidRPr="00595884">
              <w:rPr>
                <w:rFonts w:ascii="Calibri" w:hAnsi="Calibri" w:cs="Calibri"/>
                <w:b/>
                <w:bCs/>
                <w:color w:val="008000"/>
                <w:sz w:val="16"/>
                <w:szCs w:val="16"/>
              </w:rPr>
              <w:t>Magnitude of effect</w:t>
            </w:r>
          </w:p>
        </w:tc>
        <w:tc>
          <w:tcPr>
            <w:tcW w:w="1216" w:type="dxa"/>
            <w:tcBorders>
              <w:top w:val="single" w:sz="4" w:space="0" w:color="B5DDDC"/>
              <w:left w:val="nil"/>
              <w:bottom w:val="single" w:sz="4" w:space="0" w:color="B5DDDC"/>
              <w:right w:val="single" w:sz="4" w:space="0" w:color="B5DDDC"/>
            </w:tcBorders>
            <w:shd w:val="clear" w:color="000000" w:fill="B5DDDC"/>
            <w:vAlign w:val="center"/>
            <w:hideMark/>
          </w:tcPr>
          <w:p w14:paraId="47AE43A7" w14:textId="77777777" w:rsidR="00CC4DE4" w:rsidRPr="00595884" w:rsidRDefault="00274BC6" w:rsidP="0050769B">
            <w:pPr>
              <w:spacing w:before="0" w:after="0" w:line="240" w:lineRule="auto"/>
              <w:rPr>
                <w:rFonts w:ascii="Calibri" w:hAnsi="Calibri" w:cs="Calibri"/>
                <w:b/>
                <w:bCs/>
                <w:color w:val="008000"/>
                <w:sz w:val="16"/>
                <w:szCs w:val="16"/>
              </w:rPr>
            </w:pPr>
            <w:r w:rsidRPr="00595884">
              <w:rPr>
                <w:rFonts w:ascii="Calibri" w:hAnsi="Calibri" w:cs="Calibri"/>
                <w:b/>
                <w:bCs/>
                <w:color w:val="008000"/>
                <w:sz w:val="16"/>
                <w:szCs w:val="16"/>
              </w:rPr>
              <w:t>Dose Response</w:t>
            </w:r>
          </w:p>
        </w:tc>
        <w:tc>
          <w:tcPr>
            <w:tcW w:w="1217" w:type="dxa"/>
            <w:tcBorders>
              <w:top w:val="single" w:sz="4" w:space="0" w:color="B5DDDC"/>
              <w:left w:val="nil"/>
              <w:bottom w:val="single" w:sz="4" w:space="0" w:color="B5DDDC"/>
              <w:right w:val="single" w:sz="4" w:space="0" w:color="B5DDDC"/>
            </w:tcBorders>
            <w:shd w:val="clear" w:color="000000" w:fill="B5DDDC"/>
            <w:vAlign w:val="center"/>
            <w:hideMark/>
          </w:tcPr>
          <w:p w14:paraId="03663ACF" w14:textId="77777777" w:rsidR="00CC4DE4" w:rsidRPr="00595884" w:rsidRDefault="00274BC6" w:rsidP="0050769B">
            <w:pPr>
              <w:spacing w:before="0" w:after="0" w:line="240" w:lineRule="auto"/>
              <w:rPr>
                <w:rFonts w:ascii="Calibri" w:hAnsi="Calibri" w:cs="Calibri"/>
                <w:b/>
                <w:bCs/>
                <w:color w:val="008000"/>
                <w:sz w:val="16"/>
                <w:szCs w:val="16"/>
              </w:rPr>
            </w:pPr>
            <w:r w:rsidRPr="00595884">
              <w:rPr>
                <w:rFonts w:ascii="Calibri" w:hAnsi="Calibri" w:cs="Calibri"/>
                <w:b/>
                <w:bCs/>
                <w:color w:val="008000"/>
                <w:sz w:val="16"/>
                <w:szCs w:val="16"/>
              </w:rPr>
              <w:t>Residual confounding</w:t>
            </w:r>
          </w:p>
        </w:tc>
        <w:tc>
          <w:tcPr>
            <w:tcW w:w="1216" w:type="dxa"/>
            <w:tcBorders>
              <w:top w:val="single" w:sz="4" w:space="0" w:color="B5DDDC"/>
              <w:left w:val="nil"/>
              <w:bottom w:val="single" w:sz="4" w:space="0" w:color="B5DDDC"/>
              <w:right w:val="single" w:sz="4" w:space="0" w:color="B5DDDC"/>
            </w:tcBorders>
            <w:shd w:val="clear" w:color="000000" w:fill="B5DDDC"/>
            <w:vAlign w:val="center"/>
            <w:hideMark/>
          </w:tcPr>
          <w:p w14:paraId="03EAD937" w14:textId="77777777" w:rsidR="00CC4DE4" w:rsidRPr="00595884" w:rsidRDefault="00274BC6" w:rsidP="0050769B">
            <w:pPr>
              <w:spacing w:before="0" w:after="0" w:line="240" w:lineRule="auto"/>
              <w:rPr>
                <w:rFonts w:ascii="Calibri" w:hAnsi="Calibri" w:cs="Calibri"/>
                <w:b/>
                <w:bCs/>
                <w:color w:val="008000"/>
                <w:sz w:val="16"/>
                <w:szCs w:val="16"/>
              </w:rPr>
            </w:pPr>
            <w:r w:rsidRPr="00595884">
              <w:rPr>
                <w:rFonts w:ascii="Calibri" w:hAnsi="Calibri" w:cs="Calibri"/>
                <w:b/>
                <w:bCs/>
                <w:color w:val="008000"/>
                <w:sz w:val="16"/>
                <w:szCs w:val="16"/>
              </w:rPr>
              <w:t>Consistency across species/model</w:t>
            </w:r>
          </w:p>
        </w:tc>
        <w:tc>
          <w:tcPr>
            <w:tcW w:w="1216" w:type="dxa"/>
            <w:tcBorders>
              <w:top w:val="single" w:sz="4" w:space="0" w:color="B5DDDC"/>
              <w:left w:val="nil"/>
              <w:bottom w:val="single" w:sz="4" w:space="0" w:color="B5DDDC"/>
              <w:right w:val="single" w:sz="4" w:space="0" w:color="B5DDDC"/>
            </w:tcBorders>
            <w:shd w:val="clear" w:color="000000" w:fill="B5DDDC"/>
            <w:vAlign w:val="center"/>
            <w:hideMark/>
          </w:tcPr>
          <w:p w14:paraId="639BC76E" w14:textId="77777777" w:rsidR="00CC4DE4" w:rsidRPr="00595884" w:rsidRDefault="00274BC6" w:rsidP="0050769B">
            <w:pPr>
              <w:spacing w:before="0" w:after="0" w:line="240" w:lineRule="auto"/>
              <w:rPr>
                <w:rFonts w:ascii="Calibri" w:hAnsi="Calibri" w:cs="Calibri"/>
                <w:b/>
                <w:bCs/>
                <w:color w:val="008000"/>
                <w:sz w:val="16"/>
                <w:szCs w:val="16"/>
              </w:rPr>
            </w:pPr>
            <w:r w:rsidRPr="00595884">
              <w:rPr>
                <w:rFonts w:ascii="Calibri" w:hAnsi="Calibri" w:cs="Calibri"/>
                <w:b/>
                <w:bCs/>
                <w:color w:val="008000"/>
                <w:sz w:val="16"/>
                <w:szCs w:val="16"/>
              </w:rPr>
              <w:t>Other reason to increase confidence?</w:t>
            </w:r>
          </w:p>
        </w:tc>
        <w:tc>
          <w:tcPr>
            <w:tcW w:w="1217" w:type="dxa"/>
            <w:tcBorders>
              <w:top w:val="single" w:sz="4" w:space="0" w:color="B5DDDC"/>
              <w:left w:val="nil"/>
              <w:bottom w:val="single" w:sz="4" w:space="0" w:color="B5DDDC"/>
              <w:right w:val="single" w:sz="4" w:space="0" w:color="B5DDDC"/>
            </w:tcBorders>
            <w:shd w:val="clear" w:color="000000" w:fill="B5DDDC"/>
            <w:vAlign w:val="center"/>
            <w:hideMark/>
          </w:tcPr>
          <w:p w14:paraId="6A3EA67E" w14:textId="77777777" w:rsidR="00CC4DE4" w:rsidRPr="00595884" w:rsidRDefault="00274BC6" w:rsidP="0050769B">
            <w:pPr>
              <w:spacing w:before="0" w:after="0" w:line="240" w:lineRule="auto"/>
              <w:rPr>
                <w:rFonts w:ascii="Calibri" w:hAnsi="Calibri" w:cs="Calibri"/>
                <w:b/>
                <w:bCs/>
                <w:color w:val="008000"/>
                <w:sz w:val="16"/>
                <w:szCs w:val="16"/>
              </w:rPr>
            </w:pPr>
            <w:r w:rsidRPr="00595884">
              <w:rPr>
                <w:rFonts w:ascii="Calibri" w:hAnsi="Calibri" w:cs="Calibri"/>
                <w:b/>
                <w:bCs/>
                <w:color w:val="008000"/>
                <w:sz w:val="16"/>
                <w:szCs w:val="16"/>
              </w:rPr>
              <w:t>Final certainty rating</w:t>
            </w:r>
          </w:p>
        </w:tc>
      </w:tr>
      <w:tr w:rsidR="005B6ACD" w14:paraId="619DFEA6" w14:textId="77777777" w:rsidTr="005B6ACD">
        <w:trPr>
          <w:trHeight w:val="444"/>
        </w:trPr>
        <w:tc>
          <w:tcPr>
            <w:tcW w:w="1216" w:type="dxa"/>
            <w:tcBorders>
              <w:top w:val="nil"/>
              <w:left w:val="single" w:sz="4" w:space="0" w:color="B5DDDC"/>
              <w:bottom w:val="single" w:sz="4" w:space="0" w:color="B5DDDC"/>
              <w:right w:val="single" w:sz="4" w:space="0" w:color="B5DDDC"/>
            </w:tcBorders>
            <w:shd w:val="clear" w:color="auto" w:fill="D6EAEB"/>
          </w:tcPr>
          <w:p w14:paraId="1C5CF0F3" w14:textId="77777777" w:rsidR="00CC4DE4" w:rsidRPr="00866525" w:rsidRDefault="00274BC6" w:rsidP="00CC4DE4">
            <w:pPr>
              <w:spacing w:before="0" w:after="0" w:line="240" w:lineRule="auto"/>
              <w:rPr>
                <w:rFonts w:ascii="Calibri" w:hAnsi="Calibri" w:cs="Calibri"/>
                <w:bCs/>
                <w:i/>
                <w:color w:val="008000"/>
                <w:sz w:val="16"/>
                <w:szCs w:val="16"/>
              </w:rPr>
            </w:pPr>
            <w:r w:rsidRPr="00866525">
              <w:rPr>
                <w:rFonts w:ascii="Calibri" w:hAnsi="Calibri" w:cs="Calibri"/>
                <w:bCs/>
                <w:i/>
                <w:color w:val="008000"/>
                <w:sz w:val="16"/>
                <w:szCs w:val="16"/>
              </w:rPr>
              <w:t xml:space="preserve">Evidence </w:t>
            </w:r>
            <w:proofErr w:type="gramStart"/>
            <w:r w:rsidRPr="00866525">
              <w:rPr>
                <w:rFonts w:ascii="Calibri" w:hAnsi="Calibri" w:cs="Calibri"/>
                <w:bCs/>
                <w:i/>
                <w:color w:val="008000"/>
                <w:sz w:val="16"/>
                <w:szCs w:val="16"/>
              </w:rPr>
              <w:t>stream</w:t>
            </w:r>
            <w:proofErr w:type="gramEnd"/>
            <w:r w:rsidRPr="00866525">
              <w:rPr>
                <w:rFonts w:ascii="Calibri" w:hAnsi="Calibri" w:cs="Calibri"/>
                <w:bCs/>
                <w:i/>
                <w:color w:val="008000"/>
                <w:sz w:val="16"/>
                <w:szCs w:val="16"/>
              </w:rPr>
              <w:t xml:space="preserve"> or study type (# studies)</w:t>
            </w:r>
          </w:p>
          <w:p w14:paraId="34944DE7" w14:textId="77777777" w:rsidR="00CC4DE4" w:rsidRPr="00866525" w:rsidRDefault="00CC4DE4" w:rsidP="009F5A77">
            <w:pPr>
              <w:spacing w:before="0" w:after="0" w:line="240" w:lineRule="auto"/>
              <w:rPr>
                <w:rFonts w:ascii="Calibri" w:hAnsi="Calibri" w:cs="Calibri"/>
                <w:bCs/>
                <w:i/>
                <w:color w:val="008000"/>
                <w:sz w:val="16"/>
                <w:szCs w:val="16"/>
              </w:rPr>
            </w:pPr>
          </w:p>
          <w:p w14:paraId="387D7687" w14:textId="77777777" w:rsidR="00CC4DE4" w:rsidRPr="00866525" w:rsidRDefault="00274BC6" w:rsidP="009F5A77">
            <w:pPr>
              <w:spacing w:before="0" w:after="0" w:line="240" w:lineRule="auto"/>
              <w:rPr>
                <w:rFonts w:ascii="Calibri" w:hAnsi="Calibri" w:cs="Calibri"/>
                <w:bCs/>
                <w:i/>
                <w:color w:val="008000"/>
                <w:sz w:val="16"/>
                <w:szCs w:val="16"/>
              </w:rPr>
            </w:pPr>
            <w:r w:rsidRPr="00866525">
              <w:rPr>
                <w:rFonts w:ascii="Calibri" w:hAnsi="Calibri" w:cs="Calibri"/>
                <w:bCs/>
                <w:i/>
                <w:color w:val="008000"/>
                <w:sz w:val="16"/>
                <w:szCs w:val="16"/>
              </w:rPr>
              <w:t>Initial certainty rating</w:t>
            </w:r>
          </w:p>
          <w:p w14:paraId="64A2BBC0" w14:textId="4038EA31" w:rsidR="00CC4DE4" w:rsidRPr="00595884" w:rsidRDefault="00274BC6" w:rsidP="00CF3426">
            <w:pPr>
              <w:spacing w:before="0" w:after="0" w:line="240" w:lineRule="auto"/>
              <w:rPr>
                <w:rFonts w:ascii="Calibri" w:hAnsi="Calibri" w:cs="Calibri"/>
                <w:color w:val="000000"/>
                <w:sz w:val="16"/>
                <w:szCs w:val="16"/>
              </w:rPr>
            </w:pPr>
            <w:r w:rsidRPr="00866525">
              <w:rPr>
                <w:rFonts w:ascii="Calibri" w:hAnsi="Calibri" w:cs="Calibri"/>
                <w:bCs/>
                <w:i/>
                <w:color w:val="008000"/>
                <w:sz w:val="16"/>
                <w:szCs w:val="16"/>
              </w:rPr>
              <w:t>(OHAT,2019)</w:t>
            </w:r>
          </w:p>
        </w:tc>
        <w:tc>
          <w:tcPr>
            <w:tcW w:w="1216" w:type="dxa"/>
            <w:tcBorders>
              <w:top w:val="nil"/>
              <w:left w:val="nil"/>
              <w:bottom w:val="single" w:sz="4" w:space="0" w:color="B5DDDC"/>
              <w:right w:val="single" w:sz="4" w:space="0" w:color="B5DDDC"/>
            </w:tcBorders>
            <w:shd w:val="clear" w:color="auto" w:fill="D6EAEB"/>
          </w:tcPr>
          <w:p w14:paraId="0E75F719" w14:textId="77777777" w:rsidR="00CC4DE4" w:rsidRPr="00CC4DE4" w:rsidRDefault="00274BC6" w:rsidP="00CF3426">
            <w:pPr>
              <w:spacing w:before="0" w:after="0" w:line="240" w:lineRule="auto"/>
              <w:rPr>
                <w:rFonts w:ascii="Calibri" w:hAnsi="Calibri" w:cs="Calibri"/>
                <w:bCs/>
                <w:i/>
                <w:color w:val="008000"/>
                <w:sz w:val="16"/>
                <w:szCs w:val="16"/>
              </w:rPr>
            </w:pPr>
            <w:r w:rsidRPr="00CC4DE4">
              <w:rPr>
                <w:rFonts w:ascii="Calibri" w:hAnsi="Calibri" w:cs="Calibri"/>
                <w:bCs/>
                <w:i/>
                <w:color w:val="008000"/>
                <w:sz w:val="16"/>
                <w:szCs w:val="16"/>
              </w:rPr>
              <w:t>Serious, not serious, unknown</w:t>
            </w:r>
          </w:p>
          <w:p w14:paraId="5E953A98" w14:textId="77777777" w:rsidR="00CC4DE4" w:rsidRPr="00CC4DE4" w:rsidRDefault="00CC4DE4" w:rsidP="008B7776">
            <w:pPr>
              <w:spacing w:before="0" w:after="0" w:line="240" w:lineRule="auto"/>
              <w:rPr>
                <w:rFonts w:ascii="Calibri" w:hAnsi="Calibri" w:cs="Calibri"/>
                <w:bCs/>
                <w:color w:val="008000"/>
                <w:sz w:val="16"/>
                <w:szCs w:val="16"/>
              </w:rPr>
            </w:pPr>
          </w:p>
          <w:p w14:paraId="550EB8C0" w14:textId="1DF5C21F" w:rsidR="00CC4DE4" w:rsidRPr="00595884" w:rsidRDefault="00274BC6">
            <w:pPr>
              <w:spacing w:before="0" w:after="0" w:line="240" w:lineRule="auto"/>
              <w:rPr>
                <w:rFonts w:ascii="Calibri" w:hAnsi="Calibri" w:cs="Calibri"/>
                <w:color w:val="000000"/>
                <w:sz w:val="16"/>
                <w:szCs w:val="16"/>
              </w:rPr>
            </w:pPr>
            <w:r w:rsidRPr="00CC4DE4">
              <w:rPr>
                <w:rFonts w:ascii="Calibri" w:hAnsi="Calibri" w:cs="Calibri"/>
                <w:bCs/>
                <w:color w:val="008000"/>
                <w:sz w:val="16"/>
                <w:szCs w:val="16"/>
              </w:rPr>
              <w:t>Describe trends, key questions, issues</w:t>
            </w:r>
          </w:p>
        </w:tc>
        <w:tc>
          <w:tcPr>
            <w:tcW w:w="1217" w:type="dxa"/>
            <w:tcBorders>
              <w:top w:val="nil"/>
              <w:left w:val="nil"/>
              <w:bottom w:val="single" w:sz="4" w:space="0" w:color="B5DDDC"/>
              <w:right w:val="single" w:sz="4" w:space="0" w:color="B5DDDC"/>
            </w:tcBorders>
            <w:shd w:val="clear" w:color="auto" w:fill="D6EAEB"/>
          </w:tcPr>
          <w:p w14:paraId="1C895739" w14:textId="77777777" w:rsidR="00CC4DE4" w:rsidRPr="00CC4DE4" w:rsidRDefault="00274BC6">
            <w:pPr>
              <w:spacing w:before="0" w:after="0" w:line="240" w:lineRule="auto"/>
              <w:rPr>
                <w:rFonts w:ascii="Calibri" w:hAnsi="Calibri" w:cs="Calibri"/>
                <w:bCs/>
                <w:i/>
                <w:color w:val="008000"/>
                <w:sz w:val="16"/>
                <w:szCs w:val="16"/>
              </w:rPr>
            </w:pPr>
            <w:r w:rsidRPr="00CC4DE4">
              <w:rPr>
                <w:rFonts w:ascii="Calibri" w:hAnsi="Calibri" w:cs="Calibri"/>
                <w:bCs/>
                <w:i/>
                <w:color w:val="008000"/>
                <w:sz w:val="16"/>
                <w:szCs w:val="16"/>
              </w:rPr>
              <w:t>Serious, not serious, not applicable (NA)</w:t>
            </w:r>
          </w:p>
          <w:p w14:paraId="5BE3ED1D" w14:textId="77777777" w:rsidR="00CC4DE4" w:rsidRPr="00CC4DE4" w:rsidRDefault="00CC4DE4">
            <w:pPr>
              <w:spacing w:before="0" w:after="0" w:line="240" w:lineRule="auto"/>
              <w:rPr>
                <w:rFonts w:ascii="Calibri" w:hAnsi="Calibri" w:cs="Calibri"/>
                <w:bCs/>
                <w:color w:val="008000"/>
                <w:sz w:val="16"/>
                <w:szCs w:val="16"/>
              </w:rPr>
            </w:pPr>
          </w:p>
          <w:p w14:paraId="30D27318" w14:textId="520C4F58" w:rsidR="00CC4DE4" w:rsidRPr="00595884" w:rsidRDefault="00274BC6">
            <w:pPr>
              <w:spacing w:before="0" w:after="0" w:line="240" w:lineRule="auto"/>
              <w:rPr>
                <w:rFonts w:ascii="Calibri" w:hAnsi="Calibri" w:cs="Calibri"/>
                <w:color w:val="000000"/>
                <w:sz w:val="16"/>
                <w:szCs w:val="16"/>
              </w:rPr>
            </w:pPr>
            <w:r w:rsidRPr="00CC4DE4">
              <w:rPr>
                <w:rFonts w:ascii="Calibri" w:hAnsi="Calibri" w:cs="Calibri"/>
                <w:bCs/>
                <w:color w:val="008000"/>
                <w:sz w:val="16"/>
                <w:szCs w:val="16"/>
              </w:rPr>
              <w:t>Describe results in terms of consistency, explain apparent inconsistency</w:t>
            </w:r>
          </w:p>
        </w:tc>
        <w:tc>
          <w:tcPr>
            <w:tcW w:w="1216" w:type="dxa"/>
            <w:tcBorders>
              <w:top w:val="nil"/>
              <w:left w:val="nil"/>
              <w:bottom w:val="single" w:sz="4" w:space="0" w:color="B5DDDC"/>
              <w:right w:val="single" w:sz="4" w:space="0" w:color="B5DDDC"/>
            </w:tcBorders>
            <w:shd w:val="clear" w:color="auto" w:fill="D6EAEB"/>
          </w:tcPr>
          <w:p w14:paraId="2EA8E5EB" w14:textId="77777777" w:rsidR="00CC4DE4" w:rsidRPr="00CC4DE4" w:rsidRDefault="00274BC6">
            <w:pPr>
              <w:spacing w:before="0" w:after="0" w:line="240" w:lineRule="auto"/>
              <w:rPr>
                <w:rFonts w:ascii="Calibri" w:hAnsi="Calibri" w:cs="Calibri"/>
                <w:bCs/>
                <w:i/>
                <w:color w:val="008000"/>
                <w:sz w:val="16"/>
                <w:szCs w:val="16"/>
              </w:rPr>
            </w:pPr>
            <w:r w:rsidRPr="00CC4DE4">
              <w:rPr>
                <w:rFonts w:ascii="Calibri" w:hAnsi="Calibri" w:cs="Calibri"/>
                <w:bCs/>
                <w:i/>
                <w:color w:val="008000"/>
                <w:sz w:val="16"/>
                <w:szCs w:val="16"/>
              </w:rPr>
              <w:t>Serious or not serious, NA</w:t>
            </w:r>
          </w:p>
          <w:p w14:paraId="20893FD1" w14:textId="77777777" w:rsidR="00CC4DE4" w:rsidRPr="00CC4DE4" w:rsidRDefault="00CC4DE4">
            <w:pPr>
              <w:spacing w:before="0" w:after="0" w:line="240" w:lineRule="auto"/>
              <w:rPr>
                <w:rFonts w:ascii="Calibri" w:hAnsi="Calibri" w:cs="Calibri"/>
                <w:bCs/>
                <w:color w:val="008000"/>
                <w:sz w:val="16"/>
                <w:szCs w:val="16"/>
              </w:rPr>
            </w:pPr>
          </w:p>
          <w:p w14:paraId="4C61E76D" w14:textId="77777777" w:rsidR="00CC4DE4" w:rsidRPr="00CC4DE4" w:rsidRDefault="00274BC6">
            <w:pPr>
              <w:spacing w:before="0" w:after="0" w:line="240" w:lineRule="auto"/>
              <w:rPr>
                <w:rFonts w:ascii="Calibri" w:hAnsi="Calibri" w:cs="Calibri"/>
                <w:bCs/>
                <w:color w:val="008000"/>
                <w:sz w:val="16"/>
                <w:szCs w:val="16"/>
              </w:rPr>
            </w:pPr>
            <w:r w:rsidRPr="00CC4DE4">
              <w:rPr>
                <w:rFonts w:ascii="Calibri" w:hAnsi="Calibri" w:cs="Calibri"/>
                <w:bCs/>
                <w:color w:val="008000"/>
                <w:sz w:val="16"/>
                <w:szCs w:val="16"/>
              </w:rPr>
              <w:t>Discuss use of upstream indicators or populations with less relevance, any</w:t>
            </w:r>
          </w:p>
          <w:p w14:paraId="1496354A" w14:textId="62F82AC5" w:rsidR="00CC4DE4" w:rsidRPr="00595884" w:rsidRDefault="00274BC6">
            <w:pPr>
              <w:spacing w:before="0" w:after="0" w:line="240" w:lineRule="auto"/>
              <w:rPr>
                <w:rFonts w:ascii="Calibri" w:hAnsi="Calibri" w:cs="Calibri"/>
                <w:color w:val="000000"/>
                <w:sz w:val="16"/>
                <w:szCs w:val="16"/>
              </w:rPr>
            </w:pPr>
            <w:r w:rsidRPr="00CC4DE4">
              <w:rPr>
                <w:rFonts w:ascii="Calibri" w:hAnsi="Calibri" w:cs="Calibri"/>
                <w:bCs/>
                <w:color w:val="008000"/>
                <w:sz w:val="16"/>
                <w:szCs w:val="16"/>
              </w:rPr>
              <w:t>time-related exposure considerations</w:t>
            </w:r>
          </w:p>
        </w:tc>
        <w:tc>
          <w:tcPr>
            <w:tcW w:w="1216" w:type="dxa"/>
            <w:tcBorders>
              <w:top w:val="nil"/>
              <w:left w:val="nil"/>
              <w:bottom w:val="single" w:sz="4" w:space="0" w:color="B5DDDC"/>
              <w:right w:val="single" w:sz="4" w:space="0" w:color="B5DDDC"/>
            </w:tcBorders>
            <w:shd w:val="clear" w:color="auto" w:fill="D6EAEB"/>
          </w:tcPr>
          <w:p w14:paraId="24422FB8" w14:textId="77777777" w:rsidR="00CC4DE4" w:rsidRPr="00CC4DE4" w:rsidRDefault="00274BC6">
            <w:pPr>
              <w:spacing w:before="0" w:after="0" w:line="240" w:lineRule="auto"/>
              <w:rPr>
                <w:rFonts w:ascii="Calibri" w:hAnsi="Calibri" w:cs="Calibri"/>
                <w:bCs/>
                <w:i/>
                <w:color w:val="008000"/>
                <w:sz w:val="16"/>
                <w:szCs w:val="16"/>
              </w:rPr>
            </w:pPr>
            <w:r w:rsidRPr="00CC4DE4">
              <w:rPr>
                <w:rFonts w:ascii="Calibri" w:hAnsi="Calibri" w:cs="Calibri"/>
                <w:bCs/>
                <w:i/>
                <w:color w:val="008000"/>
                <w:sz w:val="16"/>
                <w:szCs w:val="16"/>
              </w:rPr>
              <w:t>Serious, not serious, unknown, NA</w:t>
            </w:r>
          </w:p>
          <w:p w14:paraId="1A2D5AAC" w14:textId="77777777" w:rsidR="00CC4DE4" w:rsidRPr="00CC4DE4" w:rsidRDefault="00CC4DE4">
            <w:pPr>
              <w:spacing w:before="0" w:after="0" w:line="240" w:lineRule="auto"/>
              <w:rPr>
                <w:rFonts w:ascii="Calibri" w:hAnsi="Calibri" w:cs="Calibri"/>
                <w:bCs/>
                <w:color w:val="008000"/>
                <w:sz w:val="16"/>
                <w:szCs w:val="16"/>
              </w:rPr>
            </w:pPr>
          </w:p>
          <w:p w14:paraId="61871BFE" w14:textId="58FC2E22" w:rsidR="00CC4DE4" w:rsidRPr="00595884" w:rsidRDefault="00274BC6">
            <w:pPr>
              <w:spacing w:before="0" w:after="0" w:line="240" w:lineRule="auto"/>
              <w:rPr>
                <w:rFonts w:ascii="Calibri" w:hAnsi="Calibri" w:cs="Calibri"/>
                <w:color w:val="000000"/>
                <w:sz w:val="16"/>
                <w:szCs w:val="16"/>
              </w:rPr>
            </w:pPr>
            <w:r w:rsidRPr="00CC4DE4">
              <w:rPr>
                <w:rFonts w:ascii="Calibri" w:hAnsi="Calibri" w:cs="Calibri"/>
                <w:bCs/>
                <w:color w:val="008000"/>
                <w:sz w:val="16"/>
                <w:szCs w:val="16"/>
              </w:rPr>
              <w:t>Discuss ability to distinguish treatment from control, describe confidence intervals (if available)</w:t>
            </w:r>
          </w:p>
        </w:tc>
        <w:tc>
          <w:tcPr>
            <w:tcW w:w="1217" w:type="dxa"/>
            <w:tcBorders>
              <w:top w:val="nil"/>
              <w:left w:val="nil"/>
              <w:bottom w:val="single" w:sz="4" w:space="0" w:color="B5DDDC"/>
              <w:right w:val="single" w:sz="4" w:space="0" w:color="B5DDDC"/>
            </w:tcBorders>
            <w:shd w:val="clear" w:color="auto" w:fill="D6EAEB"/>
          </w:tcPr>
          <w:p w14:paraId="3C142DD5" w14:textId="77777777" w:rsidR="00CC4DE4" w:rsidRPr="00CC4DE4" w:rsidRDefault="00274BC6">
            <w:pPr>
              <w:spacing w:before="0" w:after="0" w:line="240" w:lineRule="auto"/>
              <w:rPr>
                <w:rFonts w:ascii="Calibri" w:hAnsi="Calibri" w:cs="Calibri"/>
                <w:bCs/>
                <w:i/>
                <w:color w:val="008000"/>
                <w:sz w:val="16"/>
                <w:szCs w:val="16"/>
              </w:rPr>
            </w:pPr>
            <w:r w:rsidRPr="00CC4DE4">
              <w:rPr>
                <w:rFonts w:ascii="Calibri" w:hAnsi="Calibri" w:cs="Calibri"/>
                <w:bCs/>
                <w:i/>
                <w:color w:val="008000"/>
                <w:sz w:val="16"/>
                <w:szCs w:val="16"/>
              </w:rPr>
              <w:t>Detected, undetected</w:t>
            </w:r>
          </w:p>
          <w:p w14:paraId="6D2F15D3" w14:textId="77777777" w:rsidR="00CC4DE4" w:rsidRPr="00CC4DE4" w:rsidRDefault="00CC4DE4">
            <w:pPr>
              <w:spacing w:before="0" w:after="0" w:line="240" w:lineRule="auto"/>
              <w:rPr>
                <w:rFonts w:ascii="Calibri" w:hAnsi="Calibri" w:cs="Calibri"/>
                <w:bCs/>
                <w:color w:val="008000"/>
                <w:sz w:val="16"/>
                <w:szCs w:val="16"/>
              </w:rPr>
            </w:pPr>
          </w:p>
          <w:p w14:paraId="1749BD63" w14:textId="42652A80" w:rsidR="00CC4DE4" w:rsidRPr="00595884" w:rsidRDefault="00274BC6">
            <w:pPr>
              <w:spacing w:before="0" w:after="0" w:line="240" w:lineRule="auto"/>
              <w:rPr>
                <w:rFonts w:ascii="Calibri" w:hAnsi="Calibri" w:cs="Calibri"/>
                <w:color w:val="000000"/>
                <w:sz w:val="16"/>
                <w:szCs w:val="16"/>
              </w:rPr>
            </w:pPr>
            <w:r w:rsidRPr="00CC4DE4">
              <w:rPr>
                <w:rFonts w:ascii="Calibri" w:hAnsi="Calibri" w:cs="Calibri"/>
                <w:bCs/>
                <w:color w:val="008000"/>
                <w:sz w:val="16"/>
                <w:szCs w:val="16"/>
              </w:rPr>
              <w:t>Discuss factors that might indicate publication bias (e.g., funding, lag)</w:t>
            </w:r>
          </w:p>
        </w:tc>
        <w:tc>
          <w:tcPr>
            <w:tcW w:w="1216" w:type="dxa"/>
            <w:tcBorders>
              <w:top w:val="nil"/>
              <w:left w:val="nil"/>
              <w:bottom w:val="single" w:sz="4" w:space="0" w:color="B5DDDC"/>
              <w:right w:val="single" w:sz="4" w:space="0" w:color="B5DDDC"/>
            </w:tcBorders>
            <w:shd w:val="clear" w:color="auto" w:fill="D6EAEB"/>
          </w:tcPr>
          <w:p w14:paraId="3F7828AD" w14:textId="77777777" w:rsidR="00CC4DE4" w:rsidRPr="00CC4DE4" w:rsidRDefault="00274BC6">
            <w:pPr>
              <w:spacing w:before="0" w:after="0" w:line="240" w:lineRule="auto"/>
              <w:rPr>
                <w:rFonts w:ascii="Calibri" w:hAnsi="Calibri" w:cs="Calibri"/>
                <w:bCs/>
                <w:i/>
                <w:color w:val="008000"/>
                <w:sz w:val="16"/>
                <w:szCs w:val="16"/>
              </w:rPr>
            </w:pPr>
            <w:r w:rsidRPr="00CC4DE4">
              <w:rPr>
                <w:rFonts w:ascii="Calibri" w:hAnsi="Calibri" w:cs="Calibri"/>
                <w:bCs/>
                <w:i/>
                <w:color w:val="008000"/>
                <w:sz w:val="16"/>
                <w:szCs w:val="16"/>
              </w:rPr>
              <w:t>Large, not large, unknown, NA</w:t>
            </w:r>
          </w:p>
          <w:p w14:paraId="7FBD44DE" w14:textId="77777777" w:rsidR="00CC4DE4" w:rsidRPr="00CC4DE4" w:rsidRDefault="00CC4DE4">
            <w:pPr>
              <w:spacing w:before="0" w:after="0" w:line="240" w:lineRule="auto"/>
              <w:rPr>
                <w:rFonts w:ascii="Calibri" w:hAnsi="Calibri" w:cs="Calibri"/>
                <w:bCs/>
                <w:color w:val="008000"/>
                <w:sz w:val="16"/>
                <w:szCs w:val="16"/>
              </w:rPr>
            </w:pPr>
          </w:p>
          <w:p w14:paraId="02F337D7" w14:textId="1B07F88E" w:rsidR="00CC4DE4" w:rsidRPr="00595884" w:rsidRDefault="00274BC6">
            <w:pPr>
              <w:spacing w:before="0" w:after="0" w:line="240" w:lineRule="auto"/>
              <w:rPr>
                <w:rFonts w:ascii="Calibri" w:hAnsi="Calibri" w:cs="Calibri"/>
                <w:color w:val="000000"/>
                <w:sz w:val="16"/>
                <w:szCs w:val="16"/>
              </w:rPr>
            </w:pPr>
            <w:r w:rsidRPr="00CC4DE4">
              <w:rPr>
                <w:rFonts w:ascii="Calibri" w:hAnsi="Calibri" w:cs="Calibri"/>
                <w:bCs/>
                <w:color w:val="008000"/>
                <w:sz w:val="16"/>
                <w:szCs w:val="16"/>
              </w:rPr>
              <w:t>Describe magnitude of response or strength of association</w:t>
            </w:r>
          </w:p>
        </w:tc>
        <w:tc>
          <w:tcPr>
            <w:tcW w:w="1216" w:type="dxa"/>
            <w:tcBorders>
              <w:top w:val="nil"/>
              <w:left w:val="nil"/>
              <w:bottom w:val="single" w:sz="4" w:space="0" w:color="B5DDDC"/>
              <w:right w:val="single" w:sz="4" w:space="0" w:color="B5DDDC"/>
            </w:tcBorders>
            <w:shd w:val="clear" w:color="auto" w:fill="D6EAEB"/>
          </w:tcPr>
          <w:p w14:paraId="247A53FF" w14:textId="77777777" w:rsidR="00CC4DE4" w:rsidRPr="00CC4DE4" w:rsidRDefault="00274BC6">
            <w:pPr>
              <w:spacing w:before="0" w:after="0" w:line="240" w:lineRule="auto"/>
              <w:rPr>
                <w:rFonts w:ascii="Calibri" w:hAnsi="Calibri" w:cs="Calibri"/>
                <w:bCs/>
                <w:i/>
                <w:color w:val="008000"/>
                <w:sz w:val="16"/>
                <w:szCs w:val="16"/>
              </w:rPr>
            </w:pPr>
            <w:r w:rsidRPr="00CC4DE4">
              <w:rPr>
                <w:rFonts w:ascii="Calibri" w:hAnsi="Calibri" w:cs="Calibri"/>
                <w:bCs/>
                <w:i/>
                <w:color w:val="008000"/>
                <w:sz w:val="16"/>
                <w:szCs w:val="16"/>
              </w:rPr>
              <w:t>Yes, no, unknown</w:t>
            </w:r>
          </w:p>
          <w:p w14:paraId="03F51BD5" w14:textId="77777777" w:rsidR="00CC4DE4" w:rsidRPr="00CC4DE4" w:rsidRDefault="00CC4DE4">
            <w:pPr>
              <w:spacing w:before="0" w:after="0" w:line="240" w:lineRule="auto"/>
              <w:rPr>
                <w:rFonts w:ascii="Calibri" w:hAnsi="Calibri" w:cs="Calibri"/>
                <w:bCs/>
                <w:color w:val="008000"/>
                <w:sz w:val="16"/>
                <w:szCs w:val="16"/>
              </w:rPr>
            </w:pPr>
          </w:p>
          <w:p w14:paraId="47B1E169" w14:textId="6D3964B6" w:rsidR="00CC4DE4" w:rsidRPr="00595884" w:rsidRDefault="00274BC6">
            <w:pPr>
              <w:spacing w:before="0" w:after="0" w:line="240" w:lineRule="auto"/>
              <w:rPr>
                <w:rFonts w:ascii="Calibri" w:hAnsi="Calibri" w:cs="Calibri"/>
                <w:color w:val="000000"/>
                <w:sz w:val="16"/>
                <w:szCs w:val="16"/>
              </w:rPr>
            </w:pPr>
            <w:r w:rsidRPr="00CC4DE4">
              <w:rPr>
                <w:rFonts w:ascii="Calibri" w:hAnsi="Calibri" w:cs="Calibri"/>
                <w:bCs/>
                <w:color w:val="008000"/>
                <w:sz w:val="16"/>
                <w:szCs w:val="16"/>
              </w:rPr>
              <w:t>Outline evidence for or against dose response</w:t>
            </w:r>
          </w:p>
        </w:tc>
        <w:tc>
          <w:tcPr>
            <w:tcW w:w="1217" w:type="dxa"/>
            <w:tcBorders>
              <w:top w:val="nil"/>
              <w:left w:val="nil"/>
              <w:bottom w:val="single" w:sz="4" w:space="0" w:color="B5DDDC"/>
              <w:right w:val="single" w:sz="4" w:space="0" w:color="B5DDDC"/>
            </w:tcBorders>
            <w:shd w:val="clear" w:color="auto" w:fill="D6EAEB"/>
          </w:tcPr>
          <w:p w14:paraId="05ED7236" w14:textId="77777777" w:rsidR="00CC4DE4" w:rsidRPr="00CC4DE4" w:rsidRDefault="00274BC6">
            <w:pPr>
              <w:spacing w:before="0" w:after="0" w:line="240" w:lineRule="auto"/>
              <w:rPr>
                <w:rFonts w:ascii="Calibri" w:hAnsi="Calibri" w:cs="Calibri"/>
                <w:bCs/>
                <w:i/>
                <w:color w:val="008000"/>
                <w:sz w:val="16"/>
                <w:szCs w:val="16"/>
              </w:rPr>
            </w:pPr>
            <w:r w:rsidRPr="00CC4DE4">
              <w:rPr>
                <w:rFonts w:ascii="Calibri" w:hAnsi="Calibri" w:cs="Calibri"/>
                <w:bCs/>
                <w:i/>
                <w:color w:val="008000"/>
                <w:sz w:val="16"/>
                <w:szCs w:val="16"/>
              </w:rPr>
              <w:t>Yes, no, unknown</w:t>
            </w:r>
          </w:p>
          <w:p w14:paraId="014333C0" w14:textId="77777777" w:rsidR="00CC4DE4" w:rsidRPr="00CC4DE4" w:rsidRDefault="00CC4DE4">
            <w:pPr>
              <w:spacing w:before="0" w:after="0" w:line="240" w:lineRule="auto"/>
              <w:rPr>
                <w:rFonts w:ascii="Calibri" w:hAnsi="Calibri" w:cs="Calibri"/>
                <w:bCs/>
                <w:color w:val="008000"/>
                <w:sz w:val="16"/>
                <w:szCs w:val="16"/>
              </w:rPr>
            </w:pPr>
          </w:p>
          <w:p w14:paraId="0E215CBB" w14:textId="0A24EDB9" w:rsidR="00CC4DE4" w:rsidRPr="00595884" w:rsidRDefault="00274BC6">
            <w:pPr>
              <w:spacing w:before="0" w:after="0" w:line="240" w:lineRule="auto"/>
              <w:rPr>
                <w:rFonts w:ascii="Calibri" w:hAnsi="Calibri" w:cs="Calibri"/>
                <w:color w:val="000000"/>
                <w:sz w:val="16"/>
                <w:szCs w:val="16"/>
              </w:rPr>
            </w:pPr>
            <w:r w:rsidRPr="00CC4DE4">
              <w:rPr>
                <w:rFonts w:ascii="Calibri" w:hAnsi="Calibri" w:cs="Calibri"/>
                <w:bCs/>
                <w:color w:val="008000"/>
                <w:sz w:val="16"/>
                <w:szCs w:val="16"/>
              </w:rPr>
              <w:t>Address whether there is evidence that confounding would bias toward null</w:t>
            </w:r>
          </w:p>
        </w:tc>
        <w:tc>
          <w:tcPr>
            <w:tcW w:w="1216" w:type="dxa"/>
            <w:tcBorders>
              <w:top w:val="nil"/>
              <w:left w:val="nil"/>
              <w:bottom w:val="single" w:sz="4" w:space="0" w:color="B5DDDC"/>
              <w:right w:val="single" w:sz="4" w:space="0" w:color="B5DDDC"/>
            </w:tcBorders>
            <w:shd w:val="clear" w:color="auto" w:fill="D6EAEB"/>
          </w:tcPr>
          <w:p w14:paraId="69132F58" w14:textId="77777777" w:rsidR="00CC4DE4" w:rsidRPr="00CC4DE4" w:rsidRDefault="00274BC6">
            <w:pPr>
              <w:spacing w:before="0" w:after="0" w:line="240" w:lineRule="auto"/>
              <w:rPr>
                <w:rFonts w:ascii="Calibri" w:hAnsi="Calibri" w:cs="Calibri"/>
                <w:bCs/>
                <w:i/>
                <w:color w:val="008000"/>
                <w:sz w:val="16"/>
                <w:szCs w:val="16"/>
              </w:rPr>
            </w:pPr>
            <w:r w:rsidRPr="00CC4DE4">
              <w:rPr>
                <w:rFonts w:ascii="Calibri" w:hAnsi="Calibri" w:cs="Calibri"/>
                <w:bCs/>
                <w:i/>
                <w:color w:val="008000"/>
                <w:sz w:val="16"/>
                <w:szCs w:val="16"/>
              </w:rPr>
              <w:t>Yes, no, NA</w:t>
            </w:r>
          </w:p>
          <w:p w14:paraId="200C23A1" w14:textId="77777777" w:rsidR="00CC4DE4" w:rsidRPr="00CC4DE4" w:rsidRDefault="00CC4DE4">
            <w:pPr>
              <w:spacing w:before="0" w:after="0" w:line="240" w:lineRule="auto"/>
              <w:rPr>
                <w:rFonts w:ascii="Calibri" w:hAnsi="Calibri" w:cs="Calibri"/>
                <w:bCs/>
                <w:color w:val="008000"/>
                <w:sz w:val="16"/>
                <w:szCs w:val="16"/>
              </w:rPr>
            </w:pPr>
          </w:p>
          <w:p w14:paraId="30EF2569" w14:textId="0CBF971B" w:rsidR="00CC4DE4" w:rsidRPr="00595884" w:rsidRDefault="00274BC6">
            <w:pPr>
              <w:spacing w:before="0" w:after="0" w:line="240" w:lineRule="auto"/>
              <w:rPr>
                <w:rFonts w:ascii="Calibri" w:hAnsi="Calibri" w:cs="Calibri"/>
                <w:color w:val="000000"/>
                <w:sz w:val="16"/>
                <w:szCs w:val="16"/>
              </w:rPr>
            </w:pPr>
            <w:r w:rsidRPr="00CC4DE4">
              <w:rPr>
                <w:rFonts w:ascii="Calibri" w:hAnsi="Calibri" w:cs="Calibri"/>
                <w:bCs/>
                <w:color w:val="008000"/>
                <w:sz w:val="16"/>
                <w:szCs w:val="16"/>
              </w:rPr>
              <w:t>Describe cross-species, model, or population consistency</w:t>
            </w:r>
          </w:p>
        </w:tc>
        <w:tc>
          <w:tcPr>
            <w:tcW w:w="1216" w:type="dxa"/>
            <w:tcBorders>
              <w:top w:val="nil"/>
              <w:left w:val="nil"/>
              <w:bottom w:val="single" w:sz="4" w:space="0" w:color="B5DDDC"/>
              <w:right w:val="single" w:sz="4" w:space="0" w:color="B5DDDC"/>
            </w:tcBorders>
            <w:shd w:val="clear" w:color="auto" w:fill="D6EAEB"/>
          </w:tcPr>
          <w:p w14:paraId="3EC433F6" w14:textId="77777777" w:rsidR="00CC4DE4" w:rsidRPr="00CC4DE4" w:rsidRDefault="00274BC6">
            <w:pPr>
              <w:spacing w:before="0" w:after="0" w:line="240" w:lineRule="auto"/>
              <w:rPr>
                <w:rFonts w:ascii="Calibri" w:hAnsi="Calibri" w:cs="Calibri"/>
                <w:bCs/>
                <w:i/>
                <w:color w:val="008000"/>
                <w:sz w:val="16"/>
                <w:szCs w:val="16"/>
              </w:rPr>
            </w:pPr>
            <w:r w:rsidRPr="00CC4DE4">
              <w:rPr>
                <w:rFonts w:ascii="Calibri" w:hAnsi="Calibri" w:cs="Calibri"/>
                <w:bCs/>
                <w:i/>
                <w:color w:val="008000"/>
                <w:sz w:val="16"/>
                <w:szCs w:val="16"/>
              </w:rPr>
              <w:t>Yes or no</w:t>
            </w:r>
          </w:p>
          <w:p w14:paraId="080A4ACC" w14:textId="77777777" w:rsidR="00CC4DE4" w:rsidRPr="00CC4DE4" w:rsidRDefault="00CC4DE4">
            <w:pPr>
              <w:spacing w:before="0" w:after="0" w:line="240" w:lineRule="auto"/>
              <w:rPr>
                <w:rFonts w:ascii="Calibri" w:hAnsi="Calibri" w:cs="Calibri"/>
                <w:bCs/>
                <w:color w:val="008000"/>
                <w:sz w:val="16"/>
                <w:szCs w:val="16"/>
              </w:rPr>
            </w:pPr>
          </w:p>
          <w:p w14:paraId="617AFED1" w14:textId="0DE43334" w:rsidR="00CC4DE4" w:rsidRPr="00595884" w:rsidRDefault="00274BC6">
            <w:pPr>
              <w:spacing w:before="0" w:after="0" w:line="240" w:lineRule="auto"/>
              <w:rPr>
                <w:rFonts w:ascii="Calibri" w:hAnsi="Calibri" w:cs="Calibri"/>
                <w:color w:val="000000"/>
                <w:sz w:val="16"/>
                <w:szCs w:val="16"/>
              </w:rPr>
            </w:pPr>
            <w:r w:rsidRPr="00CC4DE4">
              <w:rPr>
                <w:rFonts w:ascii="Calibri" w:hAnsi="Calibri" w:cs="Calibri"/>
                <w:bCs/>
                <w:color w:val="008000"/>
                <w:sz w:val="16"/>
                <w:szCs w:val="16"/>
              </w:rPr>
              <w:t>Describe any other factors that increase confidence in the results</w:t>
            </w:r>
          </w:p>
        </w:tc>
        <w:tc>
          <w:tcPr>
            <w:tcW w:w="1217" w:type="dxa"/>
            <w:tcBorders>
              <w:top w:val="nil"/>
              <w:left w:val="nil"/>
              <w:bottom w:val="single" w:sz="4" w:space="0" w:color="B5DDDC"/>
              <w:right w:val="single" w:sz="4" w:space="0" w:color="B5DDDC"/>
            </w:tcBorders>
            <w:shd w:val="clear" w:color="auto" w:fill="D6EAEB"/>
          </w:tcPr>
          <w:p w14:paraId="6B6C584B" w14:textId="77777777" w:rsidR="00CC4DE4" w:rsidRPr="00CC4DE4" w:rsidRDefault="00274BC6">
            <w:pPr>
              <w:spacing w:before="0" w:after="0" w:line="240" w:lineRule="auto"/>
              <w:rPr>
                <w:rFonts w:ascii="Calibri" w:hAnsi="Calibri" w:cs="Calibri"/>
                <w:bCs/>
                <w:i/>
                <w:color w:val="008000"/>
                <w:sz w:val="16"/>
                <w:szCs w:val="16"/>
              </w:rPr>
            </w:pPr>
            <w:r w:rsidRPr="00CC4DE4">
              <w:rPr>
                <w:rFonts w:ascii="Calibri" w:hAnsi="Calibri" w:cs="Calibri"/>
                <w:bCs/>
                <w:i/>
                <w:color w:val="008000"/>
                <w:sz w:val="16"/>
                <w:szCs w:val="16"/>
              </w:rPr>
              <w:t>High, moderate, low or very low</w:t>
            </w:r>
          </w:p>
          <w:p w14:paraId="368416CE" w14:textId="77777777" w:rsidR="00CC4DE4" w:rsidRPr="00CC4DE4" w:rsidRDefault="00CC4DE4">
            <w:pPr>
              <w:spacing w:before="0" w:after="0" w:line="240" w:lineRule="auto"/>
              <w:rPr>
                <w:rFonts w:ascii="Calibri" w:hAnsi="Calibri" w:cs="Calibri"/>
                <w:bCs/>
                <w:color w:val="008000"/>
                <w:sz w:val="16"/>
                <w:szCs w:val="16"/>
              </w:rPr>
            </w:pPr>
          </w:p>
          <w:p w14:paraId="468E7151" w14:textId="046BA37F" w:rsidR="00CC4DE4" w:rsidRPr="00595884" w:rsidRDefault="00274BC6">
            <w:pPr>
              <w:spacing w:before="0" w:after="0" w:line="240" w:lineRule="auto"/>
              <w:rPr>
                <w:rFonts w:ascii="Cambria Math" w:hAnsi="Cambria Math" w:cs="Cambria Math"/>
                <w:b/>
                <w:bCs/>
                <w:color w:val="000000"/>
                <w:sz w:val="16"/>
                <w:szCs w:val="16"/>
              </w:rPr>
            </w:pPr>
            <w:r w:rsidRPr="00CC4DE4">
              <w:rPr>
                <w:rFonts w:ascii="Calibri" w:hAnsi="Calibri" w:cs="Calibri"/>
                <w:bCs/>
                <w:color w:val="008000"/>
                <w:sz w:val="16"/>
                <w:szCs w:val="16"/>
              </w:rPr>
              <w:t>List reasons for down-grading or upgrading</w:t>
            </w:r>
          </w:p>
        </w:tc>
      </w:tr>
      <w:tr w:rsidR="004254E5" w14:paraId="4B6856C8" w14:textId="77777777" w:rsidTr="005B6ACD">
        <w:tc>
          <w:tcPr>
            <w:tcW w:w="14596" w:type="dxa"/>
            <w:gridSpan w:val="12"/>
            <w:tcBorders>
              <w:top w:val="nil"/>
              <w:left w:val="single" w:sz="4" w:space="0" w:color="B5DDDC"/>
              <w:bottom w:val="single" w:sz="4" w:space="0" w:color="B5DDDC"/>
              <w:right w:val="single" w:sz="4" w:space="0" w:color="B5DDDC"/>
            </w:tcBorders>
            <w:shd w:val="clear" w:color="auto" w:fill="D6EAEB"/>
            <w:vAlign w:val="bottom"/>
          </w:tcPr>
          <w:p w14:paraId="3552FAB2" w14:textId="0724B02D" w:rsidR="00CC4DE4" w:rsidRPr="00CC4DE4" w:rsidRDefault="00274BC6" w:rsidP="005B6ACD">
            <w:pPr>
              <w:spacing w:before="60" w:after="60"/>
              <w:rPr>
                <w:rFonts w:asciiTheme="minorHAnsi" w:hAnsiTheme="minorHAnsi" w:cstheme="minorHAnsi"/>
                <w:sz w:val="16"/>
                <w:szCs w:val="16"/>
              </w:rPr>
            </w:pPr>
            <w:r w:rsidRPr="00CC4DE4">
              <w:rPr>
                <w:rFonts w:asciiTheme="minorHAnsi" w:hAnsiTheme="minorHAnsi" w:cstheme="minorHAnsi"/>
                <w:b/>
                <w:bCs/>
                <w:sz w:val="16"/>
                <w:szCs w:val="16"/>
              </w:rPr>
              <w:t>Research question:</w:t>
            </w:r>
            <w:r>
              <w:rPr>
                <w:rFonts w:asciiTheme="minorHAnsi" w:hAnsiTheme="minorHAnsi" w:cstheme="minorHAnsi"/>
                <w:sz w:val="16"/>
                <w:szCs w:val="16"/>
              </w:rPr>
              <w:t xml:space="preserve"> </w:t>
            </w:r>
            <w:bookmarkStart w:id="355" w:name="_Hlk103870108"/>
            <w:r w:rsidRPr="00CC4DE4">
              <w:rPr>
                <w:rFonts w:asciiTheme="minorHAnsi" w:hAnsiTheme="minorHAnsi" w:cstheme="minorHAnsi"/>
                <w:i/>
                <w:sz w:val="16"/>
                <w:szCs w:val="16"/>
              </w:rPr>
              <w:t xml:space="preserve">Are exposures to the hazards listed in </w:t>
            </w:r>
            <w:r w:rsidRPr="00CC4DE4">
              <w:rPr>
                <w:rFonts w:asciiTheme="minorHAnsi" w:hAnsiTheme="minorHAnsi" w:cstheme="minorHAnsi"/>
                <w:i/>
                <w:sz w:val="16"/>
                <w:szCs w:val="16"/>
              </w:rPr>
              <w:fldChar w:fldCharType="begin"/>
            </w:r>
            <w:r w:rsidRPr="00CC4DE4">
              <w:rPr>
                <w:rFonts w:asciiTheme="minorHAnsi" w:hAnsiTheme="minorHAnsi" w:cstheme="minorHAnsi"/>
                <w:i/>
                <w:sz w:val="16"/>
                <w:szCs w:val="16"/>
              </w:rPr>
              <w:instrText xml:space="preserve"> REF _Ref71043025 \h  \* MERGEFORMAT </w:instrText>
            </w:r>
            <w:r w:rsidRPr="00CC4DE4">
              <w:rPr>
                <w:rFonts w:asciiTheme="minorHAnsi" w:hAnsiTheme="minorHAnsi" w:cstheme="minorHAnsi"/>
                <w:i/>
                <w:sz w:val="16"/>
                <w:szCs w:val="16"/>
              </w:rPr>
            </w:r>
            <w:r w:rsidRPr="00CC4DE4">
              <w:rPr>
                <w:rFonts w:asciiTheme="minorHAnsi" w:hAnsiTheme="minorHAnsi" w:cstheme="minorHAnsi"/>
                <w:i/>
                <w:sz w:val="16"/>
                <w:szCs w:val="16"/>
              </w:rPr>
              <w:fldChar w:fldCharType="separate"/>
            </w:r>
            <w:r w:rsidR="003132AF" w:rsidRPr="003132AF">
              <w:rPr>
                <w:rFonts w:asciiTheme="minorHAnsi" w:hAnsiTheme="minorHAnsi" w:cstheme="minorHAnsi"/>
                <w:i/>
                <w:sz w:val="16"/>
                <w:szCs w:val="16"/>
              </w:rPr>
              <w:t xml:space="preserve">Table </w:t>
            </w:r>
            <w:r w:rsidR="003132AF" w:rsidRPr="003132AF">
              <w:rPr>
                <w:rFonts w:asciiTheme="minorHAnsi" w:hAnsiTheme="minorHAnsi" w:cstheme="minorHAnsi"/>
                <w:i/>
                <w:noProof/>
                <w:sz w:val="16"/>
                <w:szCs w:val="16"/>
              </w:rPr>
              <w:t>2</w:t>
            </w:r>
            <w:r w:rsidR="003132AF" w:rsidRPr="003132AF">
              <w:rPr>
                <w:rFonts w:asciiTheme="minorHAnsi" w:hAnsiTheme="minorHAnsi" w:cstheme="minorHAnsi"/>
                <w:i/>
                <w:noProof/>
                <w:sz w:val="16"/>
                <w:szCs w:val="16"/>
              </w:rPr>
              <w:noBreakHyphen/>
              <w:t>1</w:t>
            </w:r>
            <w:r w:rsidRPr="00CC4DE4">
              <w:rPr>
                <w:rFonts w:asciiTheme="minorHAnsi" w:hAnsiTheme="minorHAnsi" w:cstheme="minorHAnsi"/>
                <w:i/>
                <w:sz w:val="16"/>
                <w:szCs w:val="16"/>
              </w:rPr>
              <w:fldChar w:fldCharType="end"/>
            </w:r>
            <w:r w:rsidRPr="00CC4DE4">
              <w:rPr>
                <w:rFonts w:asciiTheme="minorHAnsi" w:hAnsiTheme="minorHAnsi" w:cstheme="minorHAnsi"/>
                <w:i/>
                <w:sz w:val="16"/>
                <w:szCs w:val="16"/>
              </w:rPr>
              <w:t xml:space="preserve"> likely to give rise to any significant human health risks given that chemical concentrations in recreational waters are generally low?</w:t>
            </w:r>
            <w:r>
              <w:rPr>
                <w:i/>
              </w:rPr>
              <w:t xml:space="preserve">  </w:t>
            </w:r>
            <w:bookmarkEnd w:id="355"/>
          </w:p>
        </w:tc>
      </w:tr>
      <w:tr w:rsidR="004254E5" w14:paraId="743BF461" w14:textId="77777777" w:rsidTr="005B6ACD">
        <w:tc>
          <w:tcPr>
            <w:tcW w:w="14596" w:type="dxa"/>
            <w:gridSpan w:val="12"/>
            <w:tcBorders>
              <w:top w:val="nil"/>
              <w:left w:val="single" w:sz="4" w:space="0" w:color="B5DDDC"/>
              <w:bottom w:val="single" w:sz="4" w:space="0" w:color="B5DDDC"/>
              <w:right w:val="single" w:sz="4" w:space="0" w:color="B5DDDC"/>
            </w:tcBorders>
            <w:shd w:val="clear" w:color="auto" w:fill="D6EAEB"/>
            <w:vAlign w:val="bottom"/>
          </w:tcPr>
          <w:p w14:paraId="5CC7B372" w14:textId="5C159BD4" w:rsidR="00CC4DE4" w:rsidRPr="00CC4DE4" w:rsidRDefault="00274BC6" w:rsidP="005B6ACD">
            <w:pPr>
              <w:spacing w:before="60" w:after="60"/>
              <w:rPr>
                <w:rFonts w:asciiTheme="minorHAnsi" w:hAnsiTheme="minorHAnsi" w:cstheme="minorHAnsi"/>
                <w:b/>
                <w:bCs/>
                <w:sz w:val="16"/>
                <w:szCs w:val="16"/>
              </w:rPr>
            </w:pPr>
            <w:r w:rsidRPr="00CC4DE4">
              <w:rPr>
                <w:rFonts w:asciiTheme="minorHAnsi" w:hAnsiTheme="minorHAnsi" w:cstheme="minorHAnsi"/>
                <w:b/>
                <w:bCs/>
                <w:sz w:val="16"/>
                <w:szCs w:val="16"/>
              </w:rPr>
              <w:t xml:space="preserve">Outcome: </w:t>
            </w:r>
            <w:r w:rsidRPr="009F5A77">
              <w:rPr>
                <w:rFonts w:asciiTheme="minorHAnsi" w:hAnsiTheme="minorHAnsi" w:cstheme="minorHAnsi"/>
                <w:sz w:val="16"/>
                <w:szCs w:val="16"/>
              </w:rPr>
              <w:t xml:space="preserve">PECO listed hazard measured in recreational waters (i.e. the hazards listed in </w:t>
            </w:r>
            <w:r w:rsidRPr="009F5A77">
              <w:rPr>
                <w:rFonts w:asciiTheme="minorHAnsi" w:hAnsiTheme="minorHAnsi" w:cstheme="minorHAnsi"/>
                <w:sz w:val="16"/>
                <w:szCs w:val="16"/>
              </w:rPr>
              <w:fldChar w:fldCharType="begin"/>
            </w:r>
            <w:r w:rsidRPr="009F5A77">
              <w:rPr>
                <w:rFonts w:asciiTheme="minorHAnsi" w:hAnsiTheme="minorHAnsi" w:cstheme="minorHAnsi"/>
                <w:sz w:val="16"/>
                <w:szCs w:val="16"/>
              </w:rPr>
              <w:instrText xml:space="preserve"> REF _Ref71043025 \h </w:instrText>
            </w:r>
            <w:r w:rsidRPr="005B6ACD">
              <w:rPr>
                <w:rFonts w:asciiTheme="minorHAnsi" w:hAnsiTheme="minorHAnsi" w:cstheme="minorHAnsi"/>
                <w:sz w:val="16"/>
                <w:szCs w:val="16"/>
              </w:rPr>
              <w:instrText xml:space="preserve"> \* MERGEFORMAT </w:instrText>
            </w:r>
            <w:r w:rsidRPr="009F5A77">
              <w:rPr>
                <w:rFonts w:asciiTheme="minorHAnsi" w:hAnsiTheme="minorHAnsi" w:cstheme="minorHAnsi"/>
                <w:sz w:val="16"/>
                <w:szCs w:val="16"/>
              </w:rPr>
            </w:r>
            <w:r w:rsidRPr="009F5A77">
              <w:rPr>
                <w:rFonts w:asciiTheme="minorHAnsi" w:hAnsiTheme="minorHAnsi" w:cstheme="minorHAnsi"/>
                <w:sz w:val="16"/>
                <w:szCs w:val="16"/>
              </w:rPr>
              <w:fldChar w:fldCharType="separate"/>
            </w:r>
            <w:r w:rsidR="003132AF" w:rsidRPr="003132AF">
              <w:rPr>
                <w:rFonts w:asciiTheme="minorHAnsi" w:hAnsiTheme="minorHAnsi" w:cstheme="minorHAnsi"/>
                <w:sz w:val="16"/>
                <w:szCs w:val="16"/>
              </w:rPr>
              <w:t xml:space="preserve">Table </w:t>
            </w:r>
            <w:r w:rsidR="003132AF" w:rsidRPr="003132AF">
              <w:rPr>
                <w:rFonts w:asciiTheme="minorHAnsi" w:hAnsiTheme="minorHAnsi" w:cstheme="minorHAnsi"/>
                <w:noProof/>
                <w:sz w:val="16"/>
                <w:szCs w:val="16"/>
              </w:rPr>
              <w:t>2</w:t>
            </w:r>
            <w:r w:rsidR="003132AF" w:rsidRPr="003132AF">
              <w:rPr>
                <w:rFonts w:asciiTheme="minorHAnsi" w:hAnsiTheme="minorHAnsi" w:cstheme="minorHAnsi"/>
                <w:noProof/>
                <w:sz w:val="16"/>
                <w:szCs w:val="16"/>
              </w:rPr>
              <w:noBreakHyphen/>
              <w:t>1</w:t>
            </w:r>
            <w:r w:rsidRPr="009F5A77">
              <w:rPr>
                <w:rFonts w:asciiTheme="minorHAnsi" w:hAnsiTheme="minorHAnsi" w:cstheme="minorHAnsi"/>
                <w:sz w:val="16"/>
                <w:szCs w:val="16"/>
              </w:rPr>
              <w:fldChar w:fldCharType="end"/>
            </w:r>
            <w:r w:rsidRPr="009F5A77">
              <w:rPr>
                <w:rFonts w:asciiTheme="minorHAnsi" w:hAnsiTheme="minorHAnsi" w:cstheme="minorHAnsi"/>
                <w:sz w:val="16"/>
                <w:szCs w:val="16"/>
              </w:rPr>
              <w:t>).</w:t>
            </w:r>
          </w:p>
        </w:tc>
      </w:tr>
      <w:tr w:rsidR="004254E5" w14:paraId="4DFA095A" w14:textId="77777777" w:rsidTr="005B6ACD">
        <w:trPr>
          <w:trHeight w:val="444"/>
        </w:trPr>
        <w:tc>
          <w:tcPr>
            <w:tcW w:w="1216" w:type="dxa"/>
            <w:tcBorders>
              <w:top w:val="nil"/>
              <w:left w:val="single" w:sz="4" w:space="0" w:color="B5DDDC"/>
              <w:bottom w:val="single" w:sz="4" w:space="0" w:color="B5DDDC"/>
              <w:right w:val="single" w:sz="4" w:space="0" w:color="B5DDDC"/>
            </w:tcBorders>
            <w:hideMark/>
          </w:tcPr>
          <w:p w14:paraId="2E5F6EF7" w14:textId="77777777" w:rsidR="00CC4DE4" w:rsidRPr="00CC4DE4" w:rsidRDefault="00274BC6" w:rsidP="009F5A77">
            <w:pPr>
              <w:spacing w:before="0" w:after="0" w:line="240" w:lineRule="auto"/>
              <w:rPr>
                <w:rFonts w:ascii="Calibri" w:hAnsi="Calibri" w:cs="Calibri"/>
                <w:b/>
                <w:bCs/>
                <w:color w:val="000000"/>
                <w:sz w:val="16"/>
                <w:szCs w:val="16"/>
              </w:rPr>
            </w:pPr>
            <w:r w:rsidRPr="00CC4DE4">
              <w:rPr>
                <w:rFonts w:ascii="Calibri" w:hAnsi="Calibri" w:cs="Calibri"/>
                <w:b/>
                <w:bCs/>
                <w:color w:val="000000"/>
                <w:sz w:val="16"/>
                <w:szCs w:val="16"/>
              </w:rPr>
              <w:t>Qualitative studies (3)</w:t>
            </w:r>
          </w:p>
          <w:p w14:paraId="50B5EAC8" w14:textId="77777777" w:rsidR="00CC4DE4" w:rsidRDefault="00CC4DE4" w:rsidP="009F5A77">
            <w:pPr>
              <w:spacing w:before="0" w:after="0" w:line="240" w:lineRule="auto"/>
              <w:rPr>
                <w:rFonts w:ascii="Calibri" w:hAnsi="Calibri" w:cs="Calibri"/>
                <w:color w:val="000000"/>
                <w:sz w:val="16"/>
                <w:szCs w:val="16"/>
              </w:rPr>
            </w:pPr>
          </w:p>
          <w:p w14:paraId="34929686" w14:textId="01949B0D" w:rsidR="00CC4DE4" w:rsidRPr="00595884" w:rsidRDefault="00274BC6" w:rsidP="009F5A77">
            <w:pPr>
              <w:spacing w:before="0" w:after="0" w:line="240" w:lineRule="auto"/>
              <w:rPr>
                <w:rFonts w:ascii="Calibri" w:hAnsi="Calibri" w:cs="Calibri"/>
                <w:color w:val="000000"/>
                <w:sz w:val="16"/>
                <w:szCs w:val="16"/>
              </w:rPr>
            </w:pPr>
            <w:r>
              <w:rPr>
                <w:rFonts w:ascii="Calibri" w:hAnsi="Calibri" w:cs="Calibri"/>
                <w:color w:val="000000"/>
                <w:sz w:val="16"/>
                <w:szCs w:val="16"/>
              </w:rPr>
              <w:t>Low certainty</w:t>
            </w:r>
          </w:p>
        </w:tc>
        <w:tc>
          <w:tcPr>
            <w:tcW w:w="1216" w:type="dxa"/>
            <w:tcBorders>
              <w:top w:val="nil"/>
              <w:left w:val="nil"/>
              <w:bottom w:val="single" w:sz="4" w:space="0" w:color="B5DDDC"/>
              <w:right w:val="single" w:sz="4" w:space="0" w:color="B5DDDC"/>
            </w:tcBorders>
            <w:hideMark/>
          </w:tcPr>
          <w:p w14:paraId="5D226DEF" w14:textId="3580B161" w:rsidR="009F5A77" w:rsidRDefault="00274BC6" w:rsidP="00CF3426">
            <w:pPr>
              <w:spacing w:before="0" w:after="0" w:line="240" w:lineRule="auto"/>
              <w:rPr>
                <w:rFonts w:ascii="Calibri" w:hAnsi="Calibri" w:cs="Calibri"/>
                <w:color w:val="000000"/>
                <w:sz w:val="16"/>
                <w:szCs w:val="16"/>
              </w:rPr>
            </w:pPr>
            <w:r>
              <w:rPr>
                <w:rFonts w:ascii="Calibri" w:hAnsi="Calibri" w:cs="Calibri"/>
                <w:color w:val="000000"/>
                <w:sz w:val="16"/>
                <w:szCs w:val="16"/>
              </w:rPr>
              <w:t>Not serious</w:t>
            </w:r>
          </w:p>
          <w:p w14:paraId="1705CF17" w14:textId="77777777" w:rsidR="009F5A77" w:rsidRDefault="009F5A77" w:rsidP="00CF3426">
            <w:pPr>
              <w:spacing w:before="0" w:after="0" w:line="240" w:lineRule="auto"/>
              <w:rPr>
                <w:rFonts w:ascii="Calibri" w:hAnsi="Calibri" w:cs="Calibri"/>
                <w:color w:val="000000"/>
                <w:sz w:val="16"/>
                <w:szCs w:val="16"/>
              </w:rPr>
            </w:pPr>
          </w:p>
          <w:p w14:paraId="40080C9B" w14:textId="0CE0616A" w:rsidR="00CC4DE4" w:rsidRPr="00595884" w:rsidRDefault="00274BC6" w:rsidP="008B7776">
            <w:pPr>
              <w:spacing w:before="0" w:after="0" w:line="240" w:lineRule="auto"/>
              <w:rPr>
                <w:rFonts w:ascii="Calibri" w:hAnsi="Calibri" w:cs="Calibri"/>
                <w:color w:val="000000"/>
                <w:sz w:val="16"/>
                <w:szCs w:val="16"/>
              </w:rPr>
            </w:pPr>
            <w:r w:rsidRPr="00595884">
              <w:rPr>
                <w:rFonts w:ascii="Calibri" w:hAnsi="Calibri" w:cs="Calibri"/>
                <w:color w:val="000000"/>
                <w:sz w:val="16"/>
                <w:szCs w:val="16"/>
              </w:rPr>
              <w:t>Overall risk of bias is Probably Low</w:t>
            </w:r>
          </w:p>
        </w:tc>
        <w:tc>
          <w:tcPr>
            <w:tcW w:w="1217" w:type="dxa"/>
            <w:tcBorders>
              <w:top w:val="nil"/>
              <w:left w:val="nil"/>
              <w:bottom w:val="single" w:sz="4" w:space="0" w:color="B5DDDC"/>
              <w:right w:val="single" w:sz="4" w:space="0" w:color="B5DDDC"/>
            </w:tcBorders>
            <w:hideMark/>
          </w:tcPr>
          <w:p w14:paraId="0FD877F2" w14:textId="6A379F13" w:rsidR="00CC4DE4" w:rsidRPr="00595884" w:rsidRDefault="00274BC6">
            <w:pPr>
              <w:spacing w:before="0" w:after="0" w:line="240" w:lineRule="auto"/>
              <w:rPr>
                <w:rFonts w:ascii="Calibri" w:hAnsi="Calibri" w:cs="Calibri"/>
                <w:color w:val="000000"/>
                <w:sz w:val="16"/>
                <w:szCs w:val="16"/>
              </w:rPr>
            </w:pPr>
            <w:r w:rsidRPr="00595884">
              <w:rPr>
                <w:rFonts w:ascii="Calibri" w:hAnsi="Calibri" w:cs="Calibri"/>
                <w:color w:val="000000"/>
                <w:sz w:val="16"/>
                <w:szCs w:val="16"/>
              </w:rPr>
              <w:t>Not serious</w:t>
            </w:r>
            <w:r w:rsidRPr="00595884">
              <w:rPr>
                <w:rFonts w:ascii="Calibri" w:hAnsi="Calibri" w:cs="Calibri"/>
                <w:color w:val="000000"/>
                <w:sz w:val="16"/>
                <w:szCs w:val="16"/>
                <w:vertAlign w:val="superscript"/>
              </w:rPr>
              <w:t>1</w:t>
            </w:r>
          </w:p>
        </w:tc>
        <w:tc>
          <w:tcPr>
            <w:tcW w:w="1216" w:type="dxa"/>
            <w:tcBorders>
              <w:top w:val="nil"/>
              <w:left w:val="nil"/>
              <w:bottom w:val="single" w:sz="4" w:space="0" w:color="B5DDDC"/>
              <w:right w:val="single" w:sz="4" w:space="0" w:color="B5DDDC"/>
            </w:tcBorders>
            <w:hideMark/>
          </w:tcPr>
          <w:p w14:paraId="7E7E2606" w14:textId="72DE96DB" w:rsidR="00CC4DE4" w:rsidRPr="00595884" w:rsidRDefault="00274BC6">
            <w:pPr>
              <w:spacing w:before="0" w:after="0" w:line="240" w:lineRule="auto"/>
              <w:rPr>
                <w:rFonts w:ascii="Calibri" w:hAnsi="Calibri" w:cs="Calibri"/>
                <w:color w:val="000000"/>
                <w:sz w:val="16"/>
                <w:szCs w:val="16"/>
              </w:rPr>
            </w:pPr>
            <w:r w:rsidRPr="00595884">
              <w:rPr>
                <w:rFonts w:ascii="Calibri" w:hAnsi="Calibri" w:cs="Calibri"/>
                <w:color w:val="000000"/>
                <w:sz w:val="16"/>
                <w:szCs w:val="16"/>
              </w:rPr>
              <w:t>Not serious</w:t>
            </w:r>
            <w:r w:rsidRPr="00595884">
              <w:rPr>
                <w:rFonts w:ascii="Calibri" w:hAnsi="Calibri" w:cs="Calibri"/>
                <w:color w:val="000000"/>
                <w:sz w:val="16"/>
                <w:szCs w:val="16"/>
                <w:vertAlign w:val="superscript"/>
              </w:rPr>
              <w:t>2</w:t>
            </w:r>
          </w:p>
        </w:tc>
        <w:tc>
          <w:tcPr>
            <w:tcW w:w="1216" w:type="dxa"/>
            <w:tcBorders>
              <w:top w:val="nil"/>
              <w:left w:val="nil"/>
              <w:bottom w:val="single" w:sz="4" w:space="0" w:color="B5DDDC"/>
              <w:right w:val="single" w:sz="4" w:space="0" w:color="B5DDDC"/>
            </w:tcBorders>
            <w:hideMark/>
          </w:tcPr>
          <w:p w14:paraId="4885AD57" w14:textId="77777777" w:rsidR="00CC4DE4" w:rsidRPr="00595884" w:rsidRDefault="00274BC6">
            <w:pPr>
              <w:spacing w:before="0" w:after="0" w:line="240" w:lineRule="auto"/>
              <w:rPr>
                <w:rFonts w:ascii="Calibri" w:hAnsi="Calibri" w:cs="Calibri"/>
                <w:color w:val="000000"/>
                <w:sz w:val="16"/>
                <w:szCs w:val="16"/>
              </w:rPr>
            </w:pPr>
            <w:r w:rsidRPr="00595884">
              <w:rPr>
                <w:rFonts w:ascii="Calibri" w:hAnsi="Calibri" w:cs="Calibri"/>
                <w:color w:val="000000"/>
                <w:sz w:val="16"/>
                <w:szCs w:val="16"/>
              </w:rPr>
              <w:t>Not serious</w:t>
            </w:r>
          </w:p>
        </w:tc>
        <w:tc>
          <w:tcPr>
            <w:tcW w:w="1217" w:type="dxa"/>
            <w:tcBorders>
              <w:top w:val="nil"/>
              <w:left w:val="nil"/>
              <w:bottom w:val="single" w:sz="4" w:space="0" w:color="B5DDDC"/>
              <w:right w:val="single" w:sz="4" w:space="0" w:color="B5DDDC"/>
            </w:tcBorders>
            <w:hideMark/>
          </w:tcPr>
          <w:p w14:paraId="4B57B181" w14:textId="77777777" w:rsidR="00CC4DE4" w:rsidRPr="00595884" w:rsidRDefault="00274BC6">
            <w:pPr>
              <w:spacing w:before="0" w:after="0" w:line="240" w:lineRule="auto"/>
              <w:rPr>
                <w:rFonts w:ascii="Calibri" w:hAnsi="Calibri" w:cs="Calibri"/>
                <w:color w:val="000000"/>
                <w:sz w:val="16"/>
                <w:szCs w:val="16"/>
              </w:rPr>
            </w:pPr>
            <w:r w:rsidRPr="00595884">
              <w:rPr>
                <w:rFonts w:ascii="Calibri" w:hAnsi="Calibri" w:cs="Calibri"/>
                <w:color w:val="000000"/>
                <w:sz w:val="16"/>
                <w:szCs w:val="16"/>
              </w:rPr>
              <w:t>Undetected</w:t>
            </w:r>
          </w:p>
        </w:tc>
        <w:tc>
          <w:tcPr>
            <w:tcW w:w="1216" w:type="dxa"/>
            <w:tcBorders>
              <w:top w:val="nil"/>
              <w:left w:val="nil"/>
              <w:bottom w:val="single" w:sz="4" w:space="0" w:color="B5DDDC"/>
              <w:right w:val="single" w:sz="4" w:space="0" w:color="B5DDDC"/>
            </w:tcBorders>
            <w:hideMark/>
          </w:tcPr>
          <w:p w14:paraId="7E4185F7" w14:textId="77777777" w:rsidR="00CC4DE4" w:rsidRPr="00595884" w:rsidRDefault="00274BC6">
            <w:pPr>
              <w:spacing w:before="0" w:after="0" w:line="240" w:lineRule="auto"/>
              <w:rPr>
                <w:rFonts w:ascii="Calibri" w:hAnsi="Calibri" w:cs="Calibri"/>
                <w:color w:val="000000"/>
                <w:sz w:val="16"/>
                <w:szCs w:val="16"/>
              </w:rPr>
            </w:pPr>
            <w:r w:rsidRPr="00595884">
              <w:rPr>
                <w:rFonts w:ascii="Calibri" w:hAnsi="Calibri" w:cs="Calibri"/>
                <w:color w:val="000000"/>
                <w:sz w:val="16"/>
                <w:szCs w:val="16"/>
              </w:rPr>
              <w:t>Unknown</w:t>
            </w:r>
            <w:r w:rsidRPr="00595884">
              <w:rPr>
                <w:rFonts w:ascii="Calibri" w:hAnsi="Calibri" w:cs="Calibri"/>
                <w:color w:val="000000"/>
                <w:sz w:val="16"/>
                <w:szCs w:val="16"/>
                <w:vertAlign w:val="superscript"/>
              </w:rPr>
              <w:t>3</w:t>
            </w:r>
          </w:p>
        </w:tc>
        <w:tc>
          <w:tcPr>
            <w:tcW w:w="1216" w:type="dxa"/>
            <w:tcBorders>
              <w:top w:val="nil"/>
              <w:left w:val="nil"/>
              <w:bottom w:val="single" w:sz="4" w:space="0" w:color="B5DDDC"/>
              <w:right w:val="single" w:sz="4" w:space="0" w:color="B5DDDC"/>
            </w:tcBorders>
            <w:hideMark/>
          </w:tcPr>
          <w:p w14:paraId="32BD4859" w14:textId="77777777" w:rsidR="00CC4DE4" w:rsidRPr="00595884" w:rsidRDefault="00274BC6">
            <w:pPr>
              <w:spacing w:before="0" w:after="0" w:line="240" w:lineRule="auto"/>
              <w:rPr>
                <w:rFonts w:ascii="Calibri" w:hAnsi="Calibri" w:cs="Calibri"/>
                <w:color w:val="000000"/>
                <w:sz w:val="16"/>
                <w:szCs w:val="16"/>
              </w:rPr>
            </w:pPr>
            <w:r w:rsidRPr="00595884">
              <w:rPr>
                <w:rFonts w:ascii="Calibri" w:hAnsi="Calibri" w:cs="Calibri"/>
                <w:color w:val="000000"/>
                <w:sz w:val="16"/>
                <w:szCs w:val="16"/>
              </w:rPr>
              <w:t>Unknown</w:t>
            </w:r>
            <w:r w:rsidRPr="00595884">
              <w:rPr>
                <w:rFonts w:ascii="Calibri" w:hAnsi="Calibri" w:cs="Calibri"/>
                <w:color w:val="000000"/>
                <w:sz w:val="16"/>
                <w:szCs w:val="16"/>
                <w:vertAlign w:val="superscript"/>
              </w:rPr>
              <w:t>4</w:t>
            </w:r>
          </w:p>
        </w:tc>
        <w:tc>
          <w:tcPr>
            <w:tcW w:w="1217" w:type="dxa"/>
            <w:tcBorders>
              <w:top w:val="nil"/>
              <w:left w:val="nil"/>
              <w:bottom w:val="single" w:sz="4" w:space="0" w:color="B5DDDC"/>
              <w:right w:val="single" w:sz="4" w:space="0" w:color="B5DDDC"/>
            </w:tcBorders>
            <w:hideMark/>
          </w:tcPr>
          <w:p w14:paraId="228D3C4D" w14:textId="77777777" w:rsidR="00CC4DE4" w:rsidRPr="00595884" w:rsidRDefault="00274BC6">
            <w:pPr>
              <w:spacing w:before="0" w:after="0" w:line="240" w:lineRule="auto"/>
              <w:rPr>
                <w:rFonts w:ascii="Calibri" w:hAnsi="Calibri" w:cs="Calibri"/>
                <w:color w:val="000000"/>
                <w:sz w:val="16"/>
                <w:szCs w:val="16"/>
              </w:rPr>
            </w:pPr>
            <w:r w:rsidRPr="00595884">
              <w:rPr>
                <w:rFonts w:ascii="Calibri" w:hAnsi="Calibri" w:cs="Calibri"/>
                <w:color w:val="000000"/>
                <w:sz w:val="16"/>
                <w:szCs w:val="16"/>
              </w:rPr>
              <w:t>No</w:t>
            </w:r>
            <w:r w:rsidRPr="00595884">
              <w:rPr>
                <w:rFonts w:ascii="Calibri" w:hAnsi="Calibri" w:cs="Calibri"/>
                <w:color w:val="000000"/>
                <w:sz w:val="16"/>
                <w:szCs w:val="16"/>
                <w:vertAlign w:val="superscript"/>
              </w:rPr>
              <w:t>5</w:t>
            </w:r>
          </w:p>
        </w:tc>
        <w:tc>
          <w:tcPr>
            <w:tcW w:w="1216" w:type="dxa"/>
            <w:tcBorders>
              <w:top w:val="nil"/>
              <w:left w:val="nil"/>
              <w:bottom w:val="single" w:sz="4" w:space="0" w:color="B5DDDC"/>
              <w:right w:val="single" w:sz="4" w:space="0" w:color="B5DDDC"/>
            </w:tcBorders>
            <w:hideMark/>
          </w:tcPr>
          <w:p w14:paraId="1F4F11C5" w14:textId="77777777" w:rsidR="00CC4DE4" w:rsidRPr="00595884" w:rsidRDefault="00274BC6">
            <w:pPr>
              <w:spacing w:before="0" w:after="0" w:line="240" w:lineRule="auto"/>
              <w:rPr>
                <w:rFonts w:ascii="Calibri" w:hAnsi="Calibri" w:cs="Calibri"/>
                <w:color w:val="000000"/>
                <w:sz w:val="16"/>
                <w:szCs w:val="16"/>
              </w:rPr>
            </w:pPr>
            <w:r w:rsidRPr="00595884">
              <w:rPr>
                <w:rFonts w:ascii="Calibri" w:hAnsi="Calibri" w:cs="Calibri"/>
                <w:color w:val="000000"/>
                <w:sz w:val="16"/>
                <w:szCs w:val="16"/>
              </w:rPr>
              <w:t>N/A</w:t>
            </w:r>
            <w:r w:rsidRPr="00595884">
              <w:rPr>
                <w:rFonts w:ascii="Calibri" w:hAnsi="Calibri" w:cs="Calibri"/>
                <w:color w:val="000000"/>
                <w:sz w:val="16"/>
                <w:szCs w:val="16"/>
                <w:vertAlign w:val="superscript"/>
              </w:rPr>
              <w:t>6</w:t>
            </w:r>
          </w:p>
        </w:tc>
        <w:tc>
          <w:tcPr>
            <w:tcW w:w="1216" w:type="dxa"/>
            <w:tcBorders>
              <w:top w:val="nil"/>
              <w:left w:val="nil"/>
              <w:bottom w:val="single" w:sz="4" w:space="0" w:color="B5DDDC"/>
              <w:right w:val="single" w:sz="4" w:space="0" w:color="B5DDDC"/>
            </w:tcBorders>
            <w:hideMark/>
          </w:tcPr>
          <w:p w14:paraId="37696418" w14:textId="77777777" w:rsidR="00CC4DE4" w:rsidRPr="00595884" w:rsidRDefault="00274BC6">
            <w:pPr>
              <w:spacing w:before="0" w:after="0" w:line="240" w:lineRule="auto"/>
              <w:rPr>
                <w:rFonts w:ascii="Calibri" w:hAnsi="Calibri" w:cs="Calibri"/>
                <w:color w:val="000000"/>
                <w:sz w:val="16"/>
                <w:szCs w:val="16"/>
              </w:rPr>
            </w:pPr>
            <w:r w:rsidRPr="00595884">
              <w:rPr>
                <w:rFonts w:ascii="Calibri" w:hAnsi="Calibri" w:cs="Calibri"/>
                <w:color w:val="000000"/>
                <w:sz w:val="16"/>
                <w:szCs w:val="16"/>
              </w:rPr>
              <w:t>No</w:t>
            </w:r>
          </w:p>
        </w:tc>
        <w:tc>
          <w:tcPr>
            <w:tcW w:w="1217" w:type="dxa"/>
            <w:tcBorders>
              <w:top w:val="nil"/>
              <w:left w:val="nil"/>
              <w:bottom w:val="single" w:sz="4" w:space="0" w:color="B5DDDC"/>
              <w:right w:val="single" w:sz="4" w:space="0" w:color="B5DDDC"/>
            </w:tcBorders>
            <w:hideMark/>
          </w:tcPr>
          <w:p w14:paraId="127A0415" w14:textId="77777777" w:rsidR="00CC4DE4" w:rsidRDefault="00274BC6">
            <w:pPr>
              <w:spacing w:before="0" w:after="0" w:line="240" w:lineRule="auto"/>
              <w:rPr>
                <w:rFonts w:ascii="Calibri" w:hAnsi="Calibri" w:cs="Calibri"/>
                <w:b/>
                <w:bCs/>
                <w:color w:val="000000"/>
                <w:sz w:val="16"/>
                <w:szCs w:val="16"/>
              </w:rPr>
            </w:pPr>
            <w:r w:rsidRPr="00595884">
              <w:rPr>
                <w:rFonts w:ascii="Cambria Math" w:hAnsi="Cambria Math" w:cs="Cambria Math"/>
                <w:b/>
                <w:bCs/>
                <w:color w:val="000000"/>
                <w:sz w:val="16"/>
                <w:szCs w:val="16"/>
              </w:rPr>
              <w:t>⊕⊕</w:t>
            </w:r>
            <w:r w:rsidRPr="00595884">
              <w:rPr>
                <w:rFonts w:ascii="Calibri" w:hAnsi="Calibri" w:cs="Calibri"/>
                <w:b/>
                <w:bCs/>
                <w:color w:val="000000"/>
                <w:sz w:val="16"/>
                <w:szCs w:val="16"/>
              </w:rPr>
              <w:t>ΟΟ</w:t>
            </w:r>
          </w:p>
          <w:p w14:paraId="5F92B668" w14:textId="77777777" w:rsidR="00CC4DE4" w:rsidRDefault="00CC4DE4">
            <w:pPr>
              <w:spacing w:before="0" w:after="0" w:line="240" w:lineRule="auto"/>
              <w:rPr>
                <w:rFonts w:ascii="Calibri" w:hAnsi="Calibri" w:cs="Calibri"/>
                <w:b/>
                <w:bCs/>
                <w:color w:val="000000"/>
                <w:sz w:val="16"/>
                <w:szCs w:val="16"/>
              </w:rPr>
            </w:pPr>
          </w:p>
          <w:p w14:paraId="6131C907" w14:textId="7702F6E2" w:rsidR="00CC4DE4" w:rsidRPr="00595884" w:rsidRDefault="00274BC6">
            <w:pPr>
              <w:spacing w:before="0" w:after="0" w:line="240" w:lineRule="auto"/>
              <w:rPr>
                <w:rFonts w:ascii="Calibri" w:hAnsi="Calibri" w:cs="Calibri"/>
                <w:b/>
                <w:bCs/>
                <w:color w:val="000000"/>
                <w:sz w:val="16"/>
                <w:szCs w:val="16"/>
              </w:rPr>
            </w:pPr>
            <w:r>
              <w:rPr>
                <w:rFonts w:ascii="Calibri" w:hAnsi="Calibri" w:cs="Calibri"/>
                <w:b/>
                <w:bCs/>
                <w:color w:val="000000"/>
                <w:sz w:val="16"/>
                <w:szCs w:val="16"/>
              </w:rPr>
              <w:t>Low certainty</w:t>
            </w:r>
          </w:p>
        </w:tc>
      </w:tr>
    </w:tbl>
    <w:p w14:paraId="101F87DC" w14:textId="37CDEC3F" w:rsidR="0050769B" w:rsidRPr="00595884" w:rsidRDefault="00274BC6" w:rsidP="0050769B">
      <w:pPr>
        <w:spacing w:before="0" w:after="0" w:line="240" w:lineRule="auto"/>
        <w:rPr>
          <w:rFonts w:ascii="Calibri" w:hAnsi="Calibri" w:cs="Calibri"/>
          <w:color w:val="000000"/>
          <w:sz w:val="16"/>
          <w:szCs w:val="16"/>
        </w:rPr>
      </w:pPr>
      <w:r w:rsidRPr="00595884">
        <w:rPr>
          <w:rFonts w:ascii="Calibri" w:hAnsi="Calibri" w:cs="Calibri"/>
          <w:color w:val="000000"/>
          <w:sz w:val="16"/>
          <w:szCs w:val="16"/>
          <w:vertAlign w:val="superscript"/>
        </w:rPr>
        <w:t>#</w:t>
      </w:r>
      <w:r w:rsidRPr="00595884">
        <w:rPr>
          <w:rFonts w:ascii="Calibri" w:hAnsi="Calibri" w:cs="Calibri"/>
          <w:color w:val="000000"/>
          <w:sz w:val="16"/>
          <w:szCs w:val="16"/>
        </w:rPr>
        <w:t xml:space="preserve">. Chemical hazards as listed in </w:t>
      </w:r>
      <w:r w:rsidR="00E22FA8" w:rsidRPr="00E22FA8">
        <w:rPr>
          <w:rFonts w:ascii="Calibri" w:hAnsi="Calibri" w:cs="Calibri"/>
          <w:color w:val="000000"/>
          <w:sz w:val="16"/>
          <w:szCs w:val="16"/>
        </w:rPr>
        <w:fldChar w:fldCharType="begin"/>
      </w:r>
      <w:r w:rsidR="00E22FA8" w:rsidRPr="00E22FA8">
        <w:rPr>
          <w:rFonts w:ascii="Calibri" w:hAnsi="Calibri" w:cs="Calibri"/>
          <w:color w:val="000000"/>
          <w:sz w:val="16"/>
          <w:szCs w:val="16"/>
        </w:rPr>
        <w:instrText xml:space="preserve"> REF _Ref71043025 \h </w:instrText>
      </w:r>
      <w:r w:rsidR="00E22FA8">
        <w:rPr>
          <w:rFonts w:ascii="Calibri" w:hAnsi="Calibri" w:cs="Calibri"/>
          <w:color w:val="000000"/>
          <w:sz w:val="16"/>
          <w:szCs w:val="16"/>
        </w:rPr>
        <w:instrText xml:space="preserve"> \* MERGEFORMAT </w:instrText>
      </w:r>
      <w:r w:rsidR="00E22FA8" w:rsidRPr="00E22FA8">
        <w:rPr>
          <w:rFonts w:ascii="Calibri" w:hAnsi="Calibri" w:cs="Calibri"/>
          <w:color w:val="000000"/>
          <w:sz w:val="16"/>
          <w:szCs w:val="16"/>
        </w:rPr>
      </w:r>
      <w:r w:rsidR="00E22FA8" w:rsidRPr="00E22FA8">
        <w:rPr>
          <w:rFonts w:ascii="Calibri" w:hAnsi="Calibri" w:cs="Calibri"/>
          <w:color w:val="000000"/>
          <w:sz w:val="16"/>
          <w:szCs w:val="16"/>
        </w:rPr>
        <w:fldChar w:fldCharType="separate"/>
      </w:r>
      <w:r w:rsidR="003132AF" w:rsidRPr="003132AF">
        <w:rPr>
          <w:rFonts w:ascii="Calibri" w:hAnsi="Calibri" w:cs="Calibri"/>
          <w:color w:val="000000"/>
          <w:sz w:val="16"/>
          <w:szCs w:val="16"/>
        </w:rPr>
        <w:t>Table 2</w:t>
      </w:r>
      <w:r w:rsidR="003132AF" w:rsidRPr="003132AF">
        <w:rPr>
          <w:rFonts w:ascii="Calibri" w:hAnsi="Calibri" w:cs="Calibri"/>
          <w:color w:val="000000"/>
          <w:sz w:val="16"/>
          <w:szCs w:val="16"/>
        </w:rPr>
        <w:noBreakHyphen/>
        <w:t>1</w:t>
      </w:r>
      <w:r w:rsidR="00E22FA8" w:rsidRPr="00E22FA8">
        <w:rPr>
          <w:rFonts w:ascii="Calibri" w:hAnsi="Calibri" w:cs="Calibri"/>
          <w:color w:val="000000"/>
          <w:sz w:val="16"/>
          <w:szCs w:val="16"/>
        </w:rPr>
        <w:fldChar w:fldCharType="end"/>
      </w:r>
      <w:r w:rsidRPr="00E22FA8">
        <w:rPr>
          <w:rFonts w:ascii="Calibri" w:hAnsi="Calibri" w:cs="Calibri"/>
          <w:color w:val="000000"/>
          <w:sz w:val="16"/>
          <w:szCs w:val="16"/>
        </w:rPr>
        <w:t>.</w:t>
      </w:r>
      <w:r w:rsidRPr="00595884">
        <w:rPr>
          <w:rFonts w:ascii="Calibri" w:hAnsi="Calibri" w:cs="Calibri"/>
          <w:color w:val="000000"/>
          <w:sz w:val="16"/>
          <w:szCs w:val="16"/>
        </w:rPr>
        <w:t xml:space="preserve"> For qualitative studies, significance is defined as measured values detected above relevant HBTs</w:t>
      </w:r>
    </w:p>
    <w:p w14:paraId="24ABC1CA" w14:textId="604E5288" w:rsidR="0050769B" w:rsidRPr="00595884" w:rsidRDefault="00274BC6" w:rsidP="0050769B">
      <w:pPr>
        <w:spacing w:before="0" w:after="0" w:line="240" w:lineRule="auto"/>
        <w:rPr>
          <w:rFonts w:ascii="Calibri" w:hAnsi="Calibri" w:cs="Calibri"/>
          <w:color w:val="000000"/>
          <w:sz w:val="16"/>
          <w:szCs w:val="16"/>
        </w:rPr>
      </w:pPr>
      <w:r w:rsidRPr="00595884">
        <w:rPr>
          <w:rFonts w:ascii="Calibri" w:hAnsi="Calibri" w:cs="Calibri"/>
          <w:color w:val="000000"/>
          <w:sz w:val="16"/>
          <w:szCs w:val="16"/>
          <w:vertAlign w:val="superscript"/>
        </w:rPr>
        <w:t>1</w:t>
      </w:r>
      <w:r w:rsidRPr="00595884">
        <w:rPr>
          <w:rFonts w:ascii="Calibri" w:hAnsi="Calibri" w:cs="Calibri"/>
          <w:color w:val="000000"/>
          <w:sz w:val="16"/>
          <w:szCs w:val="16"/>
        </w:rPr>
        <w:t xml:space="preserve">.Substantial </w:t>
      </w:r>
      <w:r w:rsidR="00CC4DE4">
        <w:rPr>
          <w:rFonts w:ascii="Calibri" w:hAnsi="Calibri" w:cs="Calibri"/>
          <w:color w:val="000000"/>
          <w:sz w:val="16"/>
          <w:szCs w:val="16"/>
        </w:rPr>
        <w:t xml:space="preserve">(high) </w:t>
      </w:r>
      <w:r w:rsidRPr="00595884">
        <w:rPr>
          <w:rFonts w:ascii="Calibri" w:hAnsi="Calibri" w:cs="Calibri"/>
          <w:color w:val="000000"/>
          <w:sz w:val="16"/>
          <w:szCs w:val="16"/>
        </w:rPr>
        <w:t xml:space="preserve">heterogeneity present.  However, this is due to the </w:t>
      </w:r>
      <w:r w:rsidR="00CC4DE4">
        <w:rPr>
          <w:rFonts w:ascii="Calibri" w:hAnsi="Calibri" w:cs="Calibri"/>
          <w:color w:val="000000"/>
          <w:sz w:val="16"/>
          <w:szCs w:val="16"/>
        </w:rPr>
        <w:t>three included</w:t>
      </w:r>
      <w:r w:rsidR="00CC4DE4" w:rsidRPr="00595884">
        <w:rPr>
          <w:rFonts w:ascii="Calibri" w:hAnsi="Calibri" w:cs="Calibri"/>
          <w:color w:val="000000"/>
          <w:sz w:val="16"/>
          <w:szCs w:val="16"/>
        </w:rPr>
        <w:t xml:space="preserve"> </w:t>
      </w:r>
      <w:r w:rsidRPr="00595884">
        <w:rPr>
          <w:rFonts w:ascii="Calibri" w:hAnsi="Calibri" w:cs="Calibri"/>
          <w:color w:val="000000"/>
          <w:sz w:val="16"/>
          <w:szCs w:val="16"/>
        </w:rPr>
        <w:t>studies each focussing on a different spectrum or medium of chemical hazards.</w:t>
      </w:r>
    </w:p>
    <w:p w14:paraId="6C362511" w14:textId="77777777" w:rsidR="0050769B" w:rsidRPr="00595884" w:rsidRDefault="00274BC6" w:rsidP="0050769B">
      <w:pPr>
        <w:spacing w:before="0" w:after="0" w:line="240" w:lineRule="auto"/>
        <w:rPr>
          <w:rFonts w:ascii="Calibri" w:hAnsi="Calibri" w:cs="Calibri"/>
          <w:color w:val="000000"/>
          <w:sz w:val="16"/>
          <w:szCs w:val="16"/>
        </w:rPr>
      </w:pPr>
      <w:r w:rsidRPr="00595884">
        <w:rPr>
          <w:rFonts w:ascii="Calibri" w:hAnsi="Calibri" w:cs="Calibri"/>
          <w:color w:val="000000"/>
          <w:sz w:val="16"/>
          <w:szCs w:val="16"/>
          <w:vertAlign w:val="superscript"/>
        </w:rPr>
        <w:t>2</w:t>
      </w:r>
      <w:r w:rsidRPr="00595884">
        <w:rPr>
          <w:rFonts w:ascii="Calibri" w:hAnsi="Calibri" w:cs="Calibri"/>
          <w:color w:val="000000"/>
          <w:sz w:val="16"/>
          <w:szCs w:val="16"/>
        </w:rPr>
        <w:t>.Indirectness of evidence is not serious. No changes to the nature of the proposed risks, or their settings would be expected to have occurred since the publication of the studies.</w:t>
      </w:r>
    </w:p>
    <w:p w14:paraId="7438F056" w14:textId="610A93EC" w:rsidR="0050769B" w:rsidRPr="00595884" w:rsidRDefault="00274BC6" w:rsidP="0050769B">
      <w:pPr>
        <w:spacing w:before="0" w:after="0" w:line="240" w:lineRule="auto"/>
        <w:rPr>
          <w:rFonts w:ascii="Calibri" w:hAnsi="Calibri" w:cs="Calibri"/>
          <w:color w:val="000000"/>
          <w:sz w:val="16"/>
          <w:szCs w:val="16"/>
        </w:rPr>
      </w:pPr>
      <w:r w:rsidRPr="00595884">
        <w:rPr>
          <w:rFonts w:ascii="Calibri" w:hAnsi="Calibri" w:cs="Calibri"/>
          <w:color w:val="000000"/>
          <w:sz w:val="16"/>
          <w:szCs w:val="16"/>
          <w:vertAlign w:val="superscript"/>
        </w:rPr>
        <w:t>3</w:t>
      </w:r>
      <w:r w:rsidRPr="00595884">
        <w:rPr>
          <w:rFonts w:ascii="Calibri" w:hAnsi="Calibri" w:cs="Calibri"/>
          <w:color w:val="000000"/>
          <w:sz w:val="16"/>
          <w:szCs w:val="16"/>
        </w:rPr>
        <w:t xml:space="preserve">. The notional effect is the presence of </w:t>
      </w:r>
      <w:r w:rsidR="00E22FA8">
        <w:rPr>
          <w:rFonts w:ascii="Calibri" w:hAnsi="Calibri" w:cs="Calibri"/>
          <w:color w:val="000000"/>
          <w:sz w:val="16"/>
          <w:szCs w:val="16"/>
        </w:rPr>
        <w:t>the</w:t>
      </w:r>
      <w:r w:rsidRPr="00595884">
        <w:rPr>
          <w:rFonts w:ascii="Calibri" w:hAnsi="Calibri" w:cs="Calibri"/>
          <w:color w:val="000000"/>
          <w:sz w:val="16"/>
          <w:szCs w:val="16"/>
        </w:rPr>
        <w:t xml:space="preserve"> listed chemical hazards</w:t>
      </w:r>
      <w:r w:rsidR="00E22FA8">
        <w:rPr>
          <w:rFonts w:ascii="Calibri" w:hAnsi="Calibri" w:cs="Calibri"/>
          <w:color w:val="000000"/>
          <w:sz w:val="16"/>
          <w:szCs w:val="16"/>
        </w:rPr>
        <w:t xml:space="preserve"> (</w:t>
      </w:r>
      <w:r w:rsidR="00E22FA8" w:rsidRPr="00E22FA8">
        <w:rPr>
          <w:rFonts w:ascii="Calibri" w:hAnsi="Calibri" w:cs="Calibri"/>
          <w:color w:val="000000"/>
          <w:sz w:val="16"/>
          <w:szCs w:val="16"/>
        </w:rPr>
        <w:fldChar w:fldCharType="begin"/>
      </w:r>
      <w:r w:rsidR="00E22FA8" w:rsidRPr="00E22FA8">
        <w:rPr>
          <w:rFonts w:ascii="Calibri" w:hAnsi="Calibri" w:cs="Calibri"/>
          <w:color w:val="000000"/>
          <w:sz w:val="16"/>
          <w:szCs w:val="16"/>
        </w:rPr>
        <w:instrText xml:space="preserve"> REF _Ref71043025 \h </w:instrText>
      </w:r>
      <w:r w:rsidR="00E22FA8">
        <w:rPr>
          <w:rFonts w:ascii="Calibri" w:hAnsi="Calibri" w:cs="Calibri"/>
          <w:color w:val="000000"/>
          <w:sz w:val="16"/>
          <w:szCs w:val="16"/>
        </w:rPr>
        <w:instrText xml:space="preserve"> \* MERGEFORMAT </w:instrText>
      </w:r>
      <w:r w:rsidR="00E22FA8" w:rsidRPr="00E22FA8">
        <w:rPr>
          <w:rFonts w:ascii="Calibri" w:hAnsi="Calibri" w:cs="Calibri"/>
          <w:color w:val="000000"/>
          <w:sz w:val="16"/>
          <w:szCs w:val="16"/>
        </w:rPr>
      </w:r>
      <w:r w:rsidR="00E22FA8" w:rsidRPr="00E22FA8">
        <w:rPr>
          <w:rFonts w:ascii="Calibri" w:hAnsi="Calibri" w:cs="Calibri"/>
          <w:color w:val="000000"/>
          <w:sz w:val="16"/>
          <w:szCs w:val="16"/>
        </w:rPr>
        <w:fldChar w:fldCharType="separate"/>
      </w:r>
      <w:r w:rsidR="003132AF" w:rsidRPr="003132AF">
        <w:rPr>
          <w:rFonts w:ascii="Calibri" w:hAnsi="Calibri" w:cs="Calibri"/>
          <w:color w:val="000000"/>
          <w:sz w:val="16"/>
          <w:szCs w:val="16"/>
        </w:rPr>
        <w:t>Table 2</w:t>
      </w:r>
      <w:r w:rsidR="003132AF" w:rsidRPr="003132AF">
        <w:rPr>
          <w:rFonts w:ascii="Calibri" w:hAnsi="Calibri" w:cs="Calibri"/>
          <w:color w:val="000000"/>
          <w:sz w:val="16"/>
          <w:szCs w:val="16"/>
        </w:rPr>
        <w:noBreakHyphen/>
        <w:t>1</w:t>
      </w:r>
      <w:r w:rsidR="00E22FA8" w:rsidRPr="00E22FA8">
        <w:rPr>
          <w:rFonts w:ascii="Calibri" w:hAnsi="Calibri" w:cs="Calibri"/>
          <w:color w:val="000000"/>
          <w:sz w:val="16"/>
          <w:szCs w:val="16"/>
        </w:rPr>
        <w:fldChar w:fldCharType="end"/>
      </w:r>
      <w:r w:rsidR="00E22FA8">
        <w:rPr>
          <w:rFonts w:ascii="Calibri" w:hAnsi="Calibri" w:cs="Calibri"/>
          <w:color w:val="000000"/>
          <w:sz w:val="16"/>
          <w:szCs w:val="16"/>
        </w:rPr>
        <w:t>)</w:t>
      </w:r>
      <w:r w:rsidRPr="00595884">
        <w:rPr>
          <w:rFonts w:ascii="Calibri" w:hAnsi="Calibri" w:cs="Calibri"/>
          <w:color w:val="000000"/>
          <w:sz w:val="16"/>
          <w:szCs w:val="16"/>
        </w:rPr>
        <w:t>.  Since the spectrum of hazards was small for each of the 3 studies, the magnitude of the effect is difficult to judge.  For a large effect, many studies with a wide spectrum of chemical hazards detected would be required</w:t>
      </w:r>
    </w:p>
    <w:p w14:paraId="47691A7D" w14:textId="2868128E" w:rsidR="0050769B" w:rsidRPr="00595884" w:rsidRDefault="00274BC6" w:rsidP="0050769B">
      <w:pPr>
        <w:spacing w:before="0" w:after="0" w:line="240" w:lineRule="auto"/>
        <w:rPr>
          <w:rFonts w:ascii="Calibri" w:hAnsi="Calibri" w:cs="Calibri"/>
          <w:color w:val="000000"/>
          <w:sz w:val="16"/>
          <w:szCs w:val="16"/>
        </w:rPr>
      </w:pPr>
      <w:r w:rsidRPr="00595884">
        <w:rPr>
          <w:rFonts w:ascii="Calibri" w:hAnsi="Calibri" w:cs="Calibri"/>
          <w:color w:val="000000"/>
          <w:sz w:val="16"/>
          <w:szCs w:val="16"/>
          <w:vertAlign w:val="superscript"/>
        </w:rPr>
        <w:t>4</w:t>
      </w:r>
      <w:r w:rsidRPr="00595884">
        <w:rPr>
          <w:rFonts w:ascii="Calibri" w:hAnsi="Calibri" w:cs="Calibri"/>
          <w:color w:val="000000"/>
          <w:sz w:val="16"/>
          <w:szCs w:val="16"/>
        </w:rPr>
        <w:t>. Each of the three studies involved assessment of environmental measurements against a human health guideline value. The dose response aspect is intrinsic to the guideline value and since such values are derived by external agencies through a separate process their evaluation is beyond the scope of the present review.</w:t>
      </w:r>
    </w:p>
    <w:p w14:paraId="262A0202" w14:textId="77777777" w:rsidR="0050769B" w:rsidRPr="00595884" w:rsidRDefault="00274BC6" w:rsidP="0050769B">
      <w:pPr>
        <w:spacing w:before="0" w:after="0" w:line="240" w:lineRule="auto"/>
        <w:rPr>
          <w:rFonts w:ascii="Calibri" w:hAnsi="Calibri" w:cs="Calibri"/>
          <w:color w:val="000000"/>
          <w:sz w:val="16"/>
          <w:szCs w:val="16"/>
        </w:rPr>
      </w:pPr>
      <w:r w:rsidRPr="00595884">
        <w:rPr>
          <w:rFonts w:ascii="Calibri" w:hAnsi="Calibri" w:cs="Calibri"/>
          <w:color w:val="000000"/>
          <w:sz w:val="16"/>
          <w:szCs w:val="16"/>
          <w:vertAlign w:val="superscript"/>
        </w:rPr>
        <w:t>5</w:t>
      </w:r>
      <w:r w:rsidRPr="00595884">
        <w:rPr>
          <w:rFonts w:ascii="Calibri" w:hAnsi="Calibri" w:cs="Calibri"/>
          <w:color w:val="000000"/>
          <w:sz w:val="16"/>
          <w:szCs w:val="16"/>
        </w:rPr>
        <w:t>. No evidence of confounding of evidence was identified in any of the studies.</w:t>
      </w:r>
    </w:p>
    <w:p w14:paraId="349BBCFA" w14:textId="7D38CD03" w:rsidR="0050769B" w:rsidRPr="00595884" w:rsidRDefault="00274BC6" w:rsidP="0050769B">
      <w:pPr>
        <w:spacing w:before="0" w:after="0" w:line="240" w:lineRule="auto"/>
        <w:rPr>
          <w:rFonts w:ascii="Calibri" w:hAnsi="Calibri" w:cs="Calibri"/>
          <w:color w:val="000000"/>
          <w:sz w:val="16"/>
          <w:szCs w:val="16"/>
        </w:rPr>
      </w:pPr>
      <w:r w:rsidRPr="00595884">
        <w:rPr>
          <w:rFonts w:ascii="Calibri" w:hAnsi="Calibri" w:cs="Calibri"/>
          <w:color w:val="000000"/>
          <w:sz w:val="16"/>
          <w:szCs w:val="16"/>
          <w:vertAlign w:val="superscript"/>
        </w:rPr>
        <w:t>6</w:t>
      </w:r>
      <w:r w:rsidRPr="00595884">
        <w:rPr>
          <w:rFonts w:ascii="Calibri" w:hAnsi="Calibri" w:cs="Calibri"/>
          <w:color w:val="000000"/>
          <w:sz w:val="16"/>
          <w:szCs w:val="16"/>
        </w:rPr>
        <w:t>. Each study was a risk assessment of one or more measured chemical hazard values compared with published human health guidelines and different substances or exposure pathways are considered in each study, thus the question of consistency of health response is not applicable.</w:t>
      </w:r>
    </w:p>
    <w:p w14:paraId="5AFD0588" w14:textId="37C118BA" w:rsidR="00696BCE" w:rsidRPr="00595884" w:rsidRDefault="00274BC6" w:rsidP="005B6ACD">
      <w:pPr>
        <w:spacing w:before="0" w:after="0" w:line="240" w:lineRule="auto"/>
      </w:pPr>
      <w:r w:rsidRPr="00E22FA8">
        <w:rPr>
          <w:rFonts w:ascii="Calibri" w:hAnsi="Calibri" w:cs="Calibri"/>
          <w:color w:val="000000"/>
          <w:sz w:val="18"/>
          <w:szCs w:val="18"/>
        </w:rPr>
        <w:t xml:space="preserve">Key to GRADE quality of evidence: </w:t>
      </w:r>
      <w:r w:rsidRPr="00E22FA8">
        <w:rPr>
          <w:rFonts w:ascii="Calibri" w:hAnsi="Calibri" w:cs="Calibri"/>
          <w:color w:val="000000"/>
          <w:sz w:val="18"/>
          <w:szCs w:val="18"/>
        </w:rPr>
        <w:br/>
      </w:r>
      <w:r w:rsidRPr="00E22FA8">
        <w:rPr>
          <w:rFonts w:ascii="Cambria Math" w:hAnsi="Cambria Math" w:cs="Cambria Math"/>
          <w:color w:val="000000"/>
          <w:sz w:val="18"/>
          <w:szCs w:val="18"/>
        </w:rPr>
        <w:t>⨁⨁⨁⨁</w:t>
      </w:r>
      <w:r w:rsidRPr="00E22FA8">
        <w:rPr>
          <w:rFonts w:ascii="Calibri" w:hAnsi="Calibri" w:cs="Calibri"/>
          <w:color w:val="000000"/>
          <w:sz w:val="18"/>
          <w:szCs w:val="18"/>
        </w:rPr>
        <w:t xml:space="preserve"> = </w:t>
      </w:r>
      <w:r w:rsidR="003F5609">
        <w:rPr>
          <w:rFonts w:ascii="Calibri" w:hAnsi="Calibri" w:cs="Calibri"/>
          <w:color w:val="000000"/>
          <w:sz w:val="18"/>
          <w:szCs w:val="18"/>
        </w:rPr>
        <w:t xml:space="preserve">High; </w:t>
      </w:r>
      <w:r w:rsidRPr="00E22FA8">
        <w:rPr>
          <w:rFonts w:ascii="Calibri" w:hAnsi="Calibri" w:cs="Calibri"/>
          <w:color w:val="000000"/>
          <w:sz w:val="18"/>
          <w:szCs w:val="18"/>
        </w:rPr>
        <w:t xml:space="preserve">We are very confident in the reported associations; </w:t>
      </w:r>
      <w:r w:rsidRPr="00E22FA8">
        <w:rPr>
          <w:rFonts w:ascii="Calibri" w:hAnsi="Calibri" w:cs="Calibri"/>
          <w:color w:val="000000"/>
          <w:sz w:val="18"/>
          <w:szCs w:val="18"/>
        </w:rPr>
        <w:br/>
      </w:r>
      <w:r w:rsidRPr="00E22FA8">
        <w:rPr>
          <w:rFonts w:ascii="Cambria Math" w:hAnsi="Cambria Math" w:cs="Cambria Math"/>
          <w:color w:val="000000"/>
          <w:sz w:val="18"/>
          <w:szCs w:val="18"/>
        </w:rPr>
        <w:t>⨁⨁⨁◯</w:t>
      </w:r>
      <w:r w:rsidRPr="00E22FA8">
        <w:rPr>
          <w:rFonts w:ascii="Calibri" w:hAnsi="Calibri" w:cs="Calibri"/>
          <w:color w:val="000000"/>
          <w:sz w:val="18"/>
          <w:szCs w:val="18"/>
        </w:rPr>
        <w:t xml:space="preserve"> = </w:t>
      </w:r>
      <w:r w:rsidR="003F5609">
        <w:rPr>
          <w:rFonts w:ascii="Calibri" w:hAnsi="Calibri" w:cs="Calibri"/>
          <w:color w:val="000000"/>
          <w:sz w:val="18"/>
          <w:szCs w:val="18"/>
        </w:rPr>
        <w:t xml:space="preserve">Moderate; </w:t>
      </w:r>
      <w:r w:rsidRPr="00E22FA8">
        <w:rPr>
          <w:rFonts w:ascii="Calibri" w:hAnsi="Calibri" w:cs="Calibri"/>
          <w:color w:val="000000"/>
          <w:sz w:val="18"/>
          <w:szCs w:val="18"/>
        </w:rPr>
        <w:t xml:space="preserve">We are moderately confident in the reported associations; </w:t>
      </w:r>
      <w:r w:rsidRPr="00E22FA8">
        <w:rPr>
          <w:rFonts w:ascii="Calibri" w:hAnsi="Calibri" w:cs="Calibri"/>
          <w:color w:val="000000"/>
          <w:sz w:val="18"/>
          <w:szCs w:val="18"/>
        </w:rPr>
        <w:br/>
      </w:r>
      <w:r w:rsidRPr="00E22FA8">
        <w:rPr>
          <w:rFonts w:ascii="Cambria Math" w:hAnsi="Cambria Math" w:cs="Cambria Math"/>
          <w:color w:val="000000"/>
          <w:sz w:val="18"/>
          <w:szCs w:val="18"/>
        </w:rPr>
        <w:t>⨁⨁◯◯</w:t>
      </w:r>
      <w:r w:rsidRPr="00E22FA8">
        <w:rPr>
          <w:rFonts w:ascii="Calibri" w:hAnsi="Calibri" w:cs="Calibri"/>
          <w:color w:val="000000"/>
          <w:sz w:val="18"/>
          <w:szCs w:val="18"/>
        </w:rPr>
        <w:t xml:space="preserve"> = </w:t>
      </w:r>
      <w:r w:rsidR="003F5609">
        <w:rPr>
          <w:rFonts w:ascii="Calibri" w:hAnsi="Calibri" w:cs="Calibri"/>
          <w:color w:val="000000"/>
          <w:sz w:val="18"/>
          <w:szCs w:val="18"/>
        </w:rPr>
        <w:t xml:space="preserve">Low; </w:t>
      </w:r>
      <w:r w:rsidRPr="00E22FA8">
        <w:rPr>
          <w:rFonts w:ascii="Calibri" w:hAnsi="Calibri" w:cs="Calibri"/>
          <w:color w:val="000000"/>
          <w:sz w:val="18"/>
          <w:szCs w:val="18"/>
        </w:rPr>
        <w:t xml:space="preserve">Our confidence in the reported associations is limited; </w:t>
      </w:r>
      <w:r w:rsidRPr="00E22FA8">
        <w:rPr>
          <w:rFonts w:ascii="Calibri" w:hAnsi="Calibri" w:cs="Calibri"/>
          <w:color w:val="000000"/>
          <w:sz w:val="18"/>
          <w:szCs w:val="18"/>
        </w:rPr>
        <w:br/>
      </w:r>
      <w:r w:rsidRPr="00E22FA8">
        <w:rPr>
          <w:rFonts w:ascii="Cambria Math" w:hAnsi="Cambria Math" w:cs="Cambria Math"/>
          <w:color w:val="000000"/>
          <w:sz w:val="18"/>
          <w:szCs w:val="18"/>
        </w:rPr>
        <w:t>⨁◯◯◯</w:t>
      </w:r>
      <w:r w:rsidRPr="00E22FA8">
        <w:rPr>
          <w:rFonts w:ascii="Calibri" w:hAnsi="Calibri" w:cs="Calibri"/>
          <w:color w:val="000000"/>
          <w:sz w:val="18"/>
          <w:szCs w:val="18"/>
        </w:rPr>
        <w:t xml:space="preserve"> = </w:t>
      </w:r>
      <w:r w:rsidR="003F5609">
        <w:rPr>
          <w:rFonts w:ascii="Calibri" w:hAnsi="Calibri" w:cs="Calibri"/>
          <w:color w:val="000000"/>
          <w:sz w:val="18"/>
          <w:szCs w:val="18"/>
        </w:rPr>
        <w:t xml:space="preserve">Very Low; </w:t>
      </w:r>
      <w:r w:rsidRPr="00E22FA8">
        <w:rPr>
          <w:rFonts w:ascii="Calibri" w:hAnsi="Calibri" w:cs="Calibri"/>
          <w:color w:val="000000"/>
          <w:sz w:val="18"/>
          <w:szCs w:val="18"/>
        </w:rPr>
        <w:t>We are not confident about the reported associations.</w:t>
      </w:r>
    </w:p>
    <w:p w14:paraId="5478DF87" w14:textId="77777777" w:rsidR="00C246CB" w:rsidRPr="00595884" w:rsidRDefault="00C246CB" w:rsidP="00E5124B">
      <w:pPr>
        <w:sectPr w:rsidR="00C246CB" w:rsidRPr="00595884" w:rsidSect="00C246CB">
          <w:headerReference w:type="default" r:id="rId39"/>
          <w:pgSz w:w="16838" w:h="11906" w:orient="landscape"/>
          <w:pgMar w:top="1588" w:right="1588" w:bottom="1418" w:left="1418" w:header="680" w:footer="709" w:gutter="0"/>
          <w:cols w:space="708"/>
          <w:docGrid w:linePitch="360"/>
        </w:sectPr>
      </w:pPr>
    </w:p>
    <w:p w14:paraId="0957C718" w14:textId="776912FB" w:rsidR="005944CE" w:rsidRPr="00595884" w:rsidRDefault="00274BC6" w:rsidP="005944CE">
      <w:pPr>
        <w:pStyle w:val="Heading1"/>
      </w:pPr>
      <w:bookmarkStart w:id="356" w:name="_Toc106811147"/>
      <w:r w:rsidRPr="00595884">
        <w:t>Discussion</w:t>
      </w:r>
      <w:bookmarkEnd w:id="356"/>
    </w:p>
    <w:p w14:paraId="090802F9" w14:textId="11EF0673" w:rsidR="005944CE" w:rsidRPr="005B6B74" w:rsidRDefault="00274BC6" w:rsidP="005944CE">
      <w:pPr>
        <w:pStyle w:val="Heading2"/>
      </w:pPr>
      <w:bookmarkStart w:id="357" w:name="_Toc106811148"/>
      <w:r w:rsidRPr="00864153">
        <w:t xml:space="preserve">Primary </w:t>
      </w:r>
      <w:r w:rsidRPr="005B6B74">
        <w:t>research question</w:t>
      </w:r>
      <w:bookmarkEnd w:id="357"/>
    </w:p>
    <w:p w14:paraId="12B03435" w14:textId="1060F13F" w:rsidR="00CF3426" w:rsidRPr="00CF3426" w:rsidRDefault="00274BC6" w:rsidP="00027298">
      <w:pPr>
        <w:rPr>
          <w:i/>
          <w:iCs/>
        </w:rPr>
      </w:pPr>
      <w:r w:rsidRPr="00CF3426">
        <w:rPr>
          <w:i/>
          <w:iCs/>
        </w:rPr>
        <w:t xml:space="preserve">Are exposures to the hazards listed in Table 2 1 likely to give rise to any significant human health risks given that chemical concentrations in recreational waters are generally low?  </w:t>
      </w:r>
    </w:p>
    <w:p w14:paraId="78699FA5" w14:textId="514E83D9" w:rsidR="00A34E64" w:rsidRDefault="00274BC6" w:rsidP="00027298">
      <w:r w:rsidRPr="004D4537">
        <w:t>In response to the primary research question evidence was sought to determine if any of the chemical hazards</w:t>
      </w:r>
      <w:r>
        <w:rPr>
          <w:rStyle w:val="FootnoteReference"/>
        </w:rPr>
        <w:footnoteReference w:id="4"/>
      </w:r>
      <w:r w:rsidRPr="004D4537">
        <w:t xml:space="preserve"> listed</w:t>
      </w:r>
      <w:r w:rsidR="000F05AB" w:rsidRPr="004D4537">
        <w:t xml:space="preserve"> in</w:t>
      </w:r>
      <w:r w:rsidRPr="004D4537">
        <w:t xml:space="preserve"> </w:t>
      </w:r>
      <w:r w:rsidR="000F05AB" w:rsidRPr="004D4537">
        <w:fldChar w:fldCharType="begin"/>
      </w:r>
      <w:r w:rsidR="000F05AB" w:rsidRPr="004D4537">
        <w:instrText xml:space="preserve"> REF _Ref71043025 \h </w:instrText>
      </w:r>
      <w:r w:rsidR="000F05AB" w:rsidRPr="004D4537">
        <w:fldChar w:fldCharType="separate"/>
      </w:r>
      <w:r w:rsidR="003132AF" w:rsidRPr="00595884">
        <w:t xml:space="preserve">Table </w:t>
      </w:r>
      <w:r w:rsidR="003132AF">
        <w:rPr>
          <w:noProof/>
        </w:rPr>
        <w:t>2</w:t>
      </w:r>
      <w:r w:rsidR="003132AF">
        <w:noBreakHyphen/>
      </w:r>
      <w:r w:rsidR="003132AF">
        <w:rPr>
          <w:noProof/>
        </w:rPr>
        <w:t>1</w:t>
      </w:r>
      <w:r w:rsidR="000F05AB" w:rsidRPr="004D4537">
        <w:fldChar w:fldCharType="end"/>
      </w:r>
      <w:r w:rsidR="000F05AB" w:rsidRPr="004D4537">
        <w:t xml:space="preserve"> </w:t>
      </w:r>
      <w:r w:rsidRPr="004D4537">
        <w:t>could give rise to significant human health risks in recreational waters</w:t>
      </w:r>
      <w:r w:rsidR="000F05AB" w:rsidRPr="004D4537">
        <w:t>.</w:t>
      </w:r>
      <w:r w:rsidR="004D4537">
        <w:t xml:space="preserve">  </w:t>
      </w:r>
      <w:r w:rsidRPr="004D4537">
        <w:t xml:space="preserve">The list contains broad chemical classes based on </w:t>
      </w:r>
      <w:r w:rsidR="00A7323F" w:rsidRPr="004D4537">
        <w:t>use (e.g. pesticides)</w:t>
      </w:r>
      <w:r w:rsidR="00A7323F">
        <w:t>,</w:t>
      </w:r>
      <w:r w:rsidR="00A7323F" w:rsidRPr="004D4537">
        <w:t xml:space="preserve"> potential modes of toxicity (e.g. EDCs)</w:t>
      </w:r>
      <w:r w:rsidR="0090655B">
        <w:t>,</w:t>
      </w:r>
      <w:r w:rsidR="00A7323F" w:rsidRPr="004D4537">
        <w:t xml:space="preserve"> </w:t>
      </w:r>
      <w:r w:rsidRPr="004D4537">
        <w:t>structure (e.g. PFAS) and other physical properties (e.g. surfactants)</w:t>
      </w:r>
      <w:r w:rsidR="0090655B">
        <w:t>. It</w:t>
      </w:r>
      <w:r w:rsidR="00027298" w:rsidRPr="004D4537">
        <w:t xml:space="preserve"> can be considered to address most chemical contaminants in the context of recreational water quality.  </w:t>
      </w:r>
    </w:p>
    <w:p w14:paraId="394BF3D3" w14:textId="34ED1544" w:rsidR="00A34E64" w:rsidRPr="00A34E64" w:rsidRDefault="00A34E64" w:rsidP="00027298">
      <w:pPr>
        <w:rPr>
          <w:i/>
          <w:iCs/>
          <w:color w:val="008000"/>
        </w:rPr>
      </w:pPr>
      <w:r w:rsidRPr="00A34E64">
        <w:rPr>
          <w:i/>
          <w:iCs/>
          <w:color w:val="008000"/>
        </w:rPr>
        <w:t>The following guidelines were found to be relevant and suitable to adopt/adapt based on an assessment of administrative and technical processes.</w:t>
      </w:r>
    </w:p>
    <w:p w14:paraId="59BE594C" w14:textId="05DE71F0" w:rsidR="00587BC7" w:rsidRPr="004D4537" w:rsidRDefault="00A34E64" w:rsidP="00027298">
      <w:r>
        <w:t>T</w:t>
      </w:r>
      <w:r w:rsidR="00027298" w:rsidRPr="004D4537">
        <w:t xml:space="preserve">he </w:t>
      </w:r>
      <w:r w:rsidR="0090655B" w:rsidRPr="0004776B">
        <w:rPr>
          <w:rFonts w:cs="Arial"/>
          <w:i/>
          <w:iCs/>
        </w:rPr>
        <w:t>Guidelines for Canadian recreational water quality</w:t>
      </w:r>
      <w:r w:rsidR="0090655B" w:rsidRPr="004D4537">
        <w:t xml:space="preserve"> </w:t>
      </w:r>
      <w:r w:rsidR="00027298" w:rsidRPr="004D4537">
        <w:fldChar w:fldCharType="begin"/>
      </w:r>
      <w:r w:rsidR="00956971">
        <w:instrText xml:space="preserve"> ADDIN ZOTERO_ITEM CSL_CITATION {"citationID":"XZDIy7vd","properties":{"formattedCitation":"(Health Canada, 2012)","plainCitation":"(Health Canada, 2012)","noteIndex":0},"citationItems":[{"id":11730,"uris":["http://zotero.org/users/148142/items/YA8HPAF3"],"uri":["http://zotero.org/users/148142/items/YA8HPAF3"],"itemData":{"id":11730,"type":"book","event-place":"Ottawa","ISBN":"978-1-100-20892-3","language":"English","note":"OCLC: 819133628","number-of-pages":"161","publisher":"Health Canada","publisher-place":"Ottawa","source":"Open WorldCat","title":"Guidelines for Canadian recreational water quality. Third Edition. Prepared by the Federal-Provincial-Territorial Working Group on Recreational Water Quality of the Federal-Provincial-Territorial Committee on Health and the Environment,","URL":"https://central.bac-lac.gc.ca/.item?id=H129-15-2012-eng&amp;op=pdf&amp;app=Library","author":[{"literal":"Health Canada"}],"accessed":{"date-parts":[["2020",6,23]]},"issued":{"date-parts":[["2012"]]}}}],"schema":"https://github.com/citation-style-language/schema/raw/master/csl-citation.json"} </w:instrText>
      </w:r>
      <w:r w:rsidR="00027298" w:rsidRPr="004D4537">
        <w:fldChar w:fldCharType="separate"/>
      </w:r>
      <w:r w:rsidR="00027298" w:rsidRPr="004D4537">
        <w:rPr>
          <w:rFonts w:cs="Arial"/>
        </w:rPr>
        <w:t>(Health Canada, 2012)</w:t>
      </w:r>
      <w:r w:rsidR="00027298" w:rsidRPr="004D4537">
        <w:fldChar w:fldCharType="end"/>
      </w:r>
      <w:r w:rsidR="00027298" w:rsidRPr="004D4537">
        <w:t xml:space="preserve"> consider </w:t>
      </w:r>
      <w:r w:rsidR="003F6DB3" w:rsidRPr="004D4537">
        <w:t xml:space="preserve">two broad chemical classes: </w:t>
      </w:r>
      <w:r w:rsidR="00027298" w:rsidRPr="004D4537">
        <w:t>organic and inorganic chemicals</w:t>
      </w:r>
      <w:r w:rsidR="003F6DB3" w:rsidRPr="004D4537">
        <w:t xml:space="preserve">, </w:t>
      </w:r>
      <w:r w:rsidR="00027298" w:rsidRPr="004D4537">
        <w:t xml:space="preserve">and </w:t>
      </w:r>
      <w:r w:rsidR="00204DE8" w:rsidRPr="004D4537">
        <w:t>based on national surveys</w:t>
      </w:r>
      <w:r w:rsidR="003F6DB3" w:rsidRPr="004D4537">
        <w:t>,</w:t>
      </w:r>
      <w:r w:rsidR="00204DE8" w:rsidRPr="004D4537">
        <w:t xml:space="preserve"> </w:t>
      </w:r>
      <w:r w:rsidR="00027298" w:rsidRPr="004D4537">
        <w:t xml:space="preserve">conclude that </w:t>
      </w:r>
      <w:r w:rsidR="00204DE8" w:rsidRPr="004D4537">
        <w:t xml:space="preserve">their concentrations in Canadian recreational waters are generally well below drinking water guidelines. </w:t>
      </w:r>
    </w:p>
    <w:p w14:paraId="677F9165" w14:textId="60B02023" w:rsidR="00587BC7" w:rsidRPr="004D4537" w:rsidRDefault="00274BC6" w:rsidP="004D4537">
      <w:r w:rsidRPr="004D4537">
        <w:t xml:space="preserve">Similar conclusions were reached in the </w:t>
      </w:r>
      <w:r w:rsidRPr="0018492B">
        <w:t>AGWR</w:t>
      </w:r>
      <w:r w:rsidRPr="004D4537">
        <w:t xml:space="preserve"> </w:t>
      </w:r>
      <w:r w:rsidR="0018492B">
        <w:t xml:space="preserve">(Phase 1 or 2) </w:t>
      </w:r>
      <w:r w:rsidRPr="004D4537">
        <w:t>in the context of recycled water, where Australian data indicate</w:t>
      </w:r>
      <w:r w:rsidR="00906EA5" w:rsidRPr="004D4537">
        <w:t>s</w:t>
      </w:r>
      <w:r w:rsidRPr="004D4537">
        <w:t xml:space="preserve"> a high rate of compliance with the </w:t>
      </w:r>
      <w:r w:rsidRPr="0018492B">
        <w:t>AWDG</w:t>
      </w:r>
      <w:r w:rsidR="00906EA5" w:rsidRPr="004D4537">
        <w:t xml:space="preserve">.  Since licensed wastewater discharges constitute one of the most influential sources of potential chemical hazards to recreational water quality, evidence of their compliance with the </w:t>
      </w:r>
      <w:r w:rsidR="00906EA5" w:rsidRPr="0018492B">
        <w:t>ADWG</w:t>
      </w:r>
      <w:r w:rsidR="00906EA5" w:rsidRPr="004D4537">
        <w:t xml:space="preserve"> suggests that recreational waters would normally be expected to be compliant to the same guidelines.  </w:t>
      </w:r>
      <w:r w:rsidRPr="004D4537">
        <w:t xml:space="preserve">Following this line of reasoning, it can be concluded that the concentrations of contaminants listed </w:t>
      </w:r>
      <w:r w:rsidR="0090655B">
        <w:t>in the</w:t>
      </w:r>
      <w:r w:rsidRPr="004D4537">
        <w:t xml:space="preserve"> </w:t>
      </w:r>
      <w:r w:rsidRPr="00654FA2">
        <w:t>AGWR</w:t>
      </w:r>
      <w:r w:rsidR="0018492B">
        <w:t xml:space="preserve"> (Phase 1 or 2)</w:t>
      </w:r>
      <w:r w:rsidRPr="004D4537">
        <w:t>; i.e., nutrients, heavy metals, DBPs, PCBs, PAHs, phenol, toluene and benzene, would not likely pose a risk to users of recreational waters influenced by recycled water discharges.</w:t>
      </w:r>
    </w:p>
    <w:p w14:paraId="2DCE0044" w14:textId="5FCDB781" w:rsidR="00587BC7" w:rsidRPr="00956971" w:rsidRDefault="00274BC6" w:rsidP="00956971">
      <w:r w:rsidRPr="00956971">
        <w:t xml:space="preserve">Citing PFAS measurements of selected estuarine and marine recreational water environments, </w:t>
      </w:r>
      <w:r w:rsidRPr="00956971">
        <w:fldChar w:fldCharType="begin"/>
      </w:r>
      <w:r w:rsidR="00956971" w:rsidRPr="00956971">
        <w:instrText xml:space="preserve"> ADDIN ZOTERO_ITEM CSL_CITATION {"citationID":"5ycmWXZc","properties":{"custom":"NHMRC (2019)","formattedCitation":"NHMRC (2019)","plainCitation":"NHMRC (2019)","noteIndex":0},"citationItems":[{"id":17312,"uris":["http://zotero.org/users/148142/items/6NV45AKL"],"uri":["http://zotero.org/users/148142/items/6NV45AKL"],"itemData":{"id":17312,"type":"report","event-place":"Canberra, A.C.T.","language":"English","publisher":"National Health and Medical Research Council","publisher-place":"Canberra, A.C.T.","title":"Guidance on Per and Polyfluoroalkyl (PFAS) in Recreational Water","URL":"https://www.nhmrc.gov.au/sites/default/files/documents/attachments/guidance-on-PFAS-in-recreational-water.pdf","author":[{"literal":"NHMRC"}],"accessed":{"date-parts":[["2020",10,18]]},"issued":{"date-parts":[["2019"]]}}}],"schema":"https://github.com/citation-style-language/schema/raw/master/csl-citation.json"} </w:instrText>
      </w:r>
      <w:r w:rsidRPr="00956971">
        <w:fldChar w:fldCharType="separate"/>
      </w:r>
      <w:r w:rsidR="00956971" w:rsidRPr="00956971">
        <w:rPr>
          <w:rFonts w:cs="Arial"/>
        </w:rPr>
        <w:t>NHMRC (2019)</w:t>
      </w:r>
      <w:r w:rsidRPr="00956971">
        <w:fldChar w:fldCharType="end"/>
      </w:r>
      <w:r w:rsidR="00956971" w:rsidRPr="00956971">
        <w:t xml:space="preserve"> concluded that </w:t>
      </w:r>
      <w:r w:rsidRPr="00956971">
        <w:t xml:space="preserve">background concentrations of PFAS at recreational water areas would generally </w:t>
      </w:r>
      <w:r w:rsidR="0090655B">
        <w:t xml:space="preserve">be </w:t>
      </w:r>
      <w:r w:rsidRPr="00956971">
        <w:t>well below guideline levels, unless a major source</w:t>
      </w:r>
      <w:r w:rsidR="0090655B">
        <w:t>,</w:t>
      </w:r>
      <w:r w:rsidRPr="00956971">
        <w:t xml:space="preserve"> such as a contaminated site</w:t>
      </w:r>
      <w:r w:rsidR="0090655B">
        <w:t>,</w:t>
      </w:r>
      <w:r w:rsidRPr="00956971">
        <w:t xml:space="preserve"> was present in the water catchment area.</w:t>
      </w:r>
    </w:p>
    <w:p w14:paraId="43EF090F" w14:textId="56C1C5B6" w:rsidR="00A34E64" w:rsidRPr="00A34E64" w:rsidRDefault="00A34E64" w:rsidP="00CA07D9">
      <w:pPr>
        <w:rPr>
          <w:i/>
          <w:iCs/>
          <w:color w:val="008000"/>
        </w:rPr>
      </w:pPr>
      <w:r w:rsidRPr="00A34E64">
        <w:rPr>
          <w:i/>
          <w:iCs/>
          <w:color w:val="008000"/>
        </w:rPr>
        <w:t>There was low certainty in the following primary studies based on their risk of bias assessments. This le</w:t>
      </w:r>
      <w:r>
        <w:rPr>
          <w:i/>
          <w:iCs/>
          <w:color w:val="008000"/>
        </w:rPr>
        <w:t>d</w:t>
      </w:r>
      <w:r w:rsidRPr="00A34E64">
        <w:rPr>
          <w:i/>
          <w:iCs/>
          <w:color w:val="008000"/>
        </w:rPr>
        <w:t xml:space="preserve"> to</w:t>
      </w:r>
      <w:r>
        <w:rPr>
          <w:i/>
          <w:iCs/>
          <w:color w:val="008000"/>
        </w:rPr>
        <w:t xml:space="preserve"> a finding of</w:t>
      </w:r>
      <w:r w:rsidRPr="00A34E64">
        <w:rPr>
          <w:i/>
          <w:iCs/>
          <w:color w:val="008000"/>
        </w:rPr>
        <w:t xml:space="preserve"> limited confidence in the reported associations.</w:t>
      </w:r>
    </w:p>
    <w:p w14:paraId="7E791939" w14:textId="16793B92" w:rsidR="000D1230" w:rsidRPr="006605B4" w:rsidRDefault="00274BC6" w:rsidP="00CA07D9">
      <w:r w:rsidRPr="006605B4">
        <w:t>Evidence from the primary studies literature was limited</w:t>
      </w:r>
      <w:r w:rsidR="006605B4" w:rsidRPr="006605B4">
        <w:t xml:space="preserve"> and somewhat heterogeneous</w:t>
      </w:r>
      <w:r w:rsidR="00715B3E" w:rsidRPr="006605B4">
        <w:t xml:space="preserve">, reflecting the paucity of quality research studies devoted to the effects of chemical hazards on recreational water quality.  </w:t>
      </w:r>
    </w:p>
    <w:p w14:paraId="5FBA749E" w14:textId="273F5C0F" w:rsidR="00587BC7" w:rsidRPr="006605B4" w:rsidRDefault="00274BC6" w:rsidP="00CA07D9">
      <w:r w:rsidRPr="006605B4">
        <w:t xml:space="preserve">A study of a large Turkish water storage which is also used for </w:t>
      </w:r>
      <w:r w:rsidR="00E223F1">
        <w:t>primary contact recreation</w:t>
      </w:r>
      <w:r w:rsidRPr="006605B4">
        <w:t xml:space="preserve"> found that all trace element metals </w:t>
      </w:r>
      <w:r w:rsidR="000223FA">
        <w:t>(</w:t>
      </w:r>
      <w:r w:rsidR="00F76269">
        <w:t>m</w:t>
      </w:r>
      <w:r w:rsidR="000223FA">
        <w:t xml:space="preserve">ercury, </w:t>
      </w:r>
      <w:r w:rsidR="00F76269">
        <w:t>c</w:t>
      </w:r>
      <w:r w:rsidR="000223FA">
        <w:t xml:space="preserve">admium, </w:t>
      </w:r>
      <w:r w:rsidR="00F76269">
        <w:t>l</w:t>
      </w:r>
      <w:r w:rsidR="000223FA">
        <w:t xml:space="preserve">ead, </w:t>
      </w:r>
      <w:r w:rsidR="00F76269">
        <w:t>a</w:t>
      </w:r>
      <w:r w:rsidR="000223FA">
        <w:t xml:space="preserve">rsenic, </w:t>
      </w:r>
      <w:r w:rsidR="00F76269">
        <w:t>c</w:t>
      </w:r>
      <w:r w:rsidR="000223FA">
        <w:t xml:space="preserve">hromium, </w:t>
      </w:r>
      <w:r w:rsidR="00F76269">
        <w:t>a</w:t>
      </w:r>
      <w:r w:rsidR="000223FA">
        <w:t xml:space="preserve">luminium, </w:t>
      </w:r>
      <w:r w:rsidR="00F76269">
        <w:t>c</w:t>
      </w:r>
      <w:r w:rsidR="000223FA">
        <w:t xml:space="preserve">opper, </w:t>
      </w:r>
      <w:r w:rsidR="00F76269">
        <w:t>m</w:t>
      </w:r>
      <w:r w:rsidR="000223FA">
        <w:t xml:space="preserve">anganese, </w:t>
      </w:r>
      <w:r w:rsidR="00F76269">
        <w:t>c</w:t>
      </w:r>
      <w:r w:rsidR="000223FA">
        <w:t xml:space="preserve">obalt, </w:t>
      </w:r>
      <w:r w:rsidR="00F76269">
        <w:t>b</w:t>
      </w:r>
      <w:r w:rsidR="000223FA">
        <w:t xml:space="preserve">arium, </w:t>
      </w:r>
      <w:r w:rsidR="00F76269">
        <w:t>n</w:t>
      </w:r>
      <w:r w:rsidR="000223FA">
        <w:t xml:space="preserve">ickel, </w:t>
      </w:r>
      <w:r w:rsidR="00F76269">
        <w:t>i</w:t>
      </w:r>
      <w:r w:rsidR="000223FA">
        <w:t xml:space="preserve">ron, </w:t>
      </w:r>
      <w:r w:rsidR="00F76269">
        <w:t>z</w:t>
      </w:r>
      <w:r w:rsidR="000223FA">
        <w:t xml:space="preserve">inc, </w:t>
      </w:r>
      <w:r w:rsidR="00F76269">
        <w:t>u</w:t>
      </w:r>
      <w:r w:rsidR="000223FA">
        <w:t xml:space="preserve">ranium, </w:t>
      </w:r>
      <w:r w:rsidR="00F76269">
        <w:t>v</w:t>
      </w:r>
      <w:r w:rsidR="000223FA">
        <w:t xml:space="preserve">anadium, </w:t>
      </w:r>
      <w:r w:rsidR="00F76269">
        <w:t>z</w:t>
      </w:r>
      <w:r w:rsidR="000223FA">
        <w:t xml:space="preserve">irconium and </w:t>
      </w:r>
      <w:r w:rsidR="00F76269">
        <w:t>s</w:t>
      </w:r>
      <w:r w:rsidR="000223FA">
        <w:t>trontium,</w:t>
      </w:r>
      <w:r w:rsidRPr="006605B4">
        <w:t>) were compliant with local health guidelines</w:t>
      </w:r>
      <w:r w:rsidR="00E474F0">
        <w:t xml:space="preserve"> (derived from US EPA guidance, see Technical Report section 6.1.2)</w:t>
      </w:r>
      <w:r w:rsidRPr="006605B4">
        <w:t>.</w:t>
      </w:r>
    </w:p>
    <w:p w14:paraId="777DC17A" w14:textId="26AF27C8" w:rsidR="00587BC7" w:rsidRPr="006605B4" w:rsidRDefault="00274BC6" w:rsidP="00CA07D9">
      <w:r w:rsidRPr="006605B4">
        <w:t xml:space="preserve">In a French oil spill impact study, concentrations of PAHs in beach sand and waters were </w:t>
      </w:r>
      <w:proofErr w:type="gramStart"/>
      <w:r w:rsidRPr="006605B4">
        <w:t>similar to</w:t>
      </w:r>
      <w:proofErr w:type="gramEnd"/>
      <w:r w:rsidRPr="006605B4">
        <w:t xml:space="preserve"> control beaches after </w:t>
      </w:r>
      <w:r w:rsidR="00E223F1" w:rsidRPr="006605B4">
        <w:t>clean-up</w:t>
      </w:r>
      <w:r w:rsidRPr="006605B4">
        <w:t xml:space="preserve">, whereas some rocky areas were still considered to be polluted. </w:t>
      </w:r>
      <w:r w:rsidR="00BD04AA" w:rsidRPr="006605B4">
        <w:t>Interestingly, b</w:t>
      </w:r>
      <w:r w:rsidRPr="006605B4">
        <w:t xml:space="preserve">ackground risks </w:t>
      </w:r>
      <w:r w:rsidR="004E4373" w:rsidRPr="006605B4">
        <w:t>due to PAH exposure</w:t>
      </w:r>
      <w:r w:rsidR="00EC1A18" w:rsidRPr="006605B4">
        <w:t>,</w:t>
      </w:r>
      <w:r w:rsidR="004E4373" w:rsidRPr="006605B4">
        <w:t xml:space="preserve"> </w:t>
      </w:r>
      <w:r w:rsidR="00EC1A18" w:rsidRPr="006605B4">
        <w:t xml:space="preserve">as measured at control sites, </w:t>
      </w:r>
      <w:r w:rsidRPr="006605B4">
        <w:t xml:space="preserve">indicated some minor exceedances of </w:t>
      </w:r>
      <w:r w:rsidR="007355CF" w:rsidRPr="006605B4">
        <w:t xml:space="preserve">excess lifetime </w:t>
      </w:r>
      <w:r w:rsidRPr="006605B4">
        <w:t xml:space="preserve">cancer risk </w:t>
      </w:r>
      <w:r w:rsidR="00EC1CB7" w:rsidRPr="006605B4">
        <w:t>thresholds (</w:t>
      </w:r>
      <w:r w:rsidR="007355CF" w:rsidRPr="006605B4">
        <w:t xml:space="preserve">1 x </w:t>
      </w:r>
      <w:r w:rsidR="00EC1CB7" w:rsidRPr="006605B4">
        <w:t>10</w:t>
      </w:r>
      <w:r w:rsidR="00EC1CB7" w:rsidRPr="006605B4">
        <w:rPr>
          <w:vertAlign w:val="superscript"/>
        </w:rPr>
        <w:t>−5</w:t>
      </w:r>
      <w:r w:rsidR="00EC1CB7" w:rsidRPr="006605B4">
        <w:t>)</w:t>
      </w:r>
      <w:r w:rsidRPr="006605B4">
        <w:t xml:space="preserve"> via dermal and ingestion pathways</w:t>
      </w:r>
      <w:r w:rsidR="00D70651" w:rsidRPr="006605B4">
        <w:t>, suggesting</w:t>
      </w:r>
      <w:r w:rsidR="00EC1A18" w:rsidRPr="006605B4">
        <w:t xml:space="preserve"> other sources of PAHs </w:t>
      </w:r>
      <w:r w:rsidR="00D70651" w:rsidRPr="006605B4">
        <w:t>we</w:t>
      </w:r>
      <w:r w:rsidR="00EC1A18" w:rsidRPr="006605B4">
        <w:t xml:space="preserve">re present </w:t>
      </w:r>
      <w:r w:rsidR="00D70651" w:rsidRPr="006605B4">
        <w:t>along the coast</w:t>
      </w:r>
      <w:r w:rsidR="00EC1A18" w:rsidRPr="006605B4">
        <w:t>.</w:t>
      </w:r>
    </w:p>
    <w:p w14:paraId="40CA10B2" w14:textId="6175B411" w:rsidR="00587BC7" w:rsidRPr="006605B4" w:rsidRDefault="00274BC6" w:rsidP="00CA07D9">
      <w:r w:rsidRPr="006605B4">
        <w:t>A less common recreational exposure pathway was examined by researchers from the Netherlands who concluded that the health risk to children playing with arsenic contaminated iron rocks scattered along a sandy beach was at safe levels.</w:t>
      </w:r>
    </w:p>
    <w:p w14:paraId="35AE0232" w14:textId="41C5B9E9" w:rsidR="00027298" w:rsidRDefault="00274BC6" w:rsidP="006605B4">
      <w:r>
        <w:t>Overall, the body of evidence assembled to respond to the primary research question was</w:t>
      </w:r>
      <w:r w:rsidR="008820A9">
        <w:t xml:space="preserve"> inadequate</w:t>
      </w:r>
      <w:r w:rsidR="00A34E64">
        <w:t xml:space="preserve"> to fully answer the question</w:t>
      </w:r>
      <w:r w:rsidR="000223FA">
        <w:t>.</w:t>
      </w:r>
      <w:r w:rsidR="008820A9">
        <w:t xml:space="preserve"> </w:t>
      </w:r>
      <w:r w:rsidR="000223FA">
        <w:t>I</w:t>
      </w:r>
      <w:r>
        <w:t xml:space="preserve">t did not provide </w:t>
      </w:r>
      <w:r w:rsidR="004A2E64">
        <w:t>any</w:t>
      </w:r>
      <w:r>
        <w:t xml:space="preserve"> </w:t>
      </w:r>
      <w:r w:rsidR="00E232BD">
        <w:t>significant</w:t>
      </w:r>
      <w:r>
        <w:t xml:space="preserve"> </w:t>
      </w:r>
      <w:r w:rsidR="00E232BD">
        <w:t xml:space="preserve">quantitative or qualitative </w:t>
      </w:r>
      <w:r>
        <w:t xml:space="preserve">information on the relationship between concentrations </w:t>
      </w:r>
      <w:r w:rsidR="00BA6814">
        <w:t xml:space="preserve">of </w:t>
      </w:r>
      <w:r w:rsidR="00B67AE7">
        <w:t xml:space="preserve">the listed </w:t>
      </w:r>
      <w:r w:rsidR="004A2E64">
        <w:t>chemical hazards</w:t>
      </w:r>
      <w:r w:rsidR="00B67AE7">
        <w:t xml:space="preserve"> </w:t>
      </w:r>
      <w:r>
        <w:t>in recreational waters and human health risks</w:t>
      </w:r>
      <w:r w:rsidR="000223FA">
        <w:t>.</w:t>
      </w:r>
      <w:r>
        <w:t xml:space="preserve"> </w:t>
      </w:r>
      <w:r w:rsidR="000223FA">
        <w:t>T</w:t>
      </w:r>
      <w:r w:rsidR="004A2E64">
        <w:t>he minor exception</w:t>
      </w:r>
      <w:r w:rsidR="000223FA">
        <w:t>s</w:t>
      </w:r>
      <w:r w:rsidR="004A2E64">
        <w:t xml:space="preserve"> </w:t>
      </w:r>
      <w:r w:rsidR="000223FA">
        <w:t>were</w:t>
      </w:r>
      <w:r w:rsidR="004A2E64">
        <w:t xml:space="preserve"> </w:t>
      </w:r>
      <w:r w:rsidR="00E232BD">
        <w:t xml:space="preserve">single studies on heavy metals and </w:t>
      </w:r>
      <w:r w:rsidR="000223FA">
        <w:t>polycyclic aromatic hydrocarbons</w:t>
      </w:r>
      <w:r w:rsidR="00E232BD">
        <w:t xml:space="preserve"> at a tiny number of locations</w:t>
      </w:r>
      <w:r w:rsidR="00926B8A">
        <w:t xml:space="preserve"> globally</w:t>
      </w:r>
      <w:r w:rsidR="00E232BD">
        <w:t>.</w:t>
      </w:r>
    </w:p>
    <w:p w14:paraId="2691CF82" w14:textId="597A028C" w:rsidR="00174D1D" w:rsidRDefault="00274BC6" w:rsidP="006605B4">
      <w:r w:rsidRPr="00290D35">
        <w:t>The GRADE quality assessment</w:t>
      </w:r>
      <w:r>
        <w:t xml:space="preserve"> for the primary studies literature</w:t>
      </w:r>
      <w:r w:rsidRPr="00290D35">
        <w:t xml:space="preserve"> was “Low” and this led to a final certainty rating of “limited confidence in the reported associations”</w:t>
      </w:r>
      <w:r w:rsidR="00F736E0">
        <w:t>.</w:t>
      </w:r>
      <w:r w:rsidR="000223FA">
        <w:t xml:space="preserve"> This was</w:t>
      </w:r>
      <w:r>
        <w:t xml:space="preserve"> mainly due to the small quantity of relevant </w:t>
      </w:r>
      <w:r w:rsidR="00E223F1">
        <w:t>studies of</w:t>
      </w:r>
      <w:r>
        <w:t xml:space="preserve"> satisfactory quality</w:t>
      </w:r>
      <w:r w:rsidR="00E223F1">
        <w:t xml:space="preserve"> that were</w:t>
      </w:r>
      <w:r>
        <w:t xml:space="preserve"> identified</w:t>
      </w:r>
      <w:r w:rsidRPr="00290D35">
        <w:t>.  None of the factors that could influence a change in the grading of certainty of the body of evidence were identified</w:t>
      </w:r>
      <w:r w:rsidR="00AC10FC">
        <w:t>.</w:t>
      </w:r>
      <w:r w:rsidR="008B7776">
        <w:t xml:space="preserve"> </w:t>
      </w:r>
      <w:r>
        <w:t>The evidence base from the guideline</w:t>
      </w:r>
      <w:r w:rsidR="00290D35">
        <w:t>s</w:t>
      </w:r>
      <w:r>
        <w:t xml:space="preserve"> was also limited as the</w:t>
      </w:r>
      <w:r w:rsidR="000223FA">
        <w:t>y</w:t>
      </w:r>
      <w:r>
        <w:t xml:space="preserve"> generally only addressed broad chemical classes and did not clearly identify the source of information upon which their conclusions were drawn</w:t>
      </w:r>
      <w:r w:rsidR="000223FA">
        <w:t>.</w:t>
      </w:r>
      <w:r>
        <w:t xml:space="preserve"> </w:t>
      </w:r>
      <w:r w:rsidR="000223FA">
        <w:t>T</w:t>
      </w:r>
      <w:r>
        <w:t xml:space="preserve">he exception </w:t>
      </w:r>
      <w:r w:rsidR="000223FA">
        <w:t>was</w:t>
      </w:r>
      <w:r>
        <w:t xml:space="preserve"> the NH</w:t>
      </w:r>
      <w:r w:rsidR="00654FA2">
        <w:t>M</w:t>
      </w:r>
      <w:r>
        <w:t xml:space="preserve">RC </w:t>
      </w:r>
      <w:r w:rsidR="000223FA" w:rsidRPr="0004776B">
        <w:rPr>
          <w:rFonts w:cs="Arial"/>
          <w:i/>
          <w:iCs/>
        </w:rPr>
        <w:t>Guidance on Per</w:t>
      </w:r>
      <w:r w:rsidR="000223FA">
        <w:rPr>
          <w:rFonts w:cs="Arial"/>
          <w:i/>
          <w:iCs/>
        </w:rPr>
        <w:t>-</w:t>
      </w:r>
      <w:r w:rsidR="000223FA" w:rsidRPr="0004776B">
        <w:rPr>
          <w:rFonts w:cs="Arial"/>
          <w:i/>
          <w:iCs/>
        </w:rPr>
        <w:t xml:space="preserve"> and Poly</w:t>
      </w:r>
      <w:r w:rsidR="000223FA">
        <w:rPr>
          <w:rFonts w:cs="Arial"/>
          <w:i/>
          <w:iCs/>
        </w:rPr>
        <w:t>-</w:t>
      </w:r>
      <w:r w:rsidR="000223FA" w:rsidRPr="0004776B">
        <w:rPr>
          <w:rFonts w:cs="Arial"/>
          <w:i/>
          <w:iCs/>
        </w:rPr>
        <w:t>fluoroalkyl</w:t>
      </w:r>
      <w:r w:rsidR="000223FA">
        <w:rPr>
          <w:rFonts w:cs="Arial"/>
          <w:i/>
          <w:iCs/>
        </w:rPr>
        <w:t xml:space="preserve"> Substances</w:t>
      </w:r>
      <w:r w:rsidR="000223FA" w:rsidRPr="0004776B">
        <w:rPr>
          <w:rFonts w:cs="Arial"/>
          <w:i/>
          <w:iCs/>
        </w:rPr>
        <w:t xml:space="preserve"> (PFAS) in Recreational Water</w:t>
      </w:r>
      <w:r w:rsidR="000223FA">
        <w:t xml:space="preserve"> </w:t>
      </w:r>
      <w:r>
        <w:t xml:space="preserve"> </w:t>
      </w:r>
      <w:r w:rsidRPr="00595884">
        <w:fldChar w:fldCharType="begin"/>
      </w:r>
      <w:r w:rsidR="006F085D">
        <w:instrText xml:space="preserve"> ADDIN ZOTERO_ITEM CSL_CITATION {"citationID":"WosWST1O","properties":{"formattedCitation":"(NHMRC, 2019)","plainCitation":"(NHMRC, 2019)","noteIndex":0},"citationItems":[{"id":17312,"uris":["http://zotero.org/users/148142/items/6NV45AKL"],"uri":["http://zotero.org/users/148142/items/6NV45AKL"],"itemData":{"id":17312,"type":"report","event-place":"Canberra, A.C.T.","language":"English","publisher":"National Health and Medical Research Council","publisher-place":"Canberra, A.C.T.","title":"Guidance on Per and Polyfluoroalkyl (PFAS) in Recreational Water","URL":"https://www.nhmrc.gov.au/sites/default/files/documents/attachments/guidance-on-PFAS-in-recreational-water.pdf","author":[{"literal":"NHMRC"}],"accessed":{"date-parts":[["2020",10,18]]},"issued":{"date-parts":[["2019"]]}}}],"schema":"https://github.com/citation-style-language/schema/raw/master/csl-citation.json"} </w:instrText>
      </w:r>
      <w:r w:rsidRPr="00595884">
        <w:fldChar w:fldCharType="separate"/>
      </w:r>
      <w:r w:rsidRPr="00595884">
        <w:rPr>
          <w:rFonts w:cs="Arial"/>
        </w:rPr>
        <w:t>(NHMRC, 2019)</w:t>
      </w:r>
      <w:r w:rsidRPr="00595884">
        <w:fldChar w:fldCharType="end"/>
      </w:r>
      <w:r>
        <w:t xml:space="preserve"> which cited two recent Australian studies.</w:t>
      </w:r>
    </w:p>
    <w:p w14:paraId="508AB2C2" w14:textId="38C0AC12" w:rsidR="006605B4" w:rsidRDefault="00274BC6" w:rsidP="007A05D5">
      <w:r w:rsidRPr="002A33EB">
        <w:t xml:space="preserve">As a result of the </w:t>
      </w:r>
      <w:r w:rsidR="00451924">
        <w:t>limited</w:t>
      </w:r>
      <w:r w:rsidR="00451924" w:rsidRPr="002A33EB">
        <w:t xml:space="preserve"> </w:t>
      </w:r>
      <w:r w:rsidRPr="002A33EB">
        <w:t xml:space="preserve">evidence base available from the review of guidelines and primary studies, the recommendation of the </w:t>
      </w:r>
      <w:r w:rsidR="000223FA" w:rsidRPr="0004776B">
        <w:rPr>
          <w:rFonts w:cs="Arial"/>
          <w:i/>
          <w:iCs/>
        </w:rPr>
        <w:t>Guidelines for Canadian recreational water quality</w:t>
      </w:r>
      <w:r w:rsidR="000223FA" w:rsidRPr="002A33EB">
        <w:t xml:space="preserve"> </w:t>
      </w:r>
      <w:r w:rsidRPr="002A33EB">
        <w:fldChar w:fldCharType="begin"/>
      </w:r>
      <w:r w:rsidR="006F085D">
        <w:instrText xml:space="preserve"> ADDIN ZOTERO_ITEM CSL_CITATION {"citationID":"2xbA6ekZ","properties":{"formattedCitation":"(Health Canada, 2012)","plainCitation":"(Health Canada, 2012)","noteIndex":0},"citationItems":[{"id":11730,"uris":["http://zotero.org/users/148142/items/YA8HPAF3"],"uri":["http://zotero.org/users/148142/items/YA8HPAF3"],"itemData":{"id":11730,"type":"book","event-place":"Ottawa","ISBN":"978-1-100-20892-3","language":"English","note":"OCLC: 819133628","number-of-pages":"161","publisher":"Health Canada","publisher-place":"Ottawa","source":"Open WorldCat","title":"Guidelines for Canadian recreational water quality. Third Edition. Prepared by the Federal-Provincial-Territorial Working Group on Recreational Water Quality of the Federal-Provincial-Territorial Committee on Health and the Environment,","URL":"https://central.bac-lac.gc.ca/.item?id=H129-15-2012-eng&amp;op=pdf&amp;app=Library","author":[{"literal":"Health Canada"}],"accessed":{"date-parts":[["2020",6,23]]},"issued":{"date-parts":[["2012"]]}}}],"schema":"https://github.com/citation-style-language/schema/raw/master/csl-citation.json"} </w:instrText>
      </w:r>
      <w:r w:rsidRPr="002A33EB">
        <w:fldChar w:fldCharType="separate"/>
      </w:r>
      <w:r w:rsidRPr="002A33EB">
        <w:rPr>
          <w:rFonts w:cs="Arial"/>
        </w:rPr>
        <w:t>(Health Canada, 2012)</w:t>
      </w:r>
      <w:r w:rsidRPr="002A33EB">
        <w:fldChar w:fldCharType="end"/>
      </w:r>
      <w:r w:rsidRPr="002A33EB">
        <w:t xml:space="preserve"> that chemical water quality hazards should be assessed on a case-by-case basis since they are dependent on local circumstances, </w:t>
      </w:r>
      <w:r w:rsidR="002A33EB" w:rsidRPr="002A33EB">
        <w:t>remains appropriate</w:t>
      </w:r>
      <w:r w:rsidRPr="002A33EB">
        <w:t>.</w:t>
      </w:r>
    </w:p>
    <w:p w14:paraId="1A5C70AC" w14:textId="77777777" w:rsidR="00CF3426" w:rsidRDefault="00CF3426" w:rsidP="007A05D5"/>
    <w:p w14:paraId="350A3095" w14:textId="2266F21E" w:rsidR="00CF3426" w:rsidRDefault="00274BC6" w:rsidP="00CF3426">
      <w:pPr>
        <w:pStyle w:val="Heading2"/>
      </w:pPr>
      <w:bookmarkStart w:id="358" w:name="_Toc106811149"/>
      <w:r>
        <w:t>GRADE assessment of primary studies</w:t>
      </w:r>
      <w:bookmarkEnd w:id="358"/>
    </w:p>
    <w:p w14:paraId="63366E47" w14:textId="2DF2822D" w:rsidR="00CF3426" w:rsidRDefault="00274BC6" w:rsidP="00CF3426">
      <w:r>
        <w:t xml:space="preserve">The overall certainty rating was “low” for the three quantitative </w:t>
      </w:r>
      <w:proofErr w:type="gramStart"/>
      <w:r>
        <w:t>studies</w:t>
      </w:r>
      <w:proofErr w:type="gramEnd"/>
      <w:r>
        <w:t xml:space="preserve"> and this led to a final certainty rating of “limited confidence in the reported associations”. These results stemmed from the high degree of heterogeneity among the </w:t>
      </w:r>
      <w:r w:rsidR="008B7776">
        <w:t>small number of</w:t>
      </w:r>
      <w:r>
        <w:t xml:space="preserve"> studies </w:t>
      </w:r>
      <w:r w:rsidR="008B7776">
        <w:t>identified</w:t>
      </w:r>
      <w:r>
        <w:t>.  None of the factors that could influence a change in the grading of certainty of the body of evidence were identified.</w:t>
      </w:r>
    </w:p>
    <w:p w14:paraId="62631F98" w14:textId="3365C4A8" w:rsidR="00CF3426" w:rsidRPr="00CF3426" w:rsidRDefault="00274BC6" w:rsidP="00CF3426">
      <w:r>
        <w:t xml:space="preserve">It is worth noting that methods and approaches for systematic reviews of environmental health evidence is still an area of research and development, and further modification of the available frameworks and tools is beyond the scope of services required for this review. Further analysis and evaluation of the </w:t>
      </w:r>
      <w:r w:rsidR="000E2305">
        <w:t xml:space="preserve">identified </w:t>
      </w:r>
      <w:r>
        <w:t xml:space="preserve">primary studies </w:t>
      </w:r>
      <w:r w:rsidR="000E2305">
        <w:t xml:space="preserve">and grey literature documents </w:t>
      </w:r>
      <w:r>
        <w:t>by the Committee can be undertaken if required.</w:t>
      </w:r>
    </w:p>
    <w:p w14:paraId="070C94D8" w14:textId="77777777" w:rsidR="00F6171E" w:rsidRPr="000F05AB" w:rsidRDefault="00F6171E" w:rsidP="006605B4">
      <w:bookmarkStart w:id="359" w:name="_Hlk106807925"/>
    </w:p>
    <w:p w14:paraId="4ADBA528" w14:textId="0502151B" w:rsidR="00E506C8" w:rsidRPr="005944CE" w:rsidRDefault="00274BC6" w:rsidP="005944CE">
      <w:pPr>
        <w:pStyle w:val="Heading2"/>
      </w:pPr>
      <w:bookmarkStart w:id="360" w:name="_Toc106811150"/>
      <w:bookmarkEnd w:id="359"/>
      <w:r w:rsidRPr="005944CE">
        <w:t>Secondary research questions</w:t>
      </w:r>
      <w:bookmarkEnd w:id="360"/>
    </w:p>
    <w:p w14:paraId="35B51CDE" w14:textId="6FCFAC94" w:rsidR="009F374A" w:rsidRPr="00A53498" w:rsidRDefault="00274BC6" w:rsidP="003B3664">
      <w:r w:rsidRPr="00A53498">
        <w:t xml:space="preserve">Evidence for the secondary research questions was limited to </w:t>
      </w:r>
      <w:r w:rsidR="00CF3426">
        <w:t xml:space="preserve">available relevant </w:t>
      </w:r>
      <w:r w:rsidRPr="00A53498">
        <w:t>guidelines</w:t>
      </w:r>
      <w:r w:rsidR="00E506C8" w:rsidRPr="00A53498">
        <w:t xml:space="preserve"> </w:t>
      </w:r>
      <w:r w:rsidR="00CF3426">
        <w:t xml:space="preserve">to make the workload manageable within available resources </w:t>
      </w:r>
      <w:r w:rsidR="00E506C8" w:rsidRPr="00A53498">
        <w:t xml:space="preserve">as </w:t>
      </w:r>
      <w:r w:rsidR="00CF3426">
        <w:t>set out in the research protocol</w:t>
      </w:r>
      <w:r w:rsidR="00E506C8" w:rsidRPr="00A53498">
        <w:t>,</w:t>
      </w:r>
      <w:r w:rsidRPr="00A53498">
        <w:t xml:space="preserve"> with different suites of guidelines relevant depending on the research question</w:t>
      </w:r>
      <w:r w:rsidR="003B3664" w:rsidRPr="00A53498">
        <w:t>.</w:t>
      </w:r>
    </w:p>
    <w:p w14:paraId="5E3FB7AE" w14:textId="75DD139D" w:rsidR="00CF3426" w:rsidRDefault="00274BC6" w:rsidP="00CF3426">
      <w:pPr>
        <w:pStyle w:val="Heading3"/>
      </w:pPr>
      <w:bookmarkStart w:id="361" w:name="_Toc106811151"/>
      <w:r>
        <w:t>(</w:t>
      </w:r>
      <w:proofErr w:type="spellStart"/>
      <w:r>
        <w:t>i</w:t>
      </w:r>
      <w:proofErr w:type="spellEnd"/>
      <w:r>
        <w:t xml:space="preserve">) </w:t>
      </w:r>
      <w:r w:rsidRPr="00CF3426">
        <w:t>What chemicals (that potentially pose a risk to humans) are present at elevated concentrations in recreational waters and what are their sources?</w:t>
      </w:r>
      <w:bookmarkEnd w:id="361"/>
    </w:p>
    <w:p w14:paraId="16FF31D2" w14:textId="444A329E" w:rsidR="00E46408" w:rsidRPr="00A53498" w:rsidRDefault="00274BC6" w:rsidP="00E5124B">
      <w:r w:rsidRPr="00A53498">
        <w:t xml:space="preserve">In relation to secondary </w:t>
      </w:r>
      <w:r w:rsidR="00772352">
        <w:t xml:space="preserve">research </w:t>
      </w:r>
      <w:r w:rsidRPr="00A53498">
        <w:t>question 1, f</w:t>
      </w:r>
      <w:r w:rsidR="00A41274" w:rsidRPr="00A53498">
        <w:t xml:space="preserve">rom the review of guidelines, it was concluded that </w:t>
      </w:r>
      <w:r w:rsidR="00DD16F0" w:rsidRPr="00A53498">
        <w:t>there</w:t>
      </w:r>
      <w:r w:rsidR="00A41274" w:rsidRPr="00A53498">
        <w:t xml:space="preserve"> was a</w:t>
      </w:r>
      <w:r w:rsidR="00756CC1" w:rsidRPr="00A53498">
        <w:t xml:space="preserve"> </w:t>
      </w:r>
      <w:bookmarkStart w:id="362" w:name="_Hlk72499852"/>
      <w:r w:rsidR="00756CC1" w:rsidRPr="00A53498">
        <w:t xml:space="preserve">lack of specificity in the guideline literature about which chemicals harmful to human health might be </w:t>
      </w:r>
      <w:r w:rsidR="00A41274" w:rsidRPr="00A53498">
        <w:t>present at elevated concentrations</w:t>
      </w:r>
      <w:r w:rsidR="00756CC1" w:rsidRPr="00A53498">
        <w:t xml:space="preserve"> in recreational waters and the</w:t>
      </w:r>
      <w:r w:rsidR="00A41274" w:rsidRPr="00A53498">
        <w:t>ir</w:t>
      </w:r>
      <w:r w:rsidR="00756CC1" w:rsidRPr="00A53498">
        <w:t xml:space="preserve"> sources</w:t>
      </w:r>
      <w:bookmarkEnd w:id="362"/>
      <w:r w:rsidR="00A41274" w:rsidRPr="00A53498">
        <w:t>.  Some evidence for PFAS sources was identified.  However, although currently a class of chemicals of concern internationally, PFAS were not reported at elevated concentrations in recreational waters.</w:t>
      </w:r>
      <w:r w:rsidR="00DD16F0" w:rsidRPr="00A53498">
        <w:t xml:space="preserve">  </w:t>
      </w:r>
      <w:r w:rsidRPr="00A53498">
        <w:t>Several other</w:t>
      </w:r>
      <w:r w:rsidR="00A41274" w:rsidRPr="00A53498">
        <w:t xml:space="preserve"> candidate substances reported </w:t>
      </w:r>
      <w:r w:rsidR="00A53498" w:rsidRPr="00A53498">
        <w:t xml:space="preserve">in </w:t>
      </w:r>
      <w:r w:rsidR="00A53498" w:rsidRPr="00201F5F">
        <w:t>AGWR Phase 2</w:t>
      </w:r>
      <w:r w:rsidR="00A53498" w:rsidRPr="00A53498">
        <w:t xml:space="preserve"> </w:t>
      </w:r>
      <w:r w:rsidR="00A41274" w:rsidRPr="00A53498">
        <w:t xml:space="preserve">as exceedances in recycled water were identified (listed in Section </w:t>
      </w:r>
      <w:r w:rsidR="00DD16F0" w:rsidRPr="00A53498">
        <w:fldChar w:fldCharType="begin"/>
      </w:r>
      <w:r w:rsidR="00DD16F0" w:rsidRPr="00A53498">
        <w:instrText xml:space="preserve"> REF _Ref72421876 \r \h </w:instrText>
      </w:r>
      <w:r w:rsidR="00DD16F0" w:rsidRPr="00A53498">
        <w:fldChar w:fldCharType="separate"/>
      </w:r>
      <w:r w:rsidR="003132AF">
        <w:t>6.1.2</w:t>
      </w:r>
      <w:r w:rsidR="00DD16F0" w:rsidRPr="00A53498">
        <w:fldChar w:fldCharType="end"/>
      </w:r>
      <w:r w:rsidR="00DD16F0" w:rsidRPr="00A53498">
        <w:t xml:space="preserve"> above) and thus could be considered as priorities for monitoring in recreational water influenced by recycled water discharges.</w:t>
      </w:r>
      <w:r w:rsidRPr="00A53498">
        <w:t xml:space="preserve">  In addition to these substances, the WHO guideline for protecting the quality of surface waters provided useful general guidance on classes of chemicals and their potential sources.</w:t>
      </w:r>
    </w:p>
    <w:p w14:paraId="2B75B18C" w14:textId="6CDF5DA1" w:rsidR="00CF3426" w:rsidRDefault="00274BC6" w:rsidP="00CF3426">
      <w:pPr>
        <w:pStyle w:val="Heading3"/>
      </w:pPr>
      <w:bookmarkStart w:id="363" w:name="_Toc106811152"/>
      <w:bookmarkStart w:id="364" w:name="_Hlk72507487"/>
      <w:r>
        <w:t xml:space="preserve">(ii) </w:t>
      </w:r>
      <w:r w:rsidRPr="00CF3426">
        <w:t>What chemicals are of most concern due to their physicochemical properties which may enhance their uptake via dermal, inhalation or ingestion exposure pathways? How can we adjust exposure assumptions for these chemicals?</w:t>
      </w:r>
      <w:bookmarkEnd w:id="363"/>
    </w:p>
    <w:p w14:paraId="56164BA5" w14:textId="4EB5B1E0" w:rsidR="0027102A" w:rsidRPr="00470B07" w:rsidRDefault="00274BC6" w:rsidP="00E5124B">
      <w:r w:rsidRPr="00470B07">
        <w:t xml:space="preserve">For secondary </w:t>
      </w:r>
      <w:r w:rsidR="00772352">
        <w:t xml:space="preserve">research </w:t>
      </w:r>
      <w:r w:rsidRPr="00470B07">
        <w:t>question 2,</w:t>
      </w:r>
      <w:r w:rsidR="002008BA" w:rsidRPr="00470B07">
        <w:t xml:space="preserve"> </w:t>
      </w:r>
      <w:bookmarkEnd w:id="364"/>
      <w:r w:rsidR="002008BA" w:rsidRPr="00470B07">
        <w:t>the guideline literature listed some chemical</w:t>
      </w:r>
      <w:r w:rsidR="00F6171E" w:rsidRPr="00470B07">
        <w:t xml:space="preserve"> groups</w:t>
      </w:r>
      <w:r w:rsidR="002008BA" w:rsidRPr="00470B07">
        <w:t xml:space="preserve"> such as EDCs, pharmaceuticals, and DBPs that are </w:t>
      </w:r>
      <w:r w:rsidR="00F6171E" w:rsidRPr="00470B07">
        <w:t xml:space="preserve">considered </w:t>
      </w:r>
      <w:r w:rsidR="002008BA" w:rsidRPr="00470B07">
        <w:t>environmentally persistent and toxic</w:t>
      </w:r>
      <w:r w:rsidR="00772352">
        <w:t>. It</w:t>
      </w:r>
      <w:r w:rsidR="002008BA" w:rsidRPr="00470B07">
        <w:t xml:space="preserve"> also identified other physicochemical properties that are useful for quantifying uptake via dermal, inhalation or ingestion exposure pathways (e.g. log K</w:t>
      </w:r>
      <w:r w:rsidR="002008BA" w:rsidRPr="008B3AA1">
        <w:rPr>
          <w:vertAlign w:val="subscript"/>
        </w:rPr>
        <w:t>OW</w:t>
      </w:r>
      <w:r w:rsidR="002008BA" w:rsidRPr="00470B07">
        <w:t>, MW</w:t>
      </w:r>
      <w:r w:rsidR="00441B84" w:rsidRPr="00470B07">
        <w:t>, etc.</w:t>
      </w:r>
      <w:r w:rsidR="002008BA" w:rsidRPr="00470B07">
        <w:t xml:space="preserve">).  </w:t>
      </w:r>
      <w:r w:rsidR="006F085D">
        <w:t>Nevertheless</w:t>
      </w:r>
      <w:r w:rsidR="00F6171E" w:rsidRPr="00470B07">
        <w:t xml:space="preserve">, the </w:t>
      </w:r>
      <w:bookmarkStart w:id="365" w:name="_Hlk72500001"/>
      <w:r w:rsidR="00F6171E" w:rsidRPr="00470B07">
        <w:t xml:space="preserve">discussion on </w:t>
      </w:r>
      <w:r w:rsidR="008B3AA1" w:rsidRPr="00470B07">
        <w:t xml:space="preserve">physicochemical </w:t>
      </w:r>
      <w:r w:rsidR="00F6171E" w:rsidRPr="00470B07">
        <w:t xml:space="preserve">properties </w:t>
      </w:r>
      <w:r w:rsidR="008B3AA1">
        <w:t xml:space="preserve">of </w:t>
      </w:r>
      <w:r w:rsidR="008B3AA1" w:rsidRPr="00470B07">
        <w:t xml:space="preserve">chemical </w:t>
      </w:r>
      <w:r w:rsidR="008B3AA1">
        <w:t xml:space="preserve">hazards </w:t>
      </w:r>
      <w:r w:rsidR="00F6171E" w:rsidRPr="00470B07">
        <w:t xml:space="preserve">that may enhance uptake was generally limited </w:t>
      </w:r>
      <w:bookmarkEnd w:id="365"/>
      <w:r w:rsidR="00F6171E" w:rsidRPr="00470B07">
        <w:t xml:space="preserve">in the guideline </w:t>
      </w:r>
      <w:r w:rsidR="008B3AA1">
        <w:t>literature</w:t>
      </w:r>
      <w:r w:rsidR="00DE32C8">
        <w:t>. I</w:t>
      </w:r>
      <w:r w:rsidR="00F6171E" w:rsidRPr="00470B07">
        <w:t>t is likely that better information can be obtained in the broader literature on chemical environmental fate</w:t>
      </w:r>
      <w:r w:rsidR="00E474F0">
        <w:t xml:space="preserve"> and bioavailability</w:t>
      </w:r>
      <w:r w:rsidR="00F6171E" w:rsidRPr="00470B07">
        <w:t xml:space="preserve"> </w:t>
      </w:r>
      <w:r w:rsidR="00470B07" w:rsidRPr="00470B07">
        <w:t>b</w:t>
      </w:r>
      <w:r w:rsidR="00F6171E" w:rsidRPr="00470B07">
        <w:t>eyond the recreational water use context of the current review.</w:t>
      </w:r>
    </w:p>
    <w:p w14:paraId="21BD6733" w14:textId="272F61BD" w:rsidR="00DE32C8" w:rsidRPr="00316807" w:rsidRDefault="00274BC6" w:rsidP="00E5124B">
      <w:r w:rsidRPr="00316807">
        <w:t>In addition to the above comments, there was also no information in the guideline literature on methods for adjusting exposure assumptions for problematic chemicals.  However, information on this topic is also likely to be available in the broader literature on chemical environmental fate.  For example, there are a number of online tools for determining environmental fate factors such as biodegradation, volatilisation, and adsorption to solids</w:t>
      </w:r>
      <w:r w:rsidR="006F085D" w:rsidRPr="00316807">
        <w:t xml:space="preserve"> such as EPI Suite </w:t>
      </w:r>
      <w:r w:rsidR="006F085D" w:rsidRPr="00316807">
        <w:fldChar w:fldCharType="begin"/>
      </w:r>
      <w:r w:rsidR="006F085D" w:rsidRPr="00316807">
        <w:instrText xml:space="preserve"> ADDIN ZOTERO_ITEM CSL_CITATION {"citationID":"6gL6N95z","properties":{"formattedCitation":"(US EPA, 2012)","plainCitation":"(US EPA, 2012)","noteIndex":0},"citationItems":[{"id":9278,"uris":["http://zotero.org/users/148142/items/PITZ3BS4"],"uri":["http://zotero.org/users/148142/items/PITZ3BS4"],"itemData":{"id":9278,"type":"webpage","title":"EPI Suite™.  Estimation Programs Interface Suite™ for Microsoft® Windows, Version 4.11 (November, 2012). United States Environmental Protection Agency, Washington, DC, USA","URL":"https://www.epa.gov/tsca-screening-tools/epi-suitetm-estimation-program-interface","author":[{"family":"US EPA","given":""}],"issued":{"date-parts":[["2012",11]]}}}],"schema":"https://github.com/citation-style-language/schema/raw/master/csl-citation.json"} </w:instrText>
      </w:r>
      <w:r w:rsidR="006F085D" w:rsidRPr="00316807">
        <w:fldChar w:fldCharType="separate"/>
      </w:r>
      <w:r w:rsidR="006F085D" w:rsidRPr="00316807">
        <w:rPr>
          <w:rFonts w:cs="Arial"/>
        </w:rPr>
        <w:t>(US EPA, 2012)</w:t>
      </w:r>
      <w:r w:rsidR="006F085D" w:rsidRPr="00316807">
        <w:fldChar w:fldCharType="end"/>
      </w:r>
      <w:r w:rsidR="006F085D" w:rsidRPr="00316807">
        <w:t xml:space="preserve"> or QSAR Toolbox </w:t>
      </w:r>
      <w:r w:rsidR="006F085D" w:rsidRPr="00316807">
        <w:fldChar w:fldCharType="begin"/>
      </w:r>
      <w:r w:rsidR="006F085D" w:rsidRPr="00316807">
        <w:instrText xml:space="preserve"> ADDIN ZOTERO_ITEM CSL_CITATION {"citationID":"7CCkdmjl","properties":{"formattedCitation":"(OECD, 2018)","plainCitation":"(OECD, 2018)","noteIndex":0},"citationItems":[{"id":9456,"uris":["http://zotero.org/users/148142/items/Z62JN4JR"],"uri":["http://zotero.org/users/148142/items/Z62JN4JR"],"itemData":{"id":9456,"type":"book","publisher":"Organisation for Economic Co-operation and Development &amp; European Chemicals Agency","title":"QSAR Toolbox Version 4.2","URL":"https://www.qsartoolbox.org/about","author":[{"literal":"OECD"}],"issued":{"date-parts":[["2018",2]]}}}],"schema":"https://github.com/citation-style-language/schema/raw/master/csl-citation.json"} </w:instrText>
      </w:r>
      <w:r w:rsidR="006F085D" w:rsidRPr="00316807">
        <w:fldChar w:fldCharType="separate"/>
      </w:r>
      <w:r w:rsidR="006F085D" w:rsidRPr="00316807">
        <w:rPr>
          <w:rFonts w:cs="Arial"/>
        </w:rPr>
        <w:t>(OECD, 2018)</w:t>
      </w:r>
      <w:r w:rsidR="006F085D" w:rsidRPr="00316807">
        <w:fldChar w:fldCharType="end"/>
      </w:r>
      <w:r w:rsidR="00316807" w:rsidRPr="00316807">
        <w:t>.</w:t>
      </w:r>
    </w:p>
    <w:p w14:paraId="3F3F2AB4" w14:textId="1D15A4DE" w:rsidR="00CF3426" w:rsidRDefault="00274BC6" w:rsidP="00CF3426">
      <w:pPr>
        <w:pStyle w:val="Heading3"/>
      </w:pPr>
      <w:bookmarkStart w:id="366" w:name="_Toc106811153"/>
      <w:r>
        <w:t xml:space="preserve">(iii) </w:t>
      </w:r>
      <w:r w:rsidRPr="00CF3426">
        <w:t>Should the focus be on “hot spots” i.e. site-specific rather than chemical specific, and/or include periodic toxicity screening of sites to complement chemical testing?</w:t>
      </w:r>
      <w:bookmarkEnd w:id="366"/>
    </w:p>
    <w:p w14:paraId="4CD78D77" w14:textId="5017E1D3" w:rsidR="001D00BC" w:rsidRDefault="00274BC6" w:rsidP="00E5124B">
      <w:r>
        <w:t xml:space="preserve">In relation to secondary </w:t>
      </w:r>
      <w:r w:rsidR="00772352">
        <w:t xml:space="preserve">research </w:t>
      </w:r>
      <w:r>
        <w:t>question 3, t</w:t>
      </w:r>
      <w:r w:rsidR="00D0525C">
        <w:t xml:space="preserve">he guideline literature contained no </w:t>
      </w:r>
      <w:r w:rsidR="00D0525C" w:rsidRPr="00D0525C">
        <w:t>information</w:t>
      </w:r>
      <w:r w:rsidR="00D0525C">
        <w:t xml:space="preserve"> to support </w:t>
      </w:r>
      <w:r>
        <w:t xml:space="preserve">a focus on “hot spots” or site-specific over chemical-specific assessment apart from some indirect </w:t>
      </w:r>
      <w:r w:rsidRPr="001D00BC">
        <w:t xml:space="preserve">commentary in the </w:t>
      </w:r>
      <w:r w:rsidRPr="00201F5F">
        <w:t>AGWR</w:t>
      </w:r>
      <w:r w:rsidR="00201F5F">
        <w:t xml:space="preserve"> Phase</w:t>
      </w:r>
      <w:r w:rsidR="0032706F">
        <w:t xml:space="preserve"> 1</w:t>
      </w:r>
      <w:r w:rsidR="00F526A3">
        <w:t xml:space="preserve"> and </w:t>
      </w:r>
      <w:r w:rsidR="00F526A3" w:rsidRPr="001D00BC">
        <w:t>Canadian recreational water quality guidelines</w:t>
      </w:r>
      <w:r w:rsidR="00F526A3">
        <w:t xml:space="preserve">.  The </w:t>
      </w:r>
      <w:r w:rsidR="00F526A3" w:rsidRPr="00201F5F">
        <w:t>AGWR</w:t>
      </w:r>
      <w:r>
        <w:t xml:space="preserve"> </w:t>
      </w:r>
      <w:r w:rsidR="00201F5F">
        <w:t xml:space="preserve">Phase 1 </w:t>
      </w:r>
      <w:r>
        <w:t>suggest</w:t>
      </w:r>
      <w:r w:rsidR="00F526A3">
        <w:t>ed</w:t>
      </w:r>
      <w:r>
        <w:t xml:space="preserve"> small wastewater treatment systems were more problematic than large plants with respect to quality of recycled water discharged to the environment</w:t>
      </w:r>
      <w:r w:rsidR="00772352">
        <w:t>.</w:t>
      </w:r>
      <w:r w:rsidR="00F526A3">
        <w:t xml:space="preserve"> </w:t>
      </w:r>
      <w:r w:rsidR="00772352">
        <w:t>T</w:t>
      </w:r>
      <w:r w:rsidR="00F526A3">
        <w:t xml:space="preserve">he </w:t>
      </w:r>
      <w:r w:rsidRPr="001D00BC">
        <w:t xml:space="preserve">Canadian guidelines </w:t>
      </w:r>
      <w:r w:rsidR="00F526A3">
        <w:t xml:space="preserve">recommended </w:t>
      </w:r>
      <w:r w:rsidRPr="001D00BC">
        <w:t>chemical water quality hazards be assessed on a case-by-case basis</w:t>
      </w:r>
      <w:r w:rsidR="00F526A3">
        <w:t>.  Both suggestions support the view that monitoring of chemical hazards in recreational water environments should be risk-based</w:t>
      </w:r>
      <w:r w:rsidR="00BD0D32">
        <w:t xml:space="preserve">, </w:t>
      </w:r>
      <w:proofErr w:type="gramStart"/>
      <w:r w:rsidR="00F526A3">
        <w:t>similar to</w:t>
      </w:r>
      <w:proofErr w:type="gramEnd"/>
      <w:r w:rsidR="00F526A3">
        <w:t xml:space="preserve"> the approach commonly used for management of microbiological risks in recreational waters.</w:t>
      </w:r>
    </w:p>
    <w:p w14:paraId="6F25518E" w14:textId="6262A90B" w:rsidR="00316807" w:rsidRDefault="00274BC6" w:rsidP="00E5124B">
      <w:r>
        <w:t>The application of p</w:t>
      </w:r>
      <w:r w:rsidRPr="00BD0D32">
        <w:t>eriodic toxicity screening of sites to complement chemical testing</w:t>
      </w:r>
      <w:r>
        <w:t xml:space="preserve"> was not addressed in the </w:t>
      </w:r>
      <w:r w:rsidRPr="00BD0D32">
        <w:t>guideline literature</w:t>
      </w:r>
      <w:r>
        <w:t>.</w:t>
      </w:r>
    </w:p>
    <w:p w14:paraId="7DFC0760" w14:textId="77777777" w:rsidR="00CF3426" w:rsidRDefault="00CF3426" w:rsidP="00E5124B"/>
    <w:p w14:paraId="1EAC0CCB" w14:textId="3DF6AAE7" w:rsidR="00E5124B" w:rsidRDefault="00274BC6" w:rsidP="00811F33">
      <w:pPr>
        <w:pStyle w:val="Heading2"/>
      </w:pPr>
      <w:bookmarkStart w:id="367" w:name="_Toc106811154"/>
      <w:bookmarkStart w:id="368" w:name="_Hlk72507594"/>
      <w:r>
        <w:t>Conclusions</w:t>
      </w:r>
      <w:bookmarkEnd w:id="367"/>
    </w:p>
    <w:p w14:paraId="61B8BDDE" w14:textId="413F48BD" w:rsidR="00787A0F" w:rsidRPr="00F41A4A" w:rsidRDefault="00274BC6" w:rsidP="00E5124B">
      <w:r w:rsidRPr="00F41A4A">
        <w:t>An evaluation of evidence contained in four guidelines and three qualitative research primary studies indicated that the available evidence was inadequate to determine if exposure to listed chemical hazards</w:t>
      </w:r>
      <w:r w:rsidR="00691FA8" w:rsidRPr="00F41A4A">
        <w:t xml:space="preserve"> (PFAS, pesticides, nanomaterials, hydrocarbons, heavy metals, EDCs, surfactants, or combinations) could give rise to any significant human health risks in recreational waters, given that such exposures are generally low. </w:t>
      </w:r>
    </w:p>
    <w:p w14:paraId="281F4BC3" w14:textId="3BE8B086" w:rsidR="00583582" w:rsidRPr="00595884" w:rsidRDefault="00274BC6" w:rsidP="00FD5D54">
      <w:r w:rsidRPr="00F41A4A">
        <w:t xml:space="preserve">An evaluation of </w:t>
      </w:r>
      <w:r w:rsidR="00AF3646">
        <w:t xml:space="preserve">the </w:t>
      </w:r>
      <w:r w:rsidRPr="00F41A4A">
        <w:t xml:space="preserve">evidence contained in seven </w:t>
      </w:r>
      <w:r w:rsidR="00AF3646">
        <w:t xml:space="preserve">included </w:t>
      </w:r>
      <w:r w:rsidRPr="00F41A4A">
        <w:t xml:space="preserve">guidelines indicated that the evidence in the guideline literature </w:t>
      </w:r>
      <w:r w:rsidR="003A229D" w:rsidRPr="00F41A4A">
        <w:t xml:space="preserve">lacked sufficient detail to determine </w:t>
      </w:r>
      <w:r w:rsidRPr="00F41A4A">
        <w:t>which chemicals harmful to human health might be present at elevated concentrations in recreational waters and their sources</w:t>
      </w:r>
      <w:r w:rsidR="003A229D" w:rsidRPr="00F41A4A">
        <w:t>.</w:t>
      </w:r>
      <w:r w:rsidR="00F41A4A" w:rsidRPr="00F41A4A">
        <w:t xml:space="preserve">  Similarly, evidence for the physicochemical properties of chemical hazards that may enhance uptake via dermal, inhalation or ingestion exposure pathways was generally limited. Furthermore, there was no information in the </w:t>
      </w:r>
      <w:r w:rsidR="00AF3646">
        <w:t xml:space="preserve">included </w:t>
      </w:r>
      <w:r w:rsidR="00F41A4A" w:rsidRPr="00F41A4A">
        <w:t>guideline literature on methods for adjusting exposure assumptions for problematic chemicals.</w:t>
      </w:r>
    </w:p>
    <w:p w14:paraId="52B16783" w14:textId="2B885661" w:rsidR="005B36E3" w:rsidRPr="00595884" w:rsidRDefault="00274BC6" w:rsidP="005B36E3">
      <w:pPr>
        <w:pStyle w:val="Heading1"/>
      </w:pPr>
      <w:bookmarkStart w:id="369" w:name="_Toc106811155"/>
      <w:bookmarkEnd w:id="368"/>
      <w:r w:rsidRPr="00595884">
        <w:t>References</w:t>
      </w:r>
      <w:bookmarkEnd w:id="369"/>
    </w:p>
    <w:p w14:paraId="67EE835E" w14:textId="672FD82E" w:rsidR="00A811AB" w:rsidRPr="00A811AB" w:rsidRDefault="00A811AB" w:rsidP="005B6ACD">
      <w:pPr>
        <w:ind w:hanging="720"/>
      </w:pPr>
      <w:r w:rsidRPr="00A811AB">
        <w:t>AGREE Next Steps Consortium (2017) The AGREE II Instrument [Electronic version]., [online] http://www.agreetrust.org.</w:t>
      </w:r>
    </w:p>
    <w:p w14:paraId="4432A2D3" w14:textId="77777777" w:rsidR="00A811AB" w:rsidRPr="00A811AB" w:rsidRDefault="00A811AB" w:rsidP="005B6ACD">
      <w:pPr>
        <w:ind w:hanging="720"/>
      </w:pPr>
      <w:r w:rsidRPr="00A811AB">
        <w:t xml:space="preserve">Björklund, K., </w:t>
      </w:r>
      <w:proofErr w:type="spellStart"/>
      <w:r w:rsidRPr="00A811AB">
        <w:t>Bondelind</w:t>
      </w:r>
      <w:proofErr w:type="spellEnd"/>
      <w:r w:rsidRPr="00A811AB">
        <w:t>, M., Karlsson, A., Karlsson, D., and Sokolova, E. (2018) Hydrodynamic modelling of the influence of stormwater and combined sewer overflows on receiving water quality: Benzo(a)pyrene and copper risks to recreational water. Journal of Environmental Management, 207, 32–42.</w:t>
      </w:r>
    </w:p>
    <w:p w14:paraId="659D4993" w14:textId="77777777" w:rsidR="00A811AB" w:rsidRPr="00A811AB" w:rsidRDefault="00A811AB" w:rsidP="005B6ACD">
      <w:pPr>
        <w:ind w:hanging="720"/>
      </w:pPr>
      <w:r w:rsidRPr="00A811AB">
        <w:t>Black, J. C., Welday, J. N., Buckley, B., Ferguson, A., Gurian, P. L., Mena, K. D., Yang, I., McCandlish, E., and Solo-Gabriele, H. M. (2016) Risk Assessment for Children Exposed to Beach Sands Impacted by Oil Spill Chemicals. International Journal of Environmental Research and Public Health, 13(9). [online] http://www.ncbi.nlm.nih.gov/pubmed/27618904.</w:t>
      </w:r>
    </w:p>
    <w:p w14:paraId="5E1C6CD5" w14:textId="77777777" w:rsidR="00A811AB" w:rsidRPr="00A811AB" w:rsidRDefault="00A811AB" w:rsidP="005B6ACD">
      <w:pPr>
        <w:ind w:hanging="720"/>
      </w:pPr>
      <w:r w:rsidRPr="00A811AB">
        <w:t>Brouwers, M. C., Kerkvliet, K., Spithoff, K., and AGREE Next Steps Consortium (2016) The AGREE Reporting Checklist: a tool to improve reporting of clinical practice guidelines. BMJ, i1152.</w:t>
      </w:r>
    </w:p>
    <w:p w14:paraId="03881ED2" w14:textId="77777777" w:rsidR="00A811AB" w:rsidRPr="00A811AB" w:rsidRDefault="00A811AB" w:rsidP="005B6ACD">
      <w:pPr>
        <w:ind w:hanging="720"/>
      </w:pPr>
      <w:r w:rsidRPr="00A811AB">
        <w:t xml:space="preserve">Canpolat, O., Varol, M., Okan, O. O., Eris, K. K., and Caglar, M. (2020) A comparison of trace element concentrations in surface and deep water of the </w:t>
      </w:r>
      <w:proofErr w:type="spellStart"/>
      <w:r w:rsidRPr="00A811AB">
        <w:t>Keban</w:t>
      </w:r>
      <w:proofErr w:type="spellEnd"/>
      <w:r w:rsidRPr="00A811AB">
        <w:t xml:space="preserve"> Dam Lake (Turkey) and associated health risk assessment. Environmental Research, 190, 110012.</w:t>
      </w:r>
    </w:p>
    <w:p w14:paraId="1812FFEF" w14:textId="77777777" w:rsidR="00A811AB" w:rsidRPr="00A811AB" w:rsidRDefault="00A811AB" w:rsidP="005B6ACD">
      <w:pPr>
        <w:ind w:hanging="720"/>
      </w:pPr>
      <w:r w:rsidRPr="00A811AB">
        <w:t>Cheng, Y. S., Yue, Z., Irvin, C. M., Kirkpatrick, B., and Backer, L. C. (2007) Characterization of Aerosols Containing Microcystin. Marine Drugs, 5(4), 136–150.</w:t>
      </w:r>
    </w:p>
    <w:p w14:paraId="2BF13CA8" w14:textId="77777777" w:rsidR="00A811AB" w:rsidRPr="00A811AB" w:rsidRDefault="00A811AB" w:rsidP="005B6ACD">
      <w:pPr>
        <w:ind w:hanging="720"/>
      </w:pPr>
      <w:r w:rsidRPr="00A811AB">
        <w:t xml:space="preserve">Dor, F., Bonnard, R., Gourier-Frery, C., </w:t>
      </w:r>
      <w:proofErr w:type="spellStart"/>
      <w:r w:rsidRPr="00A811AB">
        <w:t>Cicolella</w:t>
      </w:r>
      <w:proofErr w:type="spellEnd"/>
      <w:r w:rsidRPr="00A811AB">
        <w:t xml:space="preserve">, A., Dujardin, R., and </w:t>
      </w:r>
      <w:proofErr w:type="spellStart"/>
      <w:r w:rsidRPr="00A811AB">
        <w:t>Zmirou</w:t>
      </w:r>
      <w:proofErr w:type="spellEnd"/>
      <w:r w:rsidRPr="00A811AB">
        <w:t>, D. (2003) Health risk assessment after decontamination of the beaches polluted by the wrecked ERIKA tanker. Risk Analysis, 23(6), 1199–1208.</w:t>
      </w:r>
    </w:p>
    <w:p w14:paraId="60B0C1C9" w14:textId="77777777" w:rsidR="00A811AB" w:rsidRPr="00A811AB" w:rsidRDefault="00A811AB" w:rsidP="005B6ACD">
      <w:pPr>
        <w:ind w:hanging="720"/>
      </w:pPr>
      <w:r w:rsidRPr="00A811AB">
        <w:t xml:space="preserve">Guyatt, G., Oxman, A. D., Akl, E. A., Kunz, R., </w:t>
      </w:r>
      <w:proofErr w:type="spellStart"/>
      <w:r w:rsidRPr="00A811AB">
        <w:t>Vist</w:t>
      </w:r>
      <w:proofErr w:type="spellEnd"/>
      <w:r w:rsidRPr="00A811AB">
        <w:t>, G., Brozek, J., Norris, S., Falck-</w:t>
      </w:r>
      <w:proofErr w:type="spellStart"/>
      <w:r w:rsidRPr="00A811AB">
        <w:t>Ytter</w:t>
      </w:r>
      <w:proofErr w:type="spellEnd"/>
      <w:r w:rsidRPr="00A811AB">
        <w:t xml:space="preserve">, Y., </w:t>
      </w:r>
      <w:proofErr w:type="spellStart"/>
      <w:r w:rsidRPr="00A811AB">
        <w:t>Glasziou</w:t>
      </w:r>
      <w:proofErr w:type="spellEnd"/>
      <w:r w:rsidRPr="00A811AB">
        <w:t xml:space="preserve">, P., and </w:t>
      </w:r>
      <w:proofErr w:type="spellStart"/>
      <w:r w:rsidRPr="00A811AB">
        <w:t>deBeer</w:t>
      </w:r>
      <w:proofErr w:type="spellEnd"/>
      <w:r w:rsidRPr="00A811AB">
        <w:t>, H. (2011) GRADE guidelines: 1. Introduction—GRADE evidence profiles and summary of findings tables. Journal of Clinical Epidemiology, 64(4), 383–394.</w:t>
      </w:r>
    </w:p>
    <w:p w14:paraId="7807242B" w14:textId="77777777" w:rsidR="00A811AB" w:rsidRPr="00A811AB" w:rsidRDefault="00A811AB" w:rsidP="005B6ACD">
      <w:pPr>
        <w:ind w:hanging="720"/>
      </w:pPr>
      <w:r w:rsidRPr="00A811AB">
        <w:t>Health Canada (2012) Guidelines for Canadian recreational water quality. Third Edition. Prepared by the Federal-Provincial-Territorial Working Group on Recreational Water Quality of the Federal-Provincial-Territorial Committee on Health and the Environment, Ottawa, Health Canada. [online] https://central.bac-lac.gc.ca/.item?id=H129-15-2012-eng&amp;op=pdf&amp;app=Library (Accessed June 23, 2020).</w:t>
      </w:r>
    </w:p>
    <w:p w14:paraId="450371E4" w14:textId="77777777" w:rsidR="00A811AB" w:rsidRPr="00A811AB" w:rsidRDefault="00A811AB" w:rsidP="005B6ACD">
      <w:pPr>
        <w:ind w:hanging="720"/>
      </w:pPr>
      <w:r w:rsidRPr="00A811AB">
        <w:t>HEPA (2020) PFAS National Environmental Management Plan Version 2.0’, Heads of EPA Australia and New Zealand (HEPA), [online] https://www.environment.gov.au/system/files/resources/2fadf1bc-b0b6-44cb-a192-78c522d5ec3f/files/pfas-nemp-2.pdf.</w:t>
      </w:r>
    </w:p>
    <w:p w14:paraId="303523CD" w14:textId="77777777" w:rsidR="00A811AB" w:rsidRPr="00A811AB" w:rsidRDefault="00A811AB" w:rsidP="005B6ACD">
      <w:pPr>
        <w:ind w:hanging="720"/>
      </w:pPr>
      <w:r w:rsidRPr="00A811AB">
        <w:t>Li, P., Feng, W., Xue, C., Tian, R., and Wang, S. (2017) Spatiotemporal Variability of Contaminants in Lake Water and Their Risks to Human Health: A Case Study of the Shahu Lake Tourist Area, Northwest China. Exposure and Health, 9(3), 213–225.</w:t>
      </w:r>
    </w:p>
    <w:p w14:paraId="21AFC4AE" w14:textId="77777777" w:rsidR="00A811AB" w:rsidRPr="00A811AB" w:rsidRDefault="00A811AB" w:rsidP="005B6ACD">
      <w:pPr>
        <w:ind w:hanging="720"/>
      </w:pPr>
      <w:r w:rsidRPr="00A811AB">
        <w:t>NHMRC (2008) Guidelines for managing risks in recreational water. National Health and Medical Research Council (Australia), Canberra, A.C.T., National Health and Medical Research Council. [online] http://www.nhmrc.gov.au/publications/synopses/_files/eh38.pdf (Accessed October 18, 2012).</w:t>
      </w:r>
    </w:p>
    <w:p w14:paraId="6F18FD02" w14:textId="02BCD543" w:rsidR="00A811AB" w:rsidRDefault="00A811AB" w:rsidP="00A811AB">
      <w:pPr>
        <w:ind w:hanging="720"/>
      </w:pPr>
      <w:r w:rsidRPr="00A811AB">
        <w:t xml:space="preserve">NHMRC and NRMMC (2018) Australian Drinking Water Guidelines. Version 3.5. Updated August 2018, Commonwealth of Australia, Canberra, National Health and Medical Research Council and Natural Resource Management Ministerial Council. [online] </w:t>
      </w:r>
      <w:r w:rsidR="001A6727" w:rsidRPr="005B6ACD">
        <w:t>https://www.nhmrc.gov.au/about-us/publications/australian-drinking-water-guidelines#block-views-block-file-attachments-content-block-1</w:t>
      </w:r>
      <w:r w:rsidRPr="00A811AB">
        <w:t>.</w:t>
      </w:r>
    </w:p>
    <w:p w14:paraId="4BC3310E" w14:textId="77777777" w:rsidR="001A6727" w:rsidRPr="00A811AB" w:rsidRDefault="001A6727" w:rsidP="001A6727">
      <w:pPr>
        <w:ind w:hanging="720"/>
      </w:pPr>
      <w:r w:rsidRPr="00A811AB">
        <w:t>NHMRC (2019) Guidance on Per and Polyfluoroalkyl (PFAS) in Recreational Water, Canberra, A.C.T., National Health and Medical Research Council. [online] https://www.nhmrc.gov.au/sites/default/files/documents/attachments/guidance-on-PFAS-in-recreational-water.pdf (Accessed October 18, 2020).</w:t>
      </w:r>
    </w:p>
    <w:p w14:paraId="2CAF369B" w14:textId="77777777" w:rsidR="00A811AB" w:rsidRPr="00A811AB" w:rsidRDefault="00A811AB" w:rsidP="005B6ACD">
      <w:pPr>
        <w:ind w:hanging="720"/>
      </w:pPr>
      <w:r w:rsidRPr="00A811AB">
        <w:t>NRMMC, EPHC, and AHMC (2006) Australian Guidelines for Water Recycling: Managing Health and Environmental Risks (Phase 1), Canberra, Australia, Natural Resource Management Ministerial Council. Environment Protection and Heritage Council Australian Health Ministers’ Conference. [online] https://www.nhmrc.gov.au/about-us/publications/australian-guidelines-water-recycling.</w:t>
      </w:r>
    </w:p>
    <w:p w14:paraId="58CE9BF8" w14:textId="77777777" w:rsidR="00A811AB" w:rsidRPr="00A811AB" w:rsidRDefault="00A811AB" w:rsidP="005B6ACD">
      <w:pPr>
        <w:ind w:hanging="720"/>
      </w:pPr>
      <w:r w:rsidRPr="00A811AB">
        <w:t>NRMMC, EPHC, and NHMRC (2008) Australian Guidelines for Water Recycling (Phase 2): Augmentation of Drinking Water Supplies, Canberra, Australia., Natural Resource Management Ministerial Council, Environmental Protection and Heritage Council and National Health and Medical Research Council.</w:t>
      </w:r>
    </w:p>
    <w:p w14:paraId="094253C3" w14:textId="77777777" w:rsidR="00A811AB" w:rsidRPr="00A811AB" w:rsidRDefault="00A811AB" w:rsidP="005B6ACD">
      <w:pPr>
        <w:ind w:hanging="720"/>
      </w:pPr>
      <w:r w:rsidRPr="00A811AB">
        <w:t xml:space="preserve">O’Connor, N. A. (2020) Research Protocols for Narrative Reviews in support of the NHMRC Recreational Water Quality Guidelines: Chemical Hazards. </w:t>
      </w:r>
      <w:proofErr w:type="spellStart"/>
      <w:r w:rsidRPr="00A811AB">
        <w:t>Ecos</w:t>
      </w:r>
      <w:proofErr w:type="spellEnd"/>
      <w:r w:rsidRPr="00A811AB">
        <w:t xml:space="preserve"> Environmental Consulting, September 2020,</w:t>
      </w:r>
    </w:p>
    <w:p w14:paraId="50940B13" w14:textId="77777777" w:rsidR="00A811AB" w:rsidRPr="00A811AB" w:rsidRDefault="00A811AB" w:rsidP="005B6ACD">
      <w:pPr>
        <w:ind w:hanging="720"/>
      </w:pPr>
      <w:r w:rsidRPr="00A811AB">
        <w:t xml:space="preserve">O’Connor, N. A. (2022) Technical Report for Narrative Reviews in support of NHMRC Recreational Water Quality Guidelines: Chemical Hazards. </w:t>
      </w:r>
      <w:proofErr w:type="spellStart"/>
      <w:r w:rsidRPr="00A811AB">
        <w:t>Ecos</w:t>
      </w:r>
      <w:proofErr w:type="spellEnd"/>
      <w:r w:rsidRPr="00A811AB">
        <w:t xml:space="preserve"> Environmental Consulting, May 2022,</w:t>
      </w:r>
    </w:p>
    <w:p w14:paraId="5A79AA52" w14:textId="77777777" w:rsidR="00A811AB" w:rsidRPr="00A811AB" w:rsidRDefault="00A811AB" w:rsidP="005B6ACD">
      <w:pPr>
        <w:ind w:hanging="720"/>
      </w:pPr>
      <w:r w:rsidRPr="00A811AB">
        <w:t>OECD (2018) QSAR Toolbox Version 4.2, Organisation for Economic Co-operation and Development &amp; European Chemicals Agency. [online] https://www.qsartoolbox.org/about.</w:t>
      </w:r>
    </w:p>
    <w:p w14:paraId="65216DE0" w14:textId="531550BE" w:rsidR="00A811AB" w:rsidRDefault="00A811AB" w:rsidP="00A811AB">
      <w:pPr>
        <w:ind w:hanging="720"/>
      </w:pPr>
      <w:r w:rsidRPr="00A811AB">
        <w:t>OHAT (2015) Risk of Bias Tool. Office of Health Assessment and Translation (OHAT), U.S. Department of Health and Human Services. [online] https://ntp.niehs.nih.gov/whatwestudy/assessments/noncancer/riskbias/index.html (Accessed June 19, 2020).</w:t>
      </w:r>
    </w:p>
    <w:p w14:paraId="6FA7CF32" w14:textId="77777777" w:rsidR="001A6727" w:rsidRPr="00A811AB" w:rsidRDefault="001A6727" w:rsidP="001A6727">
      <w:pPr>
        <w:ind w:hanging="720"/>
      </w:pPr>
      <w:r w:rsidRPr="00A811AB">
        <w:t>OHAT (2019) Handbook for Conducting a Literature-Based Health Assessment Using OHAT Approach for Systematic Review and Evidence Integration, Office of Health Assessment and Translation (OHAT), US Department of Health and Human Services. [online] https://ntp.niehs.nih.gov/go/ohathandbook.</w:t>
      </w:r>
    </w:p>
    <w:p w14:paraId="4E81203D" w14:textId="77777777" w:rsidR="00A811AB" w:rsidRPr="00A811AB" w:rsidRDefault="00A811AB" w:rsidP="005B6ACD">
      <w:pPr>
        <w:ind w:hanging="720"/>
      </w:pPr>
      <w:r w:rsidRPr="00A811AB">
        <w:t>Oxford CTVH (2020) CASP - Critical Appraisal Skills Programme. Oxford Centre for Triple Value Healthcare Ltd. [online] https://casp-uk.net/ (Accessed June 13, 2020).</w:t>
      </w:r>
    </w:p>
    <w:p w14:paraId="4ABE9349" w14:textId="77777777" w:rsidR="00A811AB" w:rsidRPr="00A811AB" w:rsidRDefault="00A811AB" w:rsidP="005B6ACD">
      <w:pPr>
        <w:ind w:hanging="720"/>
      </w:pPr>
      <w:r w:rsidRPr="00A811AB">
        <w:t>Ryan, R. and Hill, S. (2016) How to GRADE the quality of the evidence. Cochrane Consumers and Communication Group. Version 3.0 December 2016, [online] http://cccrg.cochrane.org/author-resources.</w:t>
      </w:r>
    </w:p>
    <w:p w14:paraId="0C252A2B" w14:textId="77777777" w:rsidR="00A811AB" w:rsidRPr="00A811AB" w:rsidRDefault="00A811AB" w:rsidP="005B6ACD">
      <w:pPr>
        <w:ind w:hanging="720"/>
      </w:pPr>
      <w:proofErr w:type="spellStart"/>
      <w:r w:rsidRPr="00A811AB">
        <w:t>Swartjes</w:t>
      </w:r>
      <w:proofErr w:type="spellEnd"/>
      <w:r w:rsidRPr="00A811AB">
        <w:t>, F. A. and Janssen, P. J. C. M. (2016) Assessment of health risks due to arsenic from iron ore lumps in a beach setting. The Science of the Total Environment, 563–564, 405–412.</w:t>
      </w:r>
    </w:p>
    <w:p w14:paraId="08CF7483" w14:textId="77777777" w:rsidR="00A811AB" w:rsidRPr="00A811AB" w:rsidRDefault="00A811AB" w:rsidP="005B6ACD">
      <w:pPr>
        <w:ind w:hanging="720"/>
      </w:pPr>
      <w:r w:rsidRPr="00A811AB">
        <w:t xml:space="preserve">US EPA (2012) EPI </w:t>
      </w:r>
      <w:proofErr w:type="spellStart"/>
      <w:r w:rsidRPr="00A811AB">
        <w:t>SuiteTM</w:t>
      </w:r>
      <w:proofErr w:type="spellEnd"/>
      <w:r w:rsidRPr="00A811AB">
        <w:t xml:space="preserve">.  Estimation Programs Interface </w:t>
      </w:r>
      <w:proofErr w:type="spellStart"/>
      <w:r w:rsidRPr="00A811AB">
        <w:t>SuiteTM</w:t>
      </w:r>
      <w:proofErr w:type="spellEnd"/>
      <w:r w:rsidRPr="00A811AB">
        <w:t xml:space="preserve"> for Microsoft® Windows, Version 4.11 (</w:t>
      </w:r>
      <w:proofErr w:type="gramStart"/>
      <w:r w:rsidRPr="00A811AB">
        <w:t>November,</w:t>
      </w:r>
      <w:proofErr w:type="gramEnd"/>
      <w:r w:rsidRPr="00A811AB">
        <w:t xml:space="preserve"> 2012). United States Environmental Protection Agency, Washington, DC, USA. [online] https://www.epa.gov/tsca-screening-tools/epi-suitetm-estimation-program-interface.</w:t>
      </w:r>
    </w:p>
    <w:p w14:paraId="19B5849B" w14:textId="77777777" w:rsidR="00A811AB" w:rsidRPr="00A811AB" w:rsidRDefault="00A811AB" w:rsidP="005B6ACD">
      <w:pPr>
        <w:ind w:hanging="720"/>
      </w:pPr>
      <w:r w:rsidRPr="00A811AB">
        <w:t>US EPA (2019) Recommended Human Health Recreational Ambient Water Quality Criteria or Swimming Advisories for Microcystins and Cylindrospermopsin. EPA Document Number: 822-R-19-001, and online at http://www.epa.gov/ncea/efh., U.S. Environmental Protection Agency (EPA). [online] http://www.epa.gov/ncea/efh.</w:t>
      </w:r>
    </w:p>
    <w:p w14:paraId="63ACFEEE" w14:textId="77777777" w:rsidR="00A811AB" w:rsidRPr="00A811AB" w:rsidRDefault="00A811AB" w:rsidP="005B6ACD">
      <w:pPr>
        <w:ind w:hanging="720"/>
      </w:pPr>
      <w:r w:rsidRPr="00A811AB">
        <w:t>WHO (2003) Guidelines for Safe Recreational Water Environments. Volume 1: Coastal and Fresh Waters, Geneva, World Health Organization. [online] http://search.ebscohost.com/login.aspx?direct=true&amp;scope=site&amp;db=nlebk&amp;db=nlabk&amp;AN=114058 (Accessed August 5, 2013).</w:t>
      </w:r>
    </w:p>
    <w:p w14:paraId="7EBCDB61" w14:textId="77777777" w:rsidR="00A811AB" w:rsidRPr="00A811AB" w:rsidRDefault="00A811AB" w:rsidP="005B6ACD">
      <w:pPr>
        <w:ind w:hanging="720"/>
      </w:pPr>
      <w:r w:rsidRPr="00A811AB">
        <w:t>WHO (2016) Protecting surface water for health Identifying, assessing and managing drinking-water quality risks in surface-water catchments, Geneva, World Health Organization.</w:t>
      </w:r>
    </w:p>
    <w:p w14:paraId="0A9BF74F" w14:textId="77777777" w:rsidR="00A811AB" w:rsidRPr="00DF3B03" w:rsidRDefault="00A811AB" w:rsidP="00137E3A"/>
    <w:sectPr w:rsidR="00A811AB" w:rsidRPr="00DF3B03" w:rsidSect="00C246CB">
      <w:headerReference w:type="default" r:id="rId40"/>
      <w:pgSz w:w="11906" w:h="16838"/>
      <w:pgMar w:top="1588" w:right="1418" w:bottom="1418" w:left="2835"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DEC93" w14:textId="77777777" w:rsidR="00C06B84" w:rsidRDefault="00C06B84">
      <w:pPr>
        <w:spacing w:before="0" w:after="0" w:line="240" w:lineRule="auto"/>
      </w:pPr>
      <w:r>
        <w:separator/>
      </w:r>
    </w:p>
  </w:endnote>
  <w:endnote w:type="continuationSeparator" w:id="0">
    <w:p w14:paraId="5F11282F" w14:textId="77777777" w:rsidR="00C06B84" w:rsidRDefault="00C06B8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eta Plus Normal">
    <w:altName w:val="Cambria"/>
    <w:panose1 w:val="00000000000000000000"/>
    <w:charset w:val="00"/>
    <w:family w:val="roman"/>
    <w:notTrueType/>
    <w:pitch w:val="default"/>
    <w:sig w:usb0="00000003" w:usb1="00000000" w:usb2="00000000" w:usb3="00000000" w:csb0="00000001" w:csb1="00000000"/>
  </w:font>
  <w:font w:name="Script">
    <w:altName w:val="Calibri"/>
    <w:panose1 w:val="00000000000000000000"/>
    <w:charset w:val="FF"/>
    <w:family w:val="script"/>
    <w:notTrueType/>
    <w:pitch w:val="variable"/>
    <w:sig w:usb0="00000003"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Gotham-Book">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74EEF" w14:textId="594D131F" w:rsidR="001E4CD0" w:rsidRPr="0069013B" w:rsidRDefault="00274BC6" w:rsidP="005B747F">
    <w:pPr>
      <w:pStyle w:val="Footer"/>
      <w:ind w:right="360"/>
      <w:rPr>
        <w:b/>
      </w:rPr>
    </w:pPr>
    <w:r>
      <w:br/>
    </w:r>
    <w:r w:rsidRPr="005B747F">
      <w:rPr>
        <w:b/>
      </w:rPr>
      <w:t xml:space="preserve">Evidence Evaluation </w:t>
    </w:r>
    <w:r w:rsidRPr="00F47F81">
      <w:rPr>
        <w:b/>
      </w:rPr>
      <w:t xml:space="preserve">Report </w:t>
    </w:r>
    <w:r>
      <w:rPr>
        <w:b/>
      </w:rPr>
      <w:t>for Narrative Review in support of NHMRC Recreational Water Quality Guidelines: Chemical Hazards</w:t>
    </w:r>
  </w:p>
  <w:p w14:paraId="04CBF714" w14:textId="77777777" w:rsidR="001E4CD0" w:rsidRPr="0069013B" w:rsidRDefault="00274BC6" w:rsidP="005B747F">
    <w:pPr>
      <w:pStyle w:val="Footer"/>
      <w:ind w:right="360"/>
    </w:pPr>
    <w:r w:rsidRPr="0069013B">
      <w:t xml:space="preserve">Ecos Environmental Consulting Pty Ltd </w:t>
    </w:r>
  </w:p>
  <w:p w14:paraId="400C6ECB" w14:textId="41F2EB8E" w:rsidR="001E4CD0" w:rsidRDefault="00274BC6" w:rsidP="005B747F">
    <w:pPr>
      <w:pStyle w:val="Footer"/>
    </w:pPr>
    <w:r w:rsidRPr="0069013B">
      <w:t>13</w:t>
    </w:r>
    <w:r>
      <w:t>44</w:t>
    </w:r>
    <w:r w:rsidRPr="0069013B">
      <w:t>-20</w:t>
    </w:r>
    <w:r>
      <w:t>21</w:t>
    </w:r>
    <w:r w:rsidRPr="0069013B">
      <w:tab/>
    </w:r>
    <w:r w:rsidRPr="0069013B">
      <w:tab/>
    </w:r>
    <w:r w:rsidRPr="0069013B">
      <w:fldChar w:fldCharType="begin"/>
    </w:r>
    <w:r w:rsidRPr="0069013B">
      <w:instrText xml:space="preserve"> PAGE   \* MERGEFORMAT </w:instrText>
    </w:r>
    <w:r w:rsidRPr="0069013B">
      <w:fldChar w:fldCharType="separate"/>
    </w:r>
    <w:r w:rsidR="00AB1228">
      <w:rPr>
        <w:noProof/>
      </w:rPr>
      <w:t>51</w:t>
    </w:r>
    <w:r w:rsidRPr="0069013B">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EEBD6" w14:textId="77777777" w:rsidR="00EC7E04" w:rsidRDefault="00EC7E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26F91" w14:textId="77777777" w:rsidR="00C06B84" w:rsidRDefault="00C06B84">
      <w:r>
        <w:separator/>
      </w:r>
    </w:p>
  </w:footnote>
  <w:footnote w:type="continuationSeparator" w:id="0">
    <w:p w14:paraId="06EBA8F4" w14:textId="77777777" w:rsidR="00C06B84" w:rsidRDefault="00C06B84">
      <w:r>
        <w:continuationSeparator/>
      </w:r>
    </w:p>
  </w:footnote>
  <w:footnote w:id="1">
    <w:p w14:paraId="5C0F1425" w14:textId="77777777" w:rsidR="001E4CD0" w:rsidRPr="00EC374D" w:rsidRDefault="00274BC6" w:rsidP="006A0DF9">
      <w:pPr>
        <w:pStyle w:val="FootnoteText"/>
        <w:rPr>
          <w:lang w:val="en-AU"/>
        </w:rPr>
      </w:pPr>
      <w:r>
        <w:rPr>
          <w:rStyle w:val="FootnoteReference"/>
        </w:rPr>
        <w:footnoteRef/>
      </w:r>
      <w:r>
        <w:t xml:space="preserve"> </w:t>
      </w:r>
      <w:r w:rsidRPr="00EC374D">
        <w:rPr>
          <w:rFonts w:asciiTheme="minorHAnsi" w:hAnsiTheme="minorHAnsi" w:cstheme="minorHAnsi"/>
          <w:sz w:val="18"/>
          <w:szCs w:val="18"/>
          <w:lang w:val="en-AU"/>
        </w:rPr>
        <w:t>For further information on each CASP checklist see https://casp-uk.net/casp-tools-checklists/</w:t>
      </w:r>
    </w:p>
  </w:footnote>
  <w:footnote w:id="2">
    <w:p w14:paraId="35F9420A" w14:textId="29F08DA7" w:rsidR="001E4CD0" w:rsidRPr="00306A8F" w:rsidRDefault="00274BC6">
      <w:pPr>
        <w:pStyle w:val="FootnoteText"/>
        <w:rPr>
          <w:rFonts w:asciiTheme="minorHAnsi" w:hAnsiTheme="minorHAnsi" w:cstheme="minorHAnsi"/>
          <w:lang w:val="en-AU"/>
        </w:rPr>
      </w:pPr>
      <w:r w:rsidRPr="00306A8F">
        <w:rPr>
          <w:rStyle w:val="FootnoteReference"/>
          <w:rFonts w:asciiTheme="minorHAnsi" w:hAnsiTheme="minorHAnsi" w:cstheme="minorHAnsi"/>
          <w:sz w:val="18"/>
          <w:szCs w:val="18"/>
        </w:rPr>
        <w:footnoteRef/>
      </w:r>
      <w:r w:rsidRPr="00306A8F">
        <w:rPr>
          <w:rFonts w:asciiTheme="minorHAnsi" w:hAnsiTheme="minorHAnsi" w:cstheme="minorHAnsi"/>
          <w:sz w:val="18"/>
          <w:szCs w:val="18"/>
        </w:rPr>
        <w:t xml:space="preserve"> </w:t>
      </w:r>
      <w:r>
        <w:rPr>
          <w:rFonts w:asciiTheme="minorHAnsi" w:hAnsiTheme="minorHAnsi" w:cstheme="minorHAnsi"/>
          <w:sz w:val="18"/>
          <w:szCs w:val="18"/>
        </w:rPr>
        <w:t>S</w:t>
      </w:r>
      <w:r w:rsidRPr="00306A8F">
        <w:rPr>
          <w:rFonts w:asciiTheme="minorHAnsi" w:hAnsiTheme="minorHAnsi" w:cstheme="minorHAnsi"/>
          <w:sz w:val="18"/>
          <w:szCs w:val="18"/>
        </w:rPr>
        <w:t>ee Technical Report</w:t>
      </w:r>
      <w:r w:rsidR="00305708">
        <w:rPr>
          <w:rFonts w:asciiTheme="minorHAnsi" w:hAnsiTheme="minorHAnsi" w:cstheme="minorHAnsi"/>
          <w:sz w:val="18"/>
          <w:szCs w:val="18"/>
        </w:rPr>
        <w:t xml:space="preserve"> (O’Connor, 202</w:t>
      </w:r>
      <w:r w:rsidR="007345A4">
        <w:rPr>
          <w:rFonts w:asciiTheme="minorHAnsi" w:hAnsiTheme="minorHAnsi" w:cstheme="minorHAnsi"/>
          <w:sz w:val="18"/>
          <w:szCs w:val="18"/>
        </w:rPr>
        <w:t>2</w:t>
      </w:r>
      <w:r w:rsidR="00305708">
        <w:rPr>
          <w:rFonts w:asciiTheme="minorHAnsi" w:hAnsiTheme="minorHAnsi" w:cstheme="minorHAnsi"/>
          <w:sz w:val="18"/>
          <w:szCs w:val="18"/>
        </w:rPr>
        <w:t>)</w:t>
      </w:r>
      <w:r>
        <w:rPr>
          <w:rFonts w:asciiTheme="minorHAnsi" w:hAnsiTheme="minorHAnsi" w:cstheme="minorHAnsi"/>
          <w:sz w:val="18"/>
          <w:szCs w:val="18"/>
        </w:rPr>
        <w:t>, Section 2,</w:t>
      </w:r>
      <w:r w:rsidRPr="00306A8F">
        <w:rPr>
          <w:rFonts w:asciiTheme="minorHAnsi" w:hAnsiTheme="minorHAnsi" w:cstheme="minorHAnsi"/>
          <w:sz w:val="18"/>
          <w:szCs w:val="18"/>
        </w:rPr>
        <w:t xml:space="preserve"> for method</w:t>
      </w:r>
      <w:r>
        <w:rPr>
          <w:rFonts w:asciiTheme="minorHAnsi" w:hAnsiTheme="minorHAnsi" w:cstheme="minorHAnsi"/>
          <w:sz w:val="18"/>
          <w:szCs w:val="18"/>
        </w:rPr>
        <w:t>.</w:t>
      </w:r>
    </w:p>
  </w:footnote>
  <w:footnote w:id="3">
    <w:p w14:paraId="586ADFB3" w14:textId="2309CB4D" w:rsidR="001E4CD0" w:rsidRPr="00D577C6" w:rsidRDefault="00274BC6">
      <w:pPr>
        <w:pStyle w:val="FootnoteText"/>
        <w:rPr>
          <w:lang w:val="en-AU"/>
        </w:rPr>
      </w:pPr>
      <w:r>
        <w:rPr>
          <w:rStyle w:val="FootnoteReference"/>
        </w:rPr>
        <w:footnoteRef/>
      </w:r>
      <w:r>
        <w:t xml:space="preserve"> </w:t>
      </w:r>
      <w:r>
        <w:rPr>
          <w:rFonts w:asciiTheme="minorHAnsi" w:hAnsiTheme="minorHAnsi" w:cstheme="minorHAnsi"/>
          <w:sz w:val="18"/>
          <w:szCs w:val="18"/>
          <w:lang w:val="en-AU"/>
        </w:rPr>
        <w:t>Ci</w:t>
      </w:r>
      <w:r w:rsidRPr="00D577C6">
        <w:rPr>
          <w:rFonts w:asciiTheme="minorHAnsi" w:hAnsiTheme="minorHAnsi" w:cstheme="minorHAnsi"/>
          <w:sz w:val="18"/>
          <w:szCs w:val="18"/>
          <w:lang w:val="en-AU"/>
        </w:rPr>
        <w:t>ting the version of the ADWG current in 2006.</w:t>
      </w:r>
    </w:p>
  </w:footnote>
  <w:footnote w:id="4">
    <w:p w14:paraId="426BFD5A" w14:textId="55C80347" w:rsidR="001E4CD0" w:rsidRPr="000F05AB" w:rsidRDefault="00274BC6">
      <w:pPr>
        <w:pStyle w:val="FootnoteText"/>
        <w:rPr>
          <w:lang w:val="en-AU"/>
        </w:rPr>
      </w:pPr>
      <w:r w:rsidRPr="000F05AB">
        <w:rPr>
          <w:rStyle w:val="FootnoteReference"/>
          <w:rFonts w:asciiTheme="minorHAnsi" w:hAnsiTheme="minorHAnsi" w:cstheme="minorHAnsi"/>
          <w:sz w:val="18"/>
          <w:szCs w:val="18"/>
        </w:rPr>
        <w:footnoteRef/>
      </w:r>
      <w:r w:rsidRPr="000F05AB">
        <w:rPr>
          <w:rFonts w:asciiTheme="minorHAnsi" w:hAnsiTheme="minorHAnsi" w:cstheme="minorHAnsi"/>
          <w:sz w:val="18"/>
          <w:szCs w:val="18"/>
        </w:rPr>
        <w:t xml:space="preserve"> </w:t>
      </w:r>
      <w:r>
        <w:rPr>
          <w:rFonts w:asciiTheme="minorHAnsi" w:hAnsiTheme="minorHAnsi" w:cstheme="minorHAnsi"/>
          <w:sz w:val="18"/>
          <w:szCs w:val="18"/>
        </w:rPr>
        <w:t>C</w:t>
      </w:r>
      <w:r w:rsidRPr="000F05AB">
        <w:rPr>
          <w:rFonts w:asciiTheme="minorHAnsi" w:hAnsiTheme="minorHAnsi" w:cstheme="minorHAnsi"/>
          <w:sz w:val="18"/>
          <w:szCs w:val="18"/>
        </w:rPr>
        <w:t>hemical hazards</w:t>
      </w:r>
      <w:r>
        <w:rPr>
          <w:rFonts w:asciiTheme="minorHAnsi" w:hAnsiTheme="minorHAnsi" w:cstheme="minorHAnsi"/>
          <w:sz w:val="18"/>
          <w:szCs w:val="18"/>
        </w:rPr>
        <w:t xml:space="preserve"> to recreational water quality listed by the Committee for consideration in this review:</w:t>
      </w:r>
      <w:r w:rsidRPr="000F05AB">
        <w:rPr>
          <w:rFonts w:asciiTheme="minorHAnsi" w:hAnsiTheme="minorHAnsi" w:cstheme="minorHAnsi"/>
          <w:sz w:val="18"/>
          <w:szCs w:val="18"/>
        </w:rPr>
        <w:t xml:space="preserve"> </w:t>
      </w:r>
      <w:r w:rsidRPr="000F05AB">
        <w:rPr>
          <w:rFonts w:asciiTheme="minorHAnsi" w:hAnsiTheme="minorHAnsi" w:cstheme="minorHAnsi"/>
          <w:sz w:val="18"/>
          <w:szCs w:val="18"/>
          <w:lang w:val="en-AU"/>
        </w:rPr>
        <w:t>PFAS, pesticides, nanomaterials, hydrocarbons, heavy metals, EDCs, surfactants, interactions between chemicals (potentiation)</w:t>
      </w:r>
      <w:r>
        <w:rPr>
          <w:rFonts w:asciiTheme="minorHAnsi" w:hAnsiTheme="minorHAnsi" w:cstheme="minorHAnsi"/>
          <w:sz w:val="18"/>
          <w:szCs w:val="18"/>
          <w:lang w:val="en-AU"/>
        </w:rPr>
        <w:t xml:space="preserve">.  See </w:t>
      </w:r>
      <w:r w:rsidRPr="000F05AB">
        <w:rPr>
          <w:rFonts w:asciiTheme="minorHAnsi" w:hAnsiTheme="minorHAnsi" w:cstheme="minorHAnsi"/>
          <w:sz w:val="18"/>
          <w:szCs w:val="18"/>
          <w:lang w:val="en-AU"/>
        </w:rPr>
        <w:fldChar w:fldCharType="begin"/>
      </w:r>
      <w:r w:rsidRPr="000F05AB">
        <w:rPr>
          <w:rFonts w:asciiTheme="minorHAnsi" w:hAnsiTheme="minorHAnsi" w:cstheme="minorHAnsi"/>
          <w:sz w:val="18"/>
          <w:szCs w:val="18"/>
          <w:lang w:val="en-AU"/>
        </w:rPr>
        <w:instrText xml:space="preserve"> REF _Ref71043025 \h </w:instrText>
      </w:r>
      <w:r w:rsidRPr="000F05AB">
        <w:rPr>
          <w:rFonts w:asciiTheme="minorHAnsi" w:hAnsiTheme="minorHAnsi" w:cstheme="minorHAnsi"/>
          <w:sz w:val="18"/>
          <w:szCs w:val="18"/>
          <w:lang w:val="en-AU"/>
        </w:rPr>
      </w:r>
      <w:r w:rsidRPr="000F05AB">
        <w:rPr>
          <w:rFonts w:asciiTheme="minorHAnsi" w:hAnsiTheme="minorHAnsi" w:cstheme="minorHAnsi"/>
          <w:sz w:val="18"/>
          <w:szCs w:val="18"/>
          <w:lang w:val="en-AU"/>
        </w:rPr>
        <w:fldChar w:fldCharType="separate"/>
      </w:r>
      <w:r w:rsidRPr="000F05AB">
        <w:rPr>
          <w:rFonts w:asciiTheme="minorHAnsi" w:hAnsiTheme="minorHAnsi" w:cstheme="minorHAnsi"/>
          <w:sz w:val="18"/>
          <w:szCs w:val="18"/>
          <w:lang w:val="en-AU"/>
        </w:rPr>
        <w:t>Table 2</w:t>
      </w:r>
      <w:r w:rsidRPr="000F05AB">
        <w:rPr>
          <w:rFonts w:asciiTheme="minorHAnsi" w:hAnsiTheme="minorHAnsi" w:cstheme="minorHAnsi"/>
          <w:sz w:val="18"/>
          <w:szCs w:val="18"/>
          <w:lang w:val="en-AU"/>
        </w:rPr>
        <w:noBreakHyphen/>
        <w:t>1</w:t>
      </w:r>
      <w:r w:rsidRPr="000F05AB">
        <w:rPr>
          <w:rFonts w:asciiTheme="minorHAnsi" w:hAnsiTheme="minorHAnsi" w:cstheme="minorHAnsi"/>
          <w:sz w:val="18"/>
          <w:szCs w:val="18"/>
          <w:lang w:val="en-AU"/>
        </w:rPr>
        <w:fldChar w:fldCharType="end"/>
      </w:r>
      <w:r w:rsidRPr="000F05AB">
        <w:rPr>
          <w:rFonts w:asciiTheme="minorHAnsi" w:hAnsiTheme="minorHAnsi" w:cstheme="minorHAnsi"/>
          <w:sz w:val="18"/>
          <w:szCs w:val="18"/>
          <w:lang w:val="en-AU"/>
        </w:rPr>
        <w:t xml:space="preserve"> </w:t>
      </w:r>
      <w:r>
        <w:rPr>
          <w:rFonts w:asciiTheme="minorHAnsi" w:hAnsiTheme="minorHAnsi" w:cstheme="minorHAnsi"/>
          <w:sz w:val="18"/>
          <w:szCs w:val="18"/>
          <w:lang w:val="en-AU"/>
        </w:rPr>
        <w:t>for more detail</w:t>
      </w:r>
      <w:r w:rsidRPr="000F05AB">
        <w:rPr>
          <w:rFonts w:asciiTheme="minorHAnsi" w:hAnsiTheme="minorHAnsi" w:cstheme="minorHAnsi"/>
          <w:sz w:val="18"/>
          <w:szCs w:val="18"/>
          <w:lang w:val="en-A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5E094" w14:textId="77777777" w:rsidR="001E4CD0" w:rsidRDefault="00274BC6">
    <w:pPr>
      <w:pStyle w:val="Header"/>
    </w:pPr>
    <w:r>
      <w:rPr>
        <w:noProof/>
      </w:rPr>
      <w:drawing>
        <wp:anchor distT="0" distB="0" distL="114300" distR="114300" simplePos="0" relativeHeight="251658240" behindDoc="0" locked="0" layoutInCell="1" allowOverlap="1" wp14:anchorId="7C69CCE7" wp14:editId="01E6C151">
          <wp:simplePos x="0" y="0"/>
          <wp:positionH relativeFrom="column">
            <wp:posOffset>-111760</wp:posOffset>
          </wp:positionH>
          <wp:positionV relativeFrom="paragraph">
            <wp:posOffset>-341674</wp:posOffset>
          </wp:positionV>
          <wp:extent cx="5829300" cy="868680"/>
          <wp:effectExtent l="0" t="0" r="0" b="7620"/>
          <wp:wrapNone/>
          <wp:docPr id="31" name="Picture 31" descr="header_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descr="header_graphic"/>
                  <pic:cNvPicPr>
                    <a:picLocks noChangeAspect="1" noChangeArrowheads="1"/>
                  </pic:cNvPicPr>
                </pic:nvPicPr>
                <pic:blipFill>
                  <a:blip r:embed="rId1"/>
                  <a:stretch>
                    <a:fillRect/>
                  </a:stretch>
                </pic:blipFill>
                <pic:spPr bwMode="auto">
                  <a:xfrm>
                    <a:off x="0" y="0"/>
                    <a:ext cx="5829300" cy="868680"/>
                  </a:xfrm>
                  <a:prstGeom prst="rect">
                    <a:avLst/>
                  </a:prstGeom>
                  <a:noFill/>
                  <a:ln w="9525">
                    <a:noFill/>
                    <a:miter lim="800000"/>
                    <a:headEnd/>
                    <a:tailEnd/>
                  </a:ln>
                </pic:spPr>
              </pic:pic>
            </a:graphicData>
          </a:graphic>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24269" w14:textId="77777777" w:rsidR="001E4CD0" w:rsidRDefault="00274BC6">
    <w:pPr>
      <w:pStyle w:val="Header"/>
    </w:pPr>
    <w:r>
      <w:rPr>
        <w:noProof/>
      </w:rPr>
      <w:drawing>
        <wp:anchor distT="0" distB="0" distL="114300" distR="114300" simplePos="0" relativeHeight="251661312" behindDoc="0" locked="0" layoutInCell="1" allowOverlap="1" wp14:anchorId="02CE43BF" wp14:editId="3E09BADF">
          <wp:simplePos x="0" y="0"/>
          <wp:positionH relativeFrom="column">
            <wp:posOffset>3895090</wp:posOffset>
          </wp:positionH>
          <wp:positionV relativeFrom="paragraph">
            <wp:posOffset>-316230</wp:posOffset>
          </wp:positionV>
          <wp:extent cx="5829300" cy="868680"/>
          <wp:effectExtent l="0" t="0" r="0" b="7620"/>
          <wp:wrapNone/>
          <wp:docPr id="9" name="Picture 9" descr="header_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descr="header_graphic"/>
                  <pic:cNvPicPr>
                    <a:picLocks noChangeAspect="1" noChangeArrowheads="1"/>
                  </pic:cNvPicPr>
                </pic:nvPicPr>
                <pic:blipFill>
                  <a:blip r:embed="rId1"/>
                  <a:stretch>
                    <a:fillRect/>
                  </a:stretch>
                </pic:blipFill>
                <pic:spPr bwMode="auto">
                  <a:xfrm>
                    <a:off x="0" y="0"/>
                    <a:ext cx="5829300" cy="868680"/>
                  </a:xfrm>
                  <a:prstGeom prst="rect">
                    <a:avLst/>
                  </a:prstGeom>
                  <a:noFill/>
                  <a:ln w="9525">
                    <a:noFill/>
                    <a:miter lim="800000"/>
                    <a:headEnd/>
                    <a:tailEnd/>
                  </a:ln>
                </pic:spPr>
              </pic:pic>
            </a:graphicData>
          </a:graphic>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4ABC0" w14:textId="77777777" w:rsidR="001E4CD0" w:rsidRDefault="00274BC6">
    <w:pPr>
      <w:pStyle w:val="Header"/>
    </w:pPr>
    <w:r>
      <w:rPr>
        <w:noProof/>
      </w:rPr>
      <w:drawing>
        <wp:anchor distT="0" distB="0" distL="114300" distR="114300" simplePos="0" relativeHeight="251662336" behindDoc="0" locked="0" layoutInCell="1" allowOverlap="1" wp14:anchorId="1652D79B" wp14:editId="03261095">
          <wp:simplePos x="0" y="0"/>
          <wp:positionH relativeFrom="column">
            <wp:posOffset>-111973</wp:posOffset>
          </wp:positionH>
          <wp:positionV relativeFrom="paragraph">
            <wp:posOffset>-316230</wp:posOffset>
          </wp:positionV>
          <wp:extent cx="5829300" cy="868680"/>
          <wp:effectExtent l="0" t="0" r="0" b="7620"/>
          <wp:wrapNone/>
          <wp:docPr id="10" name="Picture 10" descr="header_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descr="header_graphic"/>
                  <pic:cNvPicPr>
                    <a:picLocks noChangeAspect="1" noChangeArrowheads="1"/>
                  </pic:cNvPicPr>
                </pic:nvPicPr>
                <pic:blipFill>
                  <a:blip r:embed="rId1"/>
                  <a:stretch>
                    <a:fillRect/>
                  </a:stretch>
                </pic:blipFill>
                <pic:spPr bwMode="auto">
                  <a:xfrm>
                    <a:off x="0" y="0"/>
                    <a:ext cx="5829300" cy="86868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EBDA3" w14:textId="1C1AAB95" w:rsidR="00EC7E04" w:rsidRDefault="00830C27">
    <w:pPr>
      <w:pStyle w:val="Header"/>
    </w:pPr>
    <w:r>
      <w:rPr>
        <w:noProof/>
      </w:rPr>
      <w:drawing>
        <wp:anchor distT="0" distB="0" distL="114300" distR="114300" simplePos="0" relativeHeight="251666432" behindDoc="0" locked="0" layoutInCell="1" allowOverlap="1" wp14:anchorId="46352F4C" wp14:editId="6124E8B4">
          <wp:simplePos x="0" y="0"/>
          <wp:positionH relativeFrom="column">
            <wp:posOffset>3917315</wp:posOffset>
          </wp:positionH>
          <wp:positionV relativeFrom="paragraph">
            <wp:posOffset>-385989</wp:posOffset>
          </wp:positionV>
          <wp:extent cx="5829300" cy="868680"/>
          <wp:effectExtent l="0" t="0" r="0" b="7620"/>
          <wp:wrapNone/>
          <wp:docPr id="32" name="Picture 32" descr="header_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descr="header_graphic"/>
                  <pic:cNvPicPr>
                    <a:picLocks noChangeAspect="1" noChangeArrowheads="1"/>
                  </pic:cNvPicPr>
                </pic:nvPicPr>
                <pic:blipFill>
                  <a:blip r:embed="rId1"/>
                  <a:stretch>
                    <a:fillRect/>
                  </a:stretch>
                </pic:blipFill>
                <pic:spPr bwMode="auto">
                  <a:xfrm>
                    <a:off x="0" y="0"/>
                    <a:ext cx="5829300" cy="86868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6F871" w14:textId="77777777" w:rsidR="00ED63E3" w:rsidRDefault="00ED63E3">
    <w:pPr>
      <w:pStyle w:val="Header"/>
    </w:pPr>
    <w:r>
      <w:rPr>
        <w:noProof/>
      </w:rPr>
      <w:drawing>
        <wp:anchor distT="0" distB="0" distL="114300" distR="114300" simplePos="0" relativeHeight="251668480" behindDoc="0" locked="0" layoutInCell="1" allowOverlap="1" wp14:anchorId="6B35C730" wp14:editId="40A06049">
          <wp:simplePos x="0" y="0"/>
          <wp:positionH relativeFrom="column">
            <wp:posOffset>-92982</wp:posOffset>
          </wp:positionH>
          <wp:positionV relativeFrom="paragraph">
            <wp:posOffset>-385445</wp:posOffset>
          </wp:positionV>
          <wp:extent cx="5829300" cy="868680"/>
          <wp:effectExtent l="0" t="0" r="0" b="7620"/>
          <wp:wrapNone/>
          <wp:docPr id="33" name="Picture 33" descr="header_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descr="header_graphic"/>
                  <pic:cNvPicPr>
                    <a:picLocks noChangeAspect="1" noChangeArrowheads="1"/>
                  </pic:cNvPicPr>
                </pic:nvPicPr>
                <pic:blipFill>
                  <a:blip r:embed="rId1"/>
                  <a:stretch>
                    <a:fillRect/>
                  </a:stretch>
                </pic:blipFill>
                <pic:spPr bwMode="auto">
                  <a:xfrm>
                    <a:off x="0" y="0"/>
                    <a:ext cx="5829300" cy="868680"/>
                  </a:xfrm>
                  <a:prstGeom prst="rect">
                    <a:avLst/>
                  </a:prstGeom>
                  <a:noFill/>
                  <a:ln w="9525">
                    <a:noFill/>
                    <a:miter lim="800000"/>
                    <a:headEnd/>
                    <a:tailEnd/>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85AE2" w14:textId="77777777" w:rsidR="001E4CD0" w:rsidRDefault="00274BC6">
    <w:pPr>
      <w:pStyle w:val="Header"/>
    </w:pPr>
    <w:r>
      <w:rPr>
        <w:noProof/>
      </w:rPr>
      <w:drawing>
        <wp:anchor distT="0" distB="0" distL="114300" distR="114300" simplePos="0" relativeHeight="251659264" behindDoc="0" locked="0" layoutInCell="1" allowOverlap="1" wp14:anchorId="0C92FC99" wp14:editId="7DF12796">
          <wp:simplePos x="0" y="0"/>
          <wp:positionH relativeFrom="column">
            <wp:posOffset>3876040</wp:posOffset>
          </wp:positionH>
          <wp:positionV relativeFrom="paragraph">
            <wp:posOffset>-316230</wp:posOffset>
          </wp:positionV>
          <wp:extent cx="5829300" cy="868680"/>
          <wp:effectExtent l="0" t="0" r="0" b="7620"/>
          <wp:wrapNone/>
          <wp:docPr id="19" name="Picture 19" descr="header_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eader_graphic"/>
                  <pic:cNvPicPr>
                    <a:picLocks noChangeAspect="1" noChangeArrowheads="1"/>
                  </pic:cNvPicPr>
                </pic:nvPicPr>
                <pic:blipFill>
                  <a:blip r:embed="rId1"/>
                  <a:stretch>
                    <a:fillRect/>
                  </a:stretch>
                </pic:blipFill>
                <pic:spPr bwMode="auto">
                  <a:xfrm>
                    <a:off x="0" y="0"/>
                    <a:ext cx="5829300" cy="868680"/>
                  </a:xfrm>
                  <a:prstGeom prst="rect">
                    <a:avLst/>
                  </a:prstGeom>
                  <a:noFill/>
                  <a:ln w="9525">
                    <a:noFill/>
                    <a:miter lim="800000"/>
                    <a:headEnd/>
                    <a:tailEnd/>
                  </a:ln>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99998" w14:textId="77777777" w:rsidR="001E4CD0" w:rsidRDefault="001E4CD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3A5C5" w14:textId="77777777" w:rsidR="001E4CD0" w:rsidRDefault="00274BC6">
    <w:pPr>
      <w:pStyle w:val="Header"/>
    </w:pPr>
    <w:r>
      <w:rPr>
        <w:noProof/>
      </w:rPr>
      <w:drawing>
        <wp:anchor distT="0" distB="0" distL="114300" distR="114300" simplePos="0" relativeHeight="251663360" behindDoc="0" locked="0" layoutInCell="1" allowOverlap="1" wp14:anchorId="2788AA8F" wp14:editId="4103EB11">
          <wp:simplePos x="0" y="0"/>
          <wp:positionH relativeFrom="column">
            <wp:posOffset>662940</wp:posOffset>
          </wp:positionH>
          <wp:positionV relativeFrom="paragraph">
            <wp:posOffset>-367030</wp:posOffset>
          </wp:positionV>
          <wp:extent cx="5829300" cy="868680"/>
          <wp:effectExtent l="0" t="0" r="0" b="7620"/>
          <wp:wrapNone/>
          <wp:docPr id="15" name="Picture 15" descr="header_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header_graphic"/>
                  <pic:cNvPicPr>
                    <a:picLocks noChangeAspect="1" noChangeArrowheads="1"/>
                  </pic:cNvPicPr>
                </pic:nvPicPr>
                <pic:blipFill>
                  <a:blip r:embed="rId1"/>
                  <a:stretch>
                    <a:fillRect/>
                  </a:stretch>
                </pic:blipFill>
                <pic:spPr bwMode="auto">
                  <a:xfrm>
                    <a:off x="0" y="0"/>
                    <a:ext cx="5829300" cy="868680"/>
                  </a:xfrm>
                  <a:prstGeom prst="rect">
                    <a:avLst/>
                  </a:prstGeom>
                  <a:noFill/>
                  <a:ln w="9525">
                    <a:noFill/>
                    <a:miter lim="800000"/>
                    <a:headEnd/>
                    <a:tailEnd/>
                  </a:ln>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44E6C" w14:textId="77777777" w:rsidR="001E4CD0" w:rsidRDefault="00274BC6">
    <w:pPr>
      <w:pStyle w:val="Header"/>
    </w:pPr>
    <w:r>
      <w:rPr>
        <w:noProof/>
      </w:rPr>
      <w:drawing>
        <wp:anchor distT="0" distB="0" distL="114300" distR="114300" simplePos="0" relativeHeight="251664384" behindDoc="0" locked="0" layoutInCell="1" allowOverlap="1" wp14:anchorId="4E5DD114" wp14:editId="002AC74F">
          <wp:simplePos x="0" y="0"/>
          <wp:positionH relativeFrom="column">
            <wp:posOffset>3876040</wp:posOffset>
          </wp:positionH>
          <wp:positionV relativeFrom="paragraph">
            <wp:posOffset>-316230</wp:posOffset>
          </wp:positionV>
          <wp:extent cx="5829300" cy="868680"/>
          <wp:effectExtent l="0" t="0" r="0" b="7620"/>
          <wp:wrapNone/>
          <wp:docPr id="13" name="Picture 13" descr="header_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header_graphic"/>
                  <pic:cNvPicPr>
                    <a:picLocks noChangeAspect="1" noChangeArrowheads="1"/>
                  </pic:cNvPicPr>
                </pic:nvPicPr>
                <pic:blipFill>
                  <a:blip r:embed="rId1"/>
                  <a:stretch>
                    <a:fillRect/>
                  </a:stretch>
                </pic:blipFill>
                <pic:spPr bwMode="auto">
                  <a:xfrm>
                    <a:off x="0" y="0"/>
                    <a:ext cx="5829300" cy="868680"/>
                  </a:xfrm>
                  <a:prstGeom prst="rect">
                    <a:avLst/>
                  </a:prstGeom>
                  <a:noFill/>
                  <a:ln w="9525">
                    <a:noFill/>
                    <a:miter lim="800000"/>
                    <a:headEnd/>
                    <a:tailEnd/>
                  </a:ln>
                </pic:spPr>
              </pic:pic>
            </a:graphicData>
          </a:graphic>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A74C7" w14:textId="77777777" w:rsidR="001E4CD0" w:rsidRDefault="00274BC6">
    <w:pPr>
      <w:pStyle w:val="Header"/>
    </w:pPr>
    <w:r>
      <w:rPr>
        <w:noProof/>
      </w:rPr>
      <w:drawing>
        <wp:anchor distT="0" distB="0" distL="114300" distR="114300" simplePos="0" relativeHeight="251660288" behindDoc="0" locked="0" layoutInCell="1" allowOverlap="1" wp14:anchorId="042CC96A" wp14:editId="4537A553">
          <wp:simplePos x="0" y="0"/>
          <wp:positionH relativeFrom="column">
            <wp:posOffset>-111973</wp:posOffset>
          </wp:positionH>
          <wp:positionV relativeFrom="paragraph">
            <wp:posOffset>-316230</wp:posOffset>
          </wp:positionV>
          <wp:extent cx="5829300" cy="868680"/>
          <wp:effectExtent l="0" t="0" r="0" b="7620"/>
          <wp:wrapNone/>
          <wp:docPr id="14" name="Picture 14" descr="header_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header_graphic"/>
                  <pic:cNvPicPr>
                    <a:picLocks noChangeAspect="1" noChangeArrowheads="1"/>
                  </pic:cNvPicPr>
                </pic:nvPicPr>
                <pic:blipFill>
                  <a:blip r:embed="rId1"/>
                  <a:stretch>
                    <a:fillRect/>
                  </a:stretch>
                </pic:blipFill>
                <pic:spPr bwMode="auto">
                  <a:xfrm>
                    <a:off x="0" y="0"/>
                    <a:ext cx="5829300" cy="868680"/>
                  </a:xfrm>
                  <a:prstGeom prst="rect">
                    <a:avLst/>
                  </a:prstGeom>
                  <a:noFill/>
                  <a:ln w="9525">
                    <a:noFill/>
                    <a:miter lim="800000"/>
                    <a:headEnd/>
                    <a:tailEnd/>
                  </a:ln>
                </pic:spPr>
              </pic:pic>
            </a:graphicData>
          </a:graphic>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695E6" w14:textId="77777777" w:rsidR="001E4CD0" w:rsidRDefault="001E4C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31A21CC"/>
    <w:lvl w:ilvl="0">
      <w:numFmt w:val="decimal"/>
      <w:pStyle w:val="CommentSubject"/>
      <w:lvlText w:val="*"/>
      <w:lvlJc w:val="left"/>
    </w:lvl>
  </w:abstractNum>
  <w:abstractNum w:abstractNumId="1" w15:restartNumberingAfterBreak="0">
    <w:nsid w:val="062D0FDC"/>
    <w:multiLevelType w:val="hybridMultilevel"/>
    <w:tmpl w:val="16CC1534"/>
    <w:lvl w:ilvl="0" w:tplc="7690F97E">
      <w:start w:val="1"/>
      <w:numFmt w:val="bullet"/>
      <w:pStyle w:val="BulletDPS1"/>
      <w:lvlText w:val=""/>
      <w:lvlJc w:val="left"/>
      <w:pPr>
        <w:ind w:left="1080" w:hanging="360"/>
      </w:pPr>
      <w:rPr>
        <w:rFonts w:ascii="Symbol" w:hAnsi="Symbol" w:hint="default"/>
      </w:rPr>
    </w:lvl>
    <w:lvl w:ilvl="1" w:tplc="0C6E5058" w:tentative="1">
      <w:start w:val="1"/>
      <w:numFmt w:val="bullet"/>
      <w:lvlText w:val="o"/>
      <w:lvlJc w:val="left"/>
      <w:pPr>
        <w:ind w:left="1800" w:hanging="360"/>
      </w:pPr>
      <w:rPr>
        <w:rFonts w:ascii="Courier New" w:hAnsi="Courier New" w:cs="Courier New" w:hint="default"/>
      </w:rPr>
    </w:lvl>
    <w:lvl w:ilvl="2" w:tplc="BCC8FB78" w:tentative="1">
      <w:start w:val="1"/>
      <w:numFmt w:val="bullet"/>
      <w:lvlText w:val=""/>
      <w:lvlJc w:val="left"/>
      <w:pPr>
        <w:ind w:left="2520" w:hanging="360"/>
      </w:pPr>
      <w:rPr>
        <w:rFonts w:ascii="Wingdings" w:hAnsi="Wingdings" w:hint="default"/>
      </w:rPr>
    </w:lvl>
    <w:lvl w:ilvl="3" w:tplc="C8EEE814" w:tentative="1">
      <w:start w:val="1"/>
      <w:numFmt w:val="bullet"/>
      <w:lvlText w:val=""/>
      <w:lvlJc w:val="left"/>
      <w:pPr>
        <w:ind w:left="3240" w:hanging="360"/>
      </w:pPr>
      <w:rPr>
        <w:rFonts w:ascii="Symbol" w:hAnsi="Symbol" w:hint="default"/>
      </w:rPr>
    </w:lvl>
    <w:lvl w:ilvl="4" w:tplc="F8D81190" w:tentative="1">
      <w:start w:val="1"/>
      <w:numFmt w:val="bullet"/>
      <w:lvlText w:val="o"/>
      <w:lvlJc w:val="left"/>
      <w:pPr>
        <w:ind w:left="3960" w:hanging="360"/>
      </w:pPr>
      <w:rPr>
        <w:rFonts w:ascii="Courier New" w:hAnsi="Courier New" w:cs="Courier New" w:hint="default"/>
      </w:rPr>
    </w:lvl>
    <w:lvl w:ilvl="5" w:tplc="FFE4758A" w:tentative="1">
      <w:start w:val="1"/>
      <w:numFmt w:val="bullet"/>
      <w:lvlText w:val=""/>
      <w:lvlJc w:val="left"/>
      <w:pPr>
        <w:ind w:left="4680" w:hanging="360"/>
      </w:pPr>
      <w:rPr>
        <w:rFonts w:ascii="Wingdings" w:hAnsi="Wingdings" w:hint="default"/>
      </w:rPr>
    </w:lvl>
    <w:lvl w:ilvl="6" w:tplc="A69C2582" w:tentative="1">
      <w:start w:val="1"/>
      <w:numFmt w:val="bullet"/>
      <w:lvlText w:val=""/>
      <w:lvlJc w:val="left"/>
      <w:pPr>
        <w:ind w:left="5400" w:hanging="360"/>
      </w:pPr>
      <w:rPr>
        <w:rFonts w:ascii="Symbol" w:hAnsi="Symbol" w:hint="default"/>
      </w:rPr>
    </w:lvl>
    <w:lvl w:ilvl="7" w:tplc="712C1D9A" w:tentative="1">
      <w:start w:val="1"/>
      <w:numFmt w:val="bullet"/>
      <w:lvlText w:val="o"/>
      <w:lvlJc w:val="left"/>
      <w:pPr>
        <w:ind w:left="6120" w:hanging="360"/>
      </w:pPr>
      <w:rPr>
        <w:rFonts w:ascii="Courier New" w:hAnsi="Courier New" w:cs="Courier New" w:hint="default"/>
      </w:rPr>
    </w:lvl>
    <w:lvl w:ilvl="8" w:tplc="DC625090" w:tentative="1">
      <w:start w:val="1"/>
      <w:numFmt w:val="bullet"/>
      <w:lvlText w:val=""/>
      <w:lvlJc w:val="left"/>
      <w:pPr>
        <w:ind w:left="6840" w:hanging="360"/>
      </w:pPr>
      <w:rPr>
        <w:rFonts w:ascii="Wingdings" w:hAnsi="Wingdings" w:hint="default"/>
      </w:rPr>
    </w:lvl>
  </w:abstractNum>
  <w:abstractNum w:abstractNumId="2" w15:restartNumberingAfterBreak="0">
    <w:nsid w:val="0777001C"/>
    <w:multiLevelType w:val="hybridMultilevel"/>
    <w:tmpl w:val="BA62F886"/>
    <w:lvl w:ilvl="0" w:tplc="8D928112">
      <w:start w:val="1"/>
      <w:numFmt w:val="bullet"/>
      <w:lvlText w:val=""/>
      <w:lvlJc w:val="left"/>
      <w:pPr>
        <w:ind w:left="720" w:hanging="360"/>
      </w:pPr>
      <w:rPr>
        <w:rFonts w:ascii="Symbol" w:hAnsi="Symbol" w:hint="default"/>
      </w:rPr>
    </w:lvl>
    <w:lvl w:ilvl="1" w:tplc="0BF2826C">
      <w:numFmt w:val="bullet"/>
      <w:lvlText w:val="•"/>
      <w:lvlJc w:val="left"/>
      <w:pPr>
        <w:ind w:left="1440" w:hanging="360"/>
      </w:pPr>
      <w:rPr>
        <w:rFonts w:ascii="Arial" w:eastAsia="Times New Roman" w:hAnsi="Arial" w:cs="Arial" w:hint="default"/>
      </w:rPr>
    </w:lvl>
    <w:lvl w:ilvl="2" w:tplc="DC46E414" w:tentative="1">
      <w:start w:val="1"/>
      <w:numFmt w:val="bullet"/>
      <w:lvlText w:val=""/>
      <w:lvlJc w:val="left"/>
      <w:pPr>
        <w:ind w:left="2160" w:hanging="360"/>
      </w:pPr>
      <w:rPr>
        <w:rFonts w:ascii="Wingdings" w:hAnsi="Wingdings" w:hint="default"/>
      </w:rPr>
    </w:lvl>
    <w:lvl w:ilvl="3" w:tplc="8A6CED22" w:tentative="1">
      <w:start w:val="1"/>
      <w:numFmt w:val="bullet"/>
      <w:lvlText w:val=""/>
      <w:lvlJc w:val="left"/>
      <w:pPr>
        <w:ind w:left="2880" w:hanging="360"/>
      </w:pPr>
      <w:rPr>
        <w:rFonts w:ascii="Symbol" w:hAnsi="Symbol" w:hint="default"/>
      </w:rPr>
    </w:lvl>
    <w:lvl w:ilvl="4" w:tplc="E2B02C70" w:tentative="1">
      <w:start w:val="1"/>
      <w:numFmt w:val="bullet"/>
      <w:lvlText w:val="o"/>
      <w:lvlJc w:val="left"/>
      <w:pPr>
        <w:ind w:left="3600" w:hanging="360"/>
      </w:pPr>
      <w:rPr>
        <w:rFonts w:ascii="Courier New" w:hAnsi="Courier New" w:cs="Courier New" w:hint="default"/>
      </w:rPr>
    </w:lvl>
    <w:lvl w:ilvl="5" w:tplc="4E660B8A" w:tentative="1">
      <w:start w:val="1"/>
      <w:numFmt w:val="bullet"/>
      <w:lvlText w:val=""/>
      <w:lvlJc w:val="left"/>
      <w:pPr>
        <w:ind w:left="4320" w:hanging="360"/>
      </w:pPr>
      <w:rPr>
        <w:rFonts w:ascii="Wingdings" w:hAnsi="Wingdings" w:hint="default"/>
      </w:rPr>
    </w:lvl>
    <w:lvl w:ilvl="6" w:tplc="F94A3BD4" w:tentative="1">
      <w:start w:val="1"/>
      <w:numFmt w:val="bullet"/>
      <w:lvlText w:val=""/>
      <w:lvlJc w:val="left"/>
      <w:pPr>
        <w:ind w:left="5040" w:hanging="360"/>
      </w:pPr>
      <w:rPr>
        <w:rFonts w:ascii="Symbol" w:hAnsi="Symbol" w:hint="default"/>
      </w:rPr>
    </w:lvl>
    <w:lvl w:ilvl="7" w:tplc="9AFE7318" w:tentative="1">
      <w:start w:val="1"/>
      <w:numFmt w:val="bullet"/>
      <w:lvlText w:val="o"/>
      <w:lvlJc w:val="left"/>
      <w:pPr>
        <w:ind w:left="5760" w:hanging="360"/>
      </w:pPr>
      <w:rPr>
        <w:rFonts w:ascii="Courier New" w:hAnsi="Courier New" w:cs="Courier New" w:hint="default"/>
      </w:rPr>
    </w:lvl>
    <w:lvl w:ilvl="8" w:tplc="B98227DC" w:tentative="1">
      <w:start w:val="1"/>
      <w:numFmt w:val="bullet"/>
      <w:lvlText w:val=""/>
      <w:lvlJc w:val="left"/>
      <w:pPr>
        <w:ind w:left="6480" w:hanging="360"/>
      </w:pPr>
      <w:rPr>
        <w:rFonts w:ascii="Wingdings" w:hAnsi="Wingdings" w:hint="default"/>
      </w:rPr>
    </w:lvl>
  </w:abstractNum>
  <w:abstractNum w:abstractNumId="3" w15:restartNumberingAfterBreak="0">
    <w:nsid w:val="14216FA6"/>
    <w:multiLevelType w:val="multilevel"/>
    <w:tmpl w:val="0C09001D"/>
    <w:styleLink w:val="ListStyle"/>
    <w:lvl w:ilvl="0">
      <w:start w:val="1"/>
      <w:numFmt w:val="lowerLetter"/>
      <w:lvlText w:val="%1)"/>
      <w:lvlJc w:val="left"/>
      <w:pPr>
        <w:tabs>
          <w:tab w:val="num" w:pos="360"/>
        </w:tabs>
        <w:ind w:left="360" w:hanging="360"/>
      </w:pPr>
      <w:rPr>
        <w:rFonts w:ascii="Arial" w:hAnsi="Arial"/>
        <w:sz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B9312C5"/>
    <w:multiLevelType w:val="hybridMultilevel"/>
    <w:tmpl w:val="876CA41A"/>
    <w:lvl w:ilvl="0" w:tplc="F9BC6016">
      <w:start w:val="1"/>
      <w:numFmt w:val="lowerRoman"/>
      <w:lvlText w:val="(%1)"/>
      <w:lvlJc w:val="left"/>
      <w:pPr>
        <w:ind w:left="1080" w:hanging="720"/>
      </w:pPr>
      <w:rPr>
        <w:rFonts w:hint="default"/>
      </w:rPr>
    </w:lvl>
    <w:lvl w:ilvl="1" w:tplc="B35C41AA" w:tentative="1">
      <w:start w:val="1"/>
      <w:numFmt w:val="lowerLetter"/>
      <w:lvlText w:val="%2."/>
      <w:lvlJc w:val="left"/>
      <w:pPr>
        <w:ind w:left="1440" w:hanging="360"/>
      </w:pPr>
    </w:lvl>
    <w:lvl w:ilvl="2" w:tplc="97F89C22" w:tentative="1">
      <w:start w:val="1"/>
      <w:numFmt w:val="lowerRoman"/>
      <w:lvlText w:val="%3."/>
      <w:lvlJc w:val="right"/>
      <w:pPr>
        <w:ind w:left="2160" w:hanging="180"/>
      </w:pPr>
    </w:lvl>
    <w:lvl w:ilvl="3" w:tplc="44584DE8" w:tentative="1">
      <w:start w:val="1"/>
      <w:numFmt w:val="decimal"/>
      <w:lvlText w:val="%4."/>
      <w:lvlJc w:val="left"/>
      <w:pPr>
        <w:ind w:left="2880" w:hanging="360"/>
      </w:pPr>
    </w:lvl>
    <w:lvl w:ilvl="4" w:tplc="3ECC795A" w:tentative="1">
      <w:start w:val="1"/>
      <w:numFmt w:val="lowerLetter"/>
      <w:lvlText w:val="%5."/>
      <w:lvlJc w:val="left"/>
      <w:pPr>
        <w:ind w:left="3600" w:hanging="360"/>
      </w:pPr>
    </w:lvl>
    <w:lvl w:ilvl="5" w:tplc="1018D42C" w:tentative="1">
      <w:start w:val="1"/>
      <w:numFmt w:val="lowerRoman"/>
      <w:lvlText w:val="%6."/>
      <w:lvlJc w:val="right"/>
      <w:pPr>
        <w:ind w:left="4320" w:hanging="180"/>
      </w:pPr>
    </w:lvl>
    <w:lvl w:ilvl="6" w:tplc="153AA746" w:tentative="1">
      <w:start w:val="1"/>
      <w:numFmt w:val="decimal"/>
      <w:lvlText w:val="%7."/>
      <w:lvlJc w:val="left"/>
      <w:pPr>
        <w:ind w:left="5040" w:hanging="360"/>
      </w:pPr>
    </w:lvl>
    <w:lvl w:ilvl="7" w:tplc="A82087EA" w:tentative="1">
      <w:start w:val="1"/>
      <w:numFmt w:val="lowerLetter"/>
      <w:lvlText w:val="%8."/>
      <w:lvlJc w:val="left"/>
      <w:pPr>
        <w:ind w:left="5760" w:hanging="360"/>
      </w:pPr>
    </w:lvl>
    <w:lvl w:ilvl="8" w:tplc="970416D4" w:tentative="1">
      <w:start w:val="1"/>
      <w:numFmt w:val="lowerRoman"/>
      <w:lvlText w:val="%9."/>
      <w:lvlJc w:val="right"/>
      <w:pPr>
        <w:ind w:left="6480" w:hanging="180"/>
      </w:pPr>
    </w:lvl>
  </w:abstractNum>
  <w:abstractNum w:abstractNumId="5" w15:restartNumberingAfterBreak="0">
    <w:nsid w:val="220D09B7"/>
    <w:multiLevelType w:val="hybridMultilevel"/>
    <w:tmpl w:val="A0E615EE"/>
    <w:lvl w:ilvl="0" w:tplc="49304C60">
      <w:start w:val="1"/>
      <w:numFmt w:val="bullet"/>
      <w:lvlText w:val=""/>
      <w:lvlJc w:val="left"/>
      <w:pPr>
        <w:ind w:left="720" w:hanging="360"/>
      </w:pPr>
      <w:rPr>
        <w:rFonts w:ascii="Symbol" w:hAnsi="Symbol" w:hint="default"/>
      </w:rPr>
    </w:lvl>
    <w:lvl w:ilvl="1" w:tplc="4D400BF4" w:tentative="1">
      <w:start w:val="1"/>
      <w:numFmt w:val="bullet"/>
      <w:lvlText w:val="o"/>
      <w:lvlJc w:val="left"/>
      <w:pPr>
        <w:ind w:left="1440" w:hanging="360"/>
      </w:pPr>
      <w:rPr>
        <w:rFonts w:ascii="Courier New" w:hAnsi="Courier New" w:cs="Courier New" w:hint="default"/>
      </w:rPr>
    </w:lvl>
    <w:lvl w:ilvl="2" w:tplc="CFB00BEC" w:tentative="1">
      <w:start w:val="1"/>
      <w:numFmt w:val="bullet"/>
      <w:lvlText w:val=""/>
      <w:lvlJc w:val="left"/>
      <w:pPr>
        <w:ind w:left="2160" w:hanging="360"/>
      </w:pPr>
      <w:rPr>
        <w:rFonts w:ascii="Wingdings" w:hAnsi="Wingdings" w:hint="default"/>
      </w:rPr>
    </w:lvl>
    <w:lvl w:ilvl="3" w:tplc="B2C47AA6" w:tentative="1">
      <w:start w:val="1"/>
      <w:numFmt w:val="bullet"/>
      <w:lvlText w:val=""/>
      <w:lvlJc w:val="left"/>
      <w:pPr>
        <w:ind w:left="2880" w:hanging="360"/>
      </w:pPr>
      <w:rPr>
        <w:rFonts w:ascii="Symbol" w:hAnsi="Symbol" w:hint="default"/>
      </w:rPr>
    </w:lvl>
    <w:lvl w:ilvl="4" w:tplc="D2A6CEAC" w:tentative="1">
      <w:start w:val="1"/>
      <w:numFmt w:val="bullet"/>
      <w:lvlText w:val="o"/>
      <w:lvlJc w:val="left"/>
      <w:pPr>
        <w:ind w:left="3600" w:hanging="360"/>
      </w:pPr>
      <w:rPr>
        <w:rFonts w:ascii="Courier New" w:hAnsi="Courier New" w:cs="Courier New" w:hint="default"/>
      </w:rPr>
    </w:lvl>
    <w:lvl w:ilvl="5" w:tplc="3802EEA6" w:tentative="1">
      <w:start w:val="1"/>
      <w:numFmt w:val="bullet"/>
      <w:lvlText w:val=""/>
      <w:lvlJc w:val="left"/>
      <w:pPr>
        <w:ind w:left="4320" w:hanging="360"/>
      </w:pPr>
      <w:rPr>
        <w:rFonts w:ascii="Wingdings" w:hAnsi="Wingdings" w:hint="default"/>
      </w:rPr>
    </w:lvl>
    <w:lvl w:ilvl="6" w:tplc="DCA0827E" w:tentative="1">
      <w:start w:val="1"/>
      <w:numFmt w:val="bullet"/>
      <w:lvlText w:val=""/>
      <w:lvlJc w:val="left"/>
      <w:pPr>
        <w:ind w:left="5040" w:hanging="360"/>
      </w:pPr>
      <w:rPr>
        <w:rFonts w:ascii="Symbol" w:hAnsi="Symbol" w:hint="default"/>
      </w:rPr>
    </w:lvl>
    <w:lvl w:ilvl="7" w:tplc="B50ACB66" w:tentative="1">
      <w:start w:val="1"/>
      <w:numFmt w:val="bullet"/>
      <w:lvlText w:val="o"/>
      <w:lvlJc w:val="left"/>
      <w:pPr>
        <w:ind w:left="5760" w:hanging="360"/>
      </w:pPr>
      <w:rPr>
        <w:rFonts w:ascii="Courier New" w:hAnsi="Courier New" w:cs="Courier New" w:hint="default"/>
      </w:rPr>
    </w:lvl>
    <w:lvl w:ilvl="8" w:tplc="965A8872" w:tentative="1">
      <w:start w:val="1"/>
      <w:numFmt w:val="bullet"/>
      <w:lvlText w:val=""/>
      <w:lvlJc w:val="left"/>
      <w:pPr>
        <w:ind w:left="6480" w:hanging="360"/>
      </w:pPr>
      <w:rPr>
        <w:rFonts w:ascii="Wingdings" w:hAnsi="Wingdings" w:hint="default"/>
      </w:rPr>
    </w:lvl>
  </w:abstractNum>
  <w:abstractNum w:abstractNumId="6" w15:restartNumberingAfterBreak="0">
    <w:nsid w:val="26F95FA4"/>
    <w:multiLevelType w:val="hybridMultilevel"/>
    <w:tmpl w:val="BEE60124"/>
    <w:lvl w:ilvl="0" w:tplc="30E29A64">
      <w:start w:val="1"/>
      <w:numFmt w:val="bullet"/>
      <w:lvlText w:val=""/>
      <w:lvlJc w:val="left"/>
      <w:pPr>
        <w:ind w:left="720" w:hanging="360"/>
      </w:pPr>
      <w:rPr>
        <w:rFonts w:ascii="Symbol" w:hAnsi="Symbol" w:hint="default"/>
      </w:rPr>
    </w:lvl>
    <w:lvl w:ilvl="1" w:tplc="81AE64B6" w:tentative="1">
      <w:start w:val="1"/>
      <w:numFmt w:val="bullet"/>
      <w:lvlText w:val="o"/>
      <w:lvlJc w:val="left"/>
      <w:pPr>
        <w:ind w:left="1440" w:hanging="360"/>
      </w:pPr>
      <w:rPr>
        <w:rFonts w:ascii="Courier New" w:hAnsi="Courier New" w:cs="Courier New" w:hint="default"/>
      </w:rPr>
    </w:lvl>
    <w:lvl w:ilvl="2" w:tplc="1B54B09A" w:tentative="1">
      <w:start w:val="1"/>
      <w:numFmt w:val="bullet"/>
      <w:lvlText w:val=""/>
      <w:lvlJc w:val="left"/>
      <w:pPr>
        <w:ind w:left="2160" w:hanging="360"/>
      </w:pPr>
      <w:rPr>
        <w:rFonts w:ascii="Wingdings" w:hAnsi="Wingdings" w:hint="default"/>
      </w:rPr>
    </w:lvl>
    <w:lvl w:ilvl="3" w:tplc="A71E9A5C" w:tentative="1">
      <w:start w:val="1"/>
      <w:numFmt w:val="bullet"/>
      <w:lvlText w:val=""/>
      <w:lvlJc w:val="left"/>
      <w:pPr>
        <w:ind w:left="2880" w:hanging="360"/>
      </w:pPr>
      <w:rPr>
        <w:rFonts w:ascii="Symbol" w:hAnsi="Symbol" w:hint="default"/>
      </w:rPr>
    </w:lvl>
    <w:lvl w:ilvl="4" w:tplc="5F2CB796" w:tentative="1">
      <w:start w:val="1"/>
      <w:numFmt w:val="bullet"/>
      <w:lvlText w:val="o"/>
      <w:lvlJc w:val="left"/>
      <w:pPr>
        <w:ind w:left="3600" w:hanging="360"/>
      </w:pPr>
      <w:rPr>
        <w:rFonts w:ascii="Courier New" w:hAnsi="Courier New" w:cs="Courier New" w:hint="default"/>
      </w:rPr>
    </w:lvl>
    <w:lvl w:ilvl="5" w:tplc="9BCEBC8A" w:tentative="1">
      <w:start w:val="1"/>
      <w:numFmt w:val="bullet"/>
      <w:lvlText w:val=""/>
      <w:lvlJc w:val="left"/>
      <w:pPr>
        <w:ind w:left="4320" w:hanging="360"/>
      </w:pPr>
      <w:rPr>
        <w:rFonts w:ascii="Wingdings" w:hAnsi="Wingdings" w:hint="default"/>
      </w:rPr>
    </w:lvl>
    <w:lvl w:ilvl="6" w:tplc="9B8CF7B2" w:tentative="1">
      <w:start w:val="1"/>
      <w:numFmt w:val="bullet"/>
      <w:lvlText w:val=""/>
      <w:lvlJc w:val="left"/>
      <w:pPr>
        <w:ind w:left="5040" w:hanging="360"/>
      </w:pPr>
      <w:rPr>
        <w:rFonts w:ascii="Symbol" w:hAnsi="Symbol" w:hint="default"/>
      </w:rPr>
    </w:lvl>
    <w:lvl w:ilvl="7" w:tplc="1C2AE9FA" w:tentative="1">
      <w:start w:val="1"/>
      <w:numFmt w:val="bullet"/>
      <w:lvlText w:val="o"/>
      <w:lvlJc w:val="left"/>
      <w:pPr>
        <w:ind w:left="5760" w:hanging="360"/>
      </w:pPr>
      <w:rPr>
        <w:rFonts w:ascii="Courier New" w:hAnsi="Courier New" w:cs="Courier New" w:hint="default"/>
      </w:rPr>
    </w:lvl>
    <w:lvl w:ilvl="8" w:tplc="A7F01FA6" w:tentative="1">
      <w:start w:val="1"/>
      <w:numFmt w:val="bullet"/>
      <w:lvlText w:val=""/>
      <w:lvlJc w:val="left"/>
      <w:pPr>
        <w:ind w:left="6480" w:hanging="360"/>
      </w:pPr>
      <w:rPr>
        <w:rFonts w:ascii="Wingdings" w:hAnsi="Wingdings" w:hint="default"/>
      </w:rPr>
    </w:lvl>
  </w:abstractNum>
  <w:abstractNum w:abstractNumId="7" w15:restartNumberingAfterBreak="0">
    <w:nsid w:val="2E133AC2"/>
    <w:multiLevelType w:val="hybridMultilevel"/>
    <w:tmpl w:val="46942BCA"/>
    <w:lvl w:ilvl="0" w:tplc="37262D6C">
      <w:start w:val="1"/>
      <w:numFmt w:val="bullet"/>
      <w:lvlText w:val=""/>
      <w:lvlJc w:val="left"/>
      <w:pPr>
        <w:ind w:left="720" w:hanging="360"/>
      </w:pPr>
      <w:rPr>
        <w:rFonts w:ascii="Symbol" w:hAnsi="Symbol" w:hint="default"/>
      </w:rPr>
    </w:lvl>
    <w:lvl w:ilvl="1" w:tplc="E8CEBBFE">
      <w:start w:val="1"/>
      <w:numFmt w:val="bullet"/>
      <w:lvlText w:val="o"/>
      <w:lvlJc w:val="left"/>
      <w:pPr>
        <w:ind w:left="1440" w:hanging="360"/>
      </w:pPr>
      <w:rPr>
        <w:rFonts w:ascii="Courier New" w:hAnsi="Courier New" w:cs="Courier New" w:hint="default"/>
      </w:rPr>
    </w:lvl>
    <w:lvl w:ilvl="2" w:tplc="9280CB42" w:tentative="1">
      <w:start w:val="1"/>
      <w:numFmt w:val="bullet"/>
      <w:lvlText w:val=""/>
      <w:lvlJc w:val="left"/>
      <w:pPr>
        <w:ind w:left="2160" w:hanging="360"/>
      </w:pPr>
      <w:rPr>
        <w:rFonts w:ascii="Wingdings" w:hAnsi="Wingdings" w:hint="default"/>
      </w:rPr>
    </w:lvl>
    <w:lvl w:ilvl="3" w:tplc="58C04546" w:tentative="1">
      <w:start w:val="1"/>
      <w:numFmt w:val="bullet"/>
      <w:lvlText w:val=""/>
      <w:lvlJc w:val="left"/>
      <w:pPr>
        <w:ind w:left="2880" w:hanging="360"/>
      </w:pPr>
      <w:rPr>
        <w:rFonts w:ascii="Symbol" w:hAnsi="Symbol" w:hint="default"/>
      </w:rPr>
    </w:lvl>
    <w:lvl w:ilvl="4" w:tplc="DCC03DC2" w:tentative="1">
      <w:start w:val="1"/>
      <w:numFmt w:val="bullet"/>
      <w:lvlText w:val="o"/>
      <w:lvlJc w:val="left"/>
      <w:pPr>
        <w:ind w:left="3600" w:hanging="360"/>
      </w:pPr>
      <w:rPr>
        <w:rFonts w:ascii="Courier New" w:hAnsi="Courier New" w:cs="Courier New" w:hint="default"/>
      </w:rPr>
    </w:lvl>
    <w:lvl w:ilvl="5" w:tplc="9F3643EA" w:tentative="1">
      <w:start w:val="1"/>
      <w:numFmt w:val="bullet"/>
      <w:lvlText w:val=""/>
      <w:lvlJc w:val="left"/>
      <w:pPr>
        <w:ind w:left="4320" w:hanging="360"/>
      </w:pPr>
      <w:rPr>
        <w:rFonts w:ascii="Wingdings" w:hAnsi="Wingdings" w:hint="default"/>
      </w:rPr>
    </w:lvl>
    <w:lvl w:ilvl="6" w:tplc="E4E0F76C" w:tentative="1">
      <w:start w:val="1"/>
      <w:numFmt w:val="bullet"/>
      <w:lvlText w:val=""/>
      <w:lvlJc w:val="left"/>
      <w:pPr>
        <w:ind w:left="5040" w:hanging="360"/>
      </w:pPr>
      <w:rPr>
        <w:rFonts w:ascii="Symbol" w:hAnsi="Symbol" w:hint="default"/>
      </w:rPr>
    </w:lvl>
    <w:lvl w:ilvl="7" w:tplc="7E9C8CF6" w:tentative="1">
      <w:start w:val="1"/>
      <w:numFmt w:val="bullet"/>
      <w:lvlText w:val="o"/>
      <w:lvlJc w:val="left"/>
      <w:pPr>
        <w:ind w:left="5760" w:hanging="360"/>
      </w:pPr>
      <w:rPr>
        <w:rFonts w:ascii="Courier New" w:hAnsi="Courier New" w:cs="Courier New" w:hint="default"/>
      </w:rPr>
    </w:lvl>
    <w:lvl w:ilvl="8" w:tplc="5E36CE6E" w:tentative="1">
      <w:start w:val="1"/>
      <w:numFmt w:val="bullet"/>
      <w:lvlText w:val=""/>
      <w:lvlJc w:val="left"/>
      <w:pPr>
        <w:ind w:left="6480" w:hanging="360"/>
      </w:pPr>
      <w:rPr>
        <w:rFonts w:ascii="Wingdings" w:hAnsi="Wingdings" w:hint="default"/>
      </w:rPr>
    </w:lvl>
  </w:abstractNum>
  <w:abstractNum w:abstractNumId="8" w15:restartNumberingAfterBreak="0">
    <w:nsid w:val="2FC02584"/>
    <w:multiLevelType w:val="hybridMultilevel"/>
    <w:tmpl w:val="586C80FE"/>
    <w:lvl w:ilvl="0" w:tplc="F1503B7C">
      <w:start w:val="1"/>
      <w:numFmt w:val="decimal"/>
      <w:lvlText w:val="%1."/>
      <w:lvlJc w:val="left"/>
      <w:pPr>
        <w:ind w:left="720" w:hanging="360"/>
      </w:pPr>
      <w:rPr>
        <w:rFonts w:hint="default"/>
      </w:rPr>
    </w:lvl>
    <w:lvl w:ilvl="1" w:tplc="81BCAC12">
      <w:start w:val="1"/>
      <w:numFmt w:val="bullet"/>
      <w:lvlText w:val="o"/>
      <w:lvlJc w:val="left"/>
      <w:pPr>
        <w:ind w:left="1440" w:hanging="360"/>
      </w:pPr>
      <w:rPr>
        <w:rFonts w:ascii="Courier New" w:hAnsi="Courier New" w:cs="Courier New" w:hint="default"/>
      </w:rPr>
    </w:lvl>
    <w:lvl w:ilvl="2" w:tplc="E1261F0C">
      <w:start w:val="1"/>
      <w:numFmt w:val="bullet"/>
      <w:lvlText w:val=""/>
      <w:lvlJc w:val="left"/>
      <w:pPr>
        <w:ind w:left="2160" w:hanging="360"/>
      </w:pPr>
      <w:rPr>
        <w:rFonts w:ascii="Wingdings" w:hAnsi="Wingdings" w:hint="default"/>
      </w:rPr>
    </w:lvl>
    <w:lvl w:ilvl="3" w:tplc="531AA032">
      <w:start w:val="1"/>
      <w:numFmt w:val="bullet"/>
      <w:lvlText w:val=""/>
      <w:lvlJc w:val="left"/>
      <w:pPr>
        <w:ind w:left="2880" w:hanging="360"/>
      </w:pPr>
      <w:rPr>
        <w:rFonts w:ascii="Symbol" w:hAnsi="Symbol" w:hint="default"/>
      </w:rPr>
    </w:lvl>
    <w:lvl w:ilvl="4" w:tplc="1AB8463A">
      <w:start w:val="1"/>
      <w:numFmt w:val="bullet"/>
      <w:lvlText w:val="o"/>
      <w:lvlJc w:val="left"/>
      <w:pPr>
        <w:ind w:left="3600" w:hanging="360"/>
      </w:pPr>
      <w:rPr>
        <w:rFonts w:ascii="Courier New" w:hAnsi="Courier New" w:cs="Courier New" w:hint="default"/>
      </w:rPr>
    </w:lvl>
    <w:lvl w:ilvl="5" w:tplc="A846F774">
      <w:start w:val="1"/>
      <w:numFmt w:val="bullet"/>
      <w:lvlText w:val=""/>
      <w:lvlJc w:val="left"/>
      <w:pPr>
        <w:ind w:left="4320" w:hanging="360"/>
      </w:pPr>
      <w:rPr>
        <w:rFonts w:ascii="Wingdings" w:hAnsi="Wingdings" w:hint="default"/>
      </w:rPr>
    </w:lvl>
    <w:lvl w:ilvl="6" w:tplc="BB02C008">
      <w:start w:val="1"/>
      <w:numFmt w:val="bullet"/>
      <w:lvlText w:val=""/>
      <w:lvlJc w:val="left"/>
      <w:pPr>
        <w:ind w:left="5040" w:hanging="360"/>
      </w:pPr>
      <w:rPr>
        <w:rFonts w:ascii="Symbol" w:hAnsi="Symbol" w:hint="default"/>
      </w:rPr>
    </w:lvl>
    <w:lvl w:ilvl="7" w:tplc="97062B0E">
      <w:start w:val="1"/>
      <w:numFmt w:val="bullet"/>
      <w:lvlText w:val="o"/>
      <w:lvlJc w:val="left"/>
      <w:pPr>
        <w:ind w:left="5760" w:hanging="360"/>
      </w:pPr>
      <w:rPr>
        <w:rFonts w:ascii="Courier New" w:hAnsi="Courier New" w:cs="Courier New" w:hint="default"/>
      </w:rPr>
    </w:lvl>
    <w:lvl w:ilvl="8" w:tplc="09960E92">
      <w:start w:val="1"/>
      <w:numFmt w:val="bullet"/>
      <w:lvlText w:val=""/>
      <w:lvlJc w:val="left"/>
      <w:pPr>
        <w:ind w:left="6480" w:hanging="360"/>
      </w:pPr>
      <w:rPr>
        <w:rFonts w:ascii="Wingdings" w:hAnsi="Wingdings" w:hint="default"/>
      </w:rPr>
    </w:lvl>
  </w:abstractNum>
  <w:abstractNum w:abstractNumId="9" w15:restartNumberingAfterBreak="0">
    <w:nsid w:val="31EC6363"/>
    <w:multiLevelType w:val="hybridMultilevel"/>
    <w:tmpl w:val="445022F6"/>
    <w:lvl w:ilvl="0" w:tplc="3468D9EA">
      <w:start w:val="1"/>
      <w:numFmt w:val="lowerRoman"/>
      <w:lvlText w:val="(%1)"/>
      <w:lvlJc w:val="center"/>
      <w:pPr>
        <w:ind w:left="720" w:hanging="360"/>
      </w:pPr>
      <w:rPr>
        <w:rFonts w:hint="default"/>
      </w:rPr>
    </w:lvl>
    <w:lvl w:ilvl="1" w:tplc="81727392" w:tentative="1">
      <w:start w:val="1"/>
      <w:numFmt w:val="bullet"/>
      <w:lvlText w:val="o"/>
      <w:lvlJc w:val="left"/>
      <w:pPr>
        <w:ind w:left="1440" w:hanging="360"/>
      </w:pPr>
      <w:rPr>
        <w:rFonts w:ascii="Courier New" w:hAnsi="Courier New" w:cs="Courier New" w:hint="default"/>
      </w:rPr>
    </w:lvl>
    <w:lvl w:ilvl="2" w:tplc="377E5CF6" w:tentative="1">
      <w:start w:val="1"/>
      <w:numFmt w:val="bullet"/>
      <w:lvlText w:val=""/>
      <w:lvlJc w:val="left"/>
      <w:pPr>
        <w:ind w:left="2160" w:hanging="360"/>
      </w:pPr>
      <w:rPr>
        <w:rFonts w:ascii="Wingdings" w:hAnsi="Wingdings" w:hint="default"/>
      </w:rPr>
    </w:lvl>
    <w:lvl w:ilvl="3" w:tplc="E802360A" w:tentative="1">
      <w:start w:val="1"/>
      <w:numFmt w:val="bullet"/>
      <w:lvlText w:val=""/>
      <w:lvlJc w:val="left"/>
      <w:pPr>
        <w:ind w:left="2880" w:hanging="360"/>
      </w:pPr>
      <w:rPr>
        <w:rFonts w:ascii="Symbol" w:hAnsi="Symbol" w:hint="default"/>
      </w:rPr>
    </w:lvl>
    <w:lvl w:ilvl="4" w:tplc="A2F4139C" w:tentative="1">
      <w:start w:val="1"/>
      <w:numFmt w:val="bullet"/>
      <w:lvlText w:val="o"/>
      <w:lvlJc w:val="left"/>
      <w:pPr>
        <w:ind w:left="3600" w:hanging="360"/>
      </w:pPr>
      <w:rPr>
        <w:rFonts w:ascii="Courier New" w:hAnsi="Courier New" w:cs="Courier New" w:hint="default"/>
      </w:rPr>
    </w:lvl>
    <w:lvl w:ilvl="5" w:tplc="9F3E9DD2" w:tentative="1">
      <w:start w:val="1"/>
      <w:numFmt w:val="bullet"/>
      <w:lvlText w:val=""/>
      <w:lvlJc w:val="left"/>
      <w:pPr>
        <w:ind w:left="4320" w:hanging="360"/>
      </w:pPr>
      <w:rPr>
        <w:rFonts w:ascii="Wingdings" w:hAnsi="Wingdings" w:hint="default"/>
      </w:rPr>
    </w:lvl>
    <w:lvl w:ilvl="6" w:tplc="1124E340" w:tentative="1">
      <w:start w:val="1"/>
      <w:numFmt w:val="bullet"/>
      <w:lvlText w:val=""/>
      <w:lvlJc w:val="left"/>
      <w:pPr>
        <w:ind w:left="5040" w:hanging="360"/>
      </w:pPr>
      <w:rPr>
        <w:rFonts w:ascii="Symbol" w:hAnsi="Symbol" w:hint="default"/>
      </w:rPr>
    </w:lvl>
    <w:lvl w:ilvl="7" w:tplc="A5C0377E" w:tentative="1">
      <w:start w:val="1"/>
      <w:numFmt w:val="bullet"/>
      <w:lvlText w:val="o"/>
      <w:lvlJc w:val="left"/>
      <w:pPr>
        <w:ind w:left="5760" w:hanging="360"/>
      </w:pPr>
      <w:rPr>
        <w:rFonts w:ascii="Courier New" w:hAnsi="Courier New" w:cs="Courier New" w:hint="default"/>
      </w:rPr>
    </w:lvl>
    <w:lvl w:ilvl="8" w:tplc="6EF66050" w:tentative="1">
      <w:start w:val="1"/>
      <w:numFmt w:val="bullet"/>
      <w:lvlText w:val=""/>
      <w:lvlJc w:val="left"/>
      <w:pPr>
        <w:ind w:left="6480" w:hanging="360"/>
      </w:pPr>
      <w:rPr>
        <w:rFonts w:ascii="Wingdings" w:hAnsi="Wingdings" w:hint="default"/>
      </w:rPr>
    </w:lvl>
  </w:abstractNum>
  <w:abstractNum w:abstractNumId="10" w15:restartNumberingAfterBreak="0">
    <w:nsid w:val="32256189"/>
    <w:multiLevelType w:val="multilevel"/>
    <w:tmpl w:val="2DC2CB7E"/>
    <w:lvl w:ilvl="0">
      <w:start w:val="1"/>
      <w:numFmt w:val="decimal"/>
      <w:pStyle w:val="Heading1"/>
      <w:lvlText w:val="%1"/>
      <w:lvlJc w:val="left"/>
      <w:pPr>
        <w:tabs>
          <w:tab w:val="num" w:pos="142"/>
        </w:tabs>
        <w:ind w:left="142" w:firstLine="0"/>
      </w:pPr>
      <w:rPr>
        <w:rFonts w:hint="default"/>
      </w:rPr>
    </w:lvl>
    <w:lvl w:ilvl="1">
      <w:start w:val="1"/>
      <w:numFmt w:val="decimal"/>
      <w:pStyle w:val="Heading2"/>
      <w:lvlText w:val="%1.%2."/>
      <w:lvlJc w:val="left"/>
      <w:pPr>
        <w:tabs>
          <w:tab w:val="num" w:pos="0"/>
        </w:tabs>
        <w:ind w:left="0" w:firstLine="0"/>
      </w:pPr>
      <w:rPr>
        <w:rFonts w:hint="default"/>
      </w:rPr>
    </w:lvl>
    <w:lvl w:ilvl="2">
      <w:start w:val="1"/>
      <w:numFmt w:val="decimal"/>
      <w:pStyle w:val="Heading3"/>
      <w:lvlText w:val="%1.%2.%3."/>
      <w:lvlJc w:val="left"/>
      <w:pPr>
        <w:tabs>
          <w:tab w:val="num" w:pos="0"/>
        </w:tabs>
        <w:ind w:left="0" w:firstLine="0"/>
      </w:pPr>
      <w:rPr>
        <w:rFonts w:hint="default"/>
      </w:rPr>
    </w:lvl>
    <w:lvl w:ilvl="3">
      <w:start w:val="1"/>
      <w:numFmt w:val="decimal"/>
      <w:pStyle w:val="Heading4"/>
      <w:lvlText w:val="%1.%2.%3.%4."/>
      <w:lvlJc w:val="left"/>
      <w:pPr>
        <w:tabs>
          <w:tab w:val="num" w:pos="0"/>
        </w:tabs>
        <w:ind w:left="0" w:firstLine="0"/>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11" w15:restartNumberingAfterBreak="0">
    <w:nsid w:val="32A35EC4"/>
    <w:multiLevelType w:val="hybridMultilevel"/>
    <w:tmpl w:val="7D20A13C"/>
    <w:lvl w:ilvl="0" w:tplc="F97E20E6">
      <w:start w:val="1"/>
      <w:numFmt w:val="bullet"/>
      <w:lvlText w:val=""/>
      <w:lvlJc w:val="left"/>
      <w:pPr>
        <w:ind w:left="1080" w:hanging="720"/>
      </w:pPr>
      <w:rPr>
        <w:rFonts w:ascii="Symbol" w:hAnsi="Symbol" w:hint="default"/>
      </w:rPr>
    </w:lvl>
    <w:lvl w:ilvl="1" w:tplc="91609EB2">
      <w:start w:val="1"/>
      <w:numFmt w:val="bullet"/>
      <w:lvlText w:val="o"/>
      <w:lvlJc w:val="left"/>
      <w:pPr>
        <w:ind w:left="1440" w:hanging="360"/>
      </w:pPr>
      <w:rPr>
        <w:rFonts w:ascii="Courier New" w:hAnsi="Courier New" w:cs="Courier New" w:hint="default"/>
      </w:rPr>
    </w:lvl>
    <w:lvl w:ilvl="2" w:tplc="7DAC970E" w:tentative="1">
      <w:start w:val="1"/>
      <w:numFmt w:val="bullet"/>
      <w:lvlText w:val=""/>
      <w:lvlJc w:val="left"/>
      <w:pPr>
        <w:ind w:left="2160" w:hanging="360"/>
      </w:pPr>
      <w:rPr>
        <w:rFonts w:ascii="Wingdings" w:hAnsi="Wingdings" w:hint="default"/>
      </w:rPr>
    </w:lvl>
    <w:lvl w:ilvl="3" w:tplc="684EDB8C" w:tentative="1">
      <w:start w:val="1"/>
      <w:numFmt w:val="bullet"/>
      <w:lvlText w:val=""/>
      <w:lvlJc w:val="left"/>
      <w:pPr>
        <w:ind w:left="2880" w:hanging="360"/>
      </w:pPr>
      <w:rPr>
        <w:rFonts w:ascii="Symbol" w:hAnsi="Symbol" w:hint="default"/>
      </w:rPr>
    </w:lvl>
    <w:lvl w:ilvl="4" w:tplc="43161D76" w:tentative="1">
      <w:start w:val="1"/>
      <w:numFmt w:val="bullet"/>
      <w:lvlText w:val="o"/>
      <w:lvlJc w:val="left"/>
      <w:pPr>
        <w:ind w:left="3600" w:hanging="360"/>
      </w:pPr>
      <w:rPr>
        <w:rFonts w:ascii="Courier New" w:hAnsi="Courier New" w:cs="Courier New" w:hint="default"/>
      </w:rPr>
    </w:lvl>
    <w:lvl w:ilvl="5" w:tplc="7ED4FE5E" w:tentative="1">
      <w:start w:val="1"/>
      <w:numFmt w:val="bullet"/>
      <w:lvlText w:val=""/>
      <w:lvlJc w:val="left"/>
      <w:pPr>
        <w:ind w:left="4320" w:hanging="360"/>
      </w:pPr>
      <w:rPr>
        <w:rFonts w:ascii="Wingdings" w:hAnsi="Wingdings" w:hint="default"/>
      </w:rPr>
    </w:lvl>
    <w:lvl w:ilvl="6" w:tplc="24EE420A" w:tentative="1">
      <w:start w:val="1"/>
      <w:numFmt w:val="bullet"/>
      <w:lvlText w:val=""/>
      <w:lvlJc w:val="left"/>
      <w:pPr>
        <w:ind w:left="5040" w:hanging="360"/>
      </w:pPr>
      <w:rPr>
        <w:rFonts w:ascii="Symbol" w:hAnsi="Symbol" w:hint="default"/>
      </w:rPr>
    </w:lvl>
    <w:lvl w:ilvl="7" w:tplc="D0FCE358" w:tentative="1">
      <w:start w:val="1"/>
      <w:numFmt w:val="bullet"/>
      <w:lvlText w:val="o"/>
      <w:lvlJc w:val="left"/>
      <w:pPr>
        <w:ind w:left="5760" w:hanging="360"/>
      </w:pPr>
      <w:rPr>
        <w:rFonts w:ascii="Courier New" w:hAnsi="Courier New" w:cs="Courier New" w:hint="default"/>
      </w:rPr>
    </w:lvl>
    <w:lvl w:ilvl="8" w:tplc="473E8AB2" w:tentative="1">
      <w:start w:val="1"/>
      <w:numFmt w:val="bullet"/>
      <w:lvlText w:val=""/>
      <w:lvlJc w:val="left"/>
      <w:pPr>
        <w:ind w:left="6480" w:hanging="360"/>
      </w:pPr>
      <w:rPr>
        <w:rFonts w:ascii="Wingdings" w:hAnsi="Wingdings" w:hint="default"/>
      </w:rPr>
    </w:lvl>
  </w:abstractNum>
  <w:abstractNum w:abstractNumId="12" w15:restartNumberingAfterBreak="0">
    <w:nsid w:val="32E24C98"/>
    <w:multiLevelType w:val="hybridMultilevel"/>
    <w:tmpl w:val="79F2A526"/>
    <w:lvl w:ilvl="0" w:tplc="AA029DB0">
      <w:start w:val="1"/>
      <w:numFmt w:val="lowerRoman"/>
      <w:lvlText w:val="(%1)"/>
      <w:lvlJc w:val="left"/>
      <w:pPr>
        <w:ind w:left="1080" w:hanging="720"/>
      </w:pPr>
      <w:rPr>
        <w:rFonts w:hint="default"/>
      </w:rPr>
    </w:lvl>
    <w:lvl w:ilvl="1" w:tplc="D0144E9A" w:tentative="1">
      <w:start w:val="1"/>
      <w:numFmt w:val="lowerLetter"/>
      <w:lvlText w:val="%2."/>
      <w:lvlJc w:val="left"/>
      <w:pPr>
        <w:ind w:left="1440" w:hanging="360"/>
      </w:pPr>
    </w:lvl>
    <w:lvl w:ilvl="2" w:tplc="DF905B5A" w:tentative="1">
      <w:start w:val="1"/>
      <w:numFmt w:val="lowerRoman"/>
      <w:lvlText w:val="%3."/>
      <w:lvlJc w:val="right"/>
      <w:pPr>
        <w:ind w:left="2160" w:hanging="180"/>
      </w:pPr>
    </w:lvl>
    <w:lvl w:ilvl="3" w:tplc="1E1460BC" w:tentative="1">
      <w:start w:val="1"/>
      <w:numFmt w:val="decimal"/>
      <w:lvlText w:val="%4."/>
      <w:lvlJc w:val="left"/>
      <w:pPr>
        <w:ind w:left="2880" w:hanging="360"/>
      </w:pPr>
    </w:lvl>
    <w:lvl w:ilvl="4" w:tplc="A9A00C62" w:tentative="1">
      <w:start w:val="1"/>
      <w:numFmt w:val="lowerLetter"/>
      <w:lvlText w:val="%5."/>
      <w:lvlJc w:val="left"/>
      <w:pPr>
        <w:ind w:left="3600" w:hanging="360"/>
      </w:pPr>
    </w:lvl>
    <w:lvl w:ilvl="5" w:tplc="8362E68C" w:tentative="1">
      <w:start w:val="1"/>
      <w:numFmt w:val="lowerRoman"/>
      <w:lvlText w:val="%6."/>
      <w:lvlJc w:val="right"/>
      <w:pPr>
        <w:ind w:left="4320" w:hanging="180"/>
      </w:pPr>
    </w:lvl>
    <w:lvl w:ilvl="6" w:tplc="0EAEA51E" w:tentative="1">
      <w:start w:val="1"/>
      <w:numFmt w:val="decimal"/>
      <w:lvlText w:val="%7."/>
      <w:lvlJc w:val="left"/>
      <w:pPr>
        <w:ind w:left="5040" w:hanging="360"/>
      </w:pPr>
    </w:lvl>
    <w:lvl w:ilvl="7" w:tplc="F1AE544A" w:tentative="1">
      <w:start w:val="1"/>
      <w:numFmt w:val="lowerLetter"/>
      <w:lvlText w:val="%8."/>
      <w:lvlJc w:val="left"/>
      <w:pPr>
        <w:ind w:left="5760" w:hanging="360"/>
      </w:pPr>
    </w:lvl>
    <w:lvl w:ilvl="8" w:tplc="2C10EF58" w:tentative="1">
      <w:start w:val="1"/>
      <w:numFmt w:val="lowerRoman"/>
      <w:lvlText w:val="%9."/>
      <w:lvlJc w:val="right"/>
      <w:pPr>
        <w:ind w:left="6480" w:hanging="180"/>
      </w:pPr>
    </w:lvl>
  </w:abstractNum>
  <w:abstractNum w:abstractNumId="13" w15:restartNumberingAfterBreak="0">
    <w:nsid w:val="37876272"/>
    <w:multiLevelType w:val="hybridMultilevel"/>
    <w:tmpl w:val="586C80FE"/>
    <w:lvl w:ilvl="0" w:tplc="7200003E">
      <w:start w:val="1"/>
      <w:numFmt w:val="decimal"/>
      <w:lvlText w:val="%1."/>
      <w:lvlJc w:val="left"/>
      <w:pPr>
        <w:ind w:left="720" w:hanging="360"/>
      </w:pPr>
      <w:rPr>
        <w:rFonts w:hint="default"/>
      </w:rPr>
    </w:lvl>
    <w:lvl w:ilvl="1" w:tplc="AEAC7DA8">
      <w:start w:val="1"/>
      <w:numFmt w:val="bullet"/>
      <w:lvlText w:val="o"/>
      <w:lvlJc w:val="left"/>
      <w:pPr>
        <w:ind w:left="1440" w:hanging="360"/>
      </w:pPr>
      <w:rPr>
        <w:rFonts w:ascii="Courier New" w:hAnsi="Courier New" w:cs="Courier New" w:hint="default"/>
      </w:rPr>
    </w:lvl>
    <w:lvl w:ilvl="2" w:tplc="1B5AD230">
      <w:start w:val="1"/>
      <w:numFmt w:val="bullet"/>
      <w:lvlText w:val=""/>
      <w:lvlJc w:val="left"/>
      <w:pPr>
        <w:ind w:left="2160" w:hanging="360"/>
      </w:pPr>
      <w:rPr>
        <w:rFonts w:ascii="Wingdings" w:hAnsi="Wingdings" w:hint="default"/>
      </w:rPr>
    </w:lvl>
    <w:lvl w:ilvl="3" w:tplc="04EC1AA8">
      <w:start w:val="1"/>
      <w:numFmt w:val="bullet"/>
      <w:lvlText w:val=""/>
      <w:lvlJc w:val="left"/>
      <w:pPr>
        <w:ind w:left="2880" w:hanging="360"/>
      </w:pPr>
      <w:rPr>
        <w:rFonts w:ascii="Symbol" w:hAnsi="Symbol" w:hint="default"/>
      </w:rPr>
    </w:lvl>
    <w:lvl w:ilvl="4" w:tplc="E992075A">
      <w:start w:val="1"/>
      <w:numFmt w:val="bullet"/>
      <w:lvlText w:val="o"/>
      <w:lvlJc w:val="left"/>
      <w:pPr>
        <w:ind w:left="3600" w:hanging="360"/>
      </w:pPr>
      <w:rPr>
        <w:rFonts w:ascii="Courier New" w:hAnsi="Courier New" w:cs="Courier New" w:hint="default"/>
      </w:rPr>
    </w:lvl>
    <w:lvl w:ilvl="5" w:tplc="4BC2CD3A">
      <w:start w:val="1"/>
      <w:numFmt w:val="bullet"/>
      <w:lvlText w:val=""/>
      <w:lvlJc w:val="left"/>
      <w:pPr>
        <w:ind w:left="4320" w:hanging="360"/>
      </w:pPr>
      <w:rPr>
        <w:rFonts w:ascii="Wingdings" w:hAnsi="Wingdings" w:hint="default"/>
      </w:rPr>
    </w:lvl>
    <w:lvl w:ilvl="6" w:tplc="BBA42688">
      <w:start w:val="1"/>
      <w:numFmt w:val="bullet"/>
      <w:lvlText w:val=""/>
      <w:lvlJc w:val="left"/>
      <w:pPr>
        <w:ind w:left="5040" w:hanging="360"/>
      </w:pPr>
      <w:rPr>
        <w:rFonts w:ascii="Symbol" w:hAnsi="Symbol" w:hint="default"/>
      </w:rPr>
    </w:lvl>
    <w:lvl w:ilvl="7" w:tplc="87241A1A">
      <w:start w:val="1"/>
      <w:numFmt w:val="bullet"/>
      <w:lvlText w:val="o"/>
      <w:lvlJc w:val="left"/>
      <w:pPr>
        <w:ind w:left="5760" w:hanging="360"/>
      </w:pPr>
      <w:rPr>
        <w:rFonts w:ascii="Courier New" w:hAnsi="Courier New" w:cs="Courier New" w:hint="default"/>
      </w:rPr>
    </w:lvl>
    <w:lvl w:ilvl="8" w:tplc="BB368126">
      <w:start w:val="1"/>
      <w:numFmt w:val="bullet"/>
      <w:lvlText w:val=""/>
      <w:lvlJc w:val="left"/>
      <w:pPr>
        <w:ind w:left="6480" w:hanging="360"/>
      </w:pPr>
      <w:rPr>
        <w:rFonts w:ascii="Wingdings" w:hAnsi="Wingdings" w:hint="default"/>
      </w:rPr>
    </w:lvl>
  </w:abstractNum>
  <w:abstractNum w:abstractNumId="14" w15:restartNumberingAfterBreak="0">
    <w:nsid w:val="39581BE9"/>
    <w:multiLevelType w:val="hybridMultilevel"/>
    <w:tmpl w:val="14BE05C2"/>
    <w:lvl w:ilvl="0" w:tplc="E95C18E2">
      <w:start w:val="1"/>
      <w:numFmt w:val="bullet"/>
      <w:lvlText w:val=""/>
      <w:lvlJc w:val="left"/>
      <w:pPr>
        <w:ind w:left="720" w:hanging="360"/>
      </w:pPr>
      <w:rPr>
        <w:rFonts w:ascii="Symbol" w:hAnsi="Symbol" w:hint="default"/>
      </w:rPr>
    </w:lvl>
    <w:lvl w:ilvl="1" w:tplc="01346382">
      <w:start w:val="1"/>
      <w:numFmt w:val="bullet"/>
      <w:lvlText w:val="o"/>
      <w:lvlJc w:val="left"/>
      <w:pPr>
        <w:ind w:left="1440" w:hanging="360"/>
      </w:pPr>
      <w:rPr>
        <w:rFonts w:ascii="Courier New" w:hAnsi="Courier New" w:cs="Courier New" w:hint="default"/>
      </w:rPr>
    </w:lvl>
    <w:lvl w:ilvl="2" w:tplc="E87EE57C" w:tentative="1">
      <w:start w:val="1"/>
      <w:numFmt w:val="bullet"/>
      <w:lvlText w:val=""/>
      <w:lvlJc w:val="left"/>
      <w:pPr>
        <w:ind w:left="2160" w:hanging="360"/>
      </w:pPr>
      <w:rPr>
        <w:rFonts w:ascii="Wingdings" w:hAnsi="Wingdings" w:hint="default"/>
      </w:rPr>
    </w:lvl>
    <w:lvl w:ilvl="3" w:tplc="601441E8" w:tentative="1">
      <w:start w:val="1"/>
      <w:numFmt w:val="bullet"/>
      <w:lvlText w:val=""/>
      <w:lvlJc w:val="left"/>
      <w:pPr>
        <w:ind w:left="2880" w:hanging="360"/>
      </w:pPr>
      <w:rPr>
        <w:rFonts w:ascii="Symbol" w:hAnsi="Symbol" w:hint="default"/>
      </w:rPr>
    </w:lvl>
    <w:lvl w:ilvl="4" w:tplc="DCD0A602" w:tentative="1">
      <w:start w:val="1"/>
      <w:numFmt w:val="bullet"/>
      <w:lvlText w:val="o"/>
      <w:lvlJc w:val="left"/>
      <w:pPr>
        <w:ind w:left="3600" w:hanging="360"/>
      </w:pPr>
      <w:rPr>
        <w:rFonts w:ascii="Courier New" w:hAnsi="Courier New" w:cs="Courier New" w:hint="default"/>
      </w:rPr>
    </w:lvl>
    <w:lvl w:ilvl="5" w:tplc="36DE4014" w:tentative="1">
      <w:start w:val="1"/>
      <w:numFmt w:val="bullet"/>
      <w:lvlText w:val=""/>
      <w:lvlJc w:val="left"/>
      <w:pPr>
        <w:ind w:left="4320" w:hanging="360"/>
      </w:pPr>
      <w:rPr>
        <w:rFonts w:ascii="Wingdings" w:hAnsi="Wingdings" w:hint="default"/>
      </w:rPr>
    </w:lvl>
    <w:lvl w:ilvl="6" w:tplc="AF26F016" w:tentative="1">
      <w:start w:val="1"/>
      <w:numFmt w:val="bullet"/>
      <w:lvlText w:val=""/>
      <w:lvlJc w:val="left"/>
      <w:pPr>
        <w:ind w:left="5040" w:hanging="360"/>
      </w:pPr>
      <w:rPr>
        <w:rFonts w:ascii="Symbol" w:hAnsi="Symbol" w:hint="default"/>
      </w:rPr>
    </w:lvl>
    <w:lvl w:ilvl="7" w:tplc="265AA0EC" w:tentative="1">
      <w:start w:val="1"/>
      <w:numFmt w:val="bullet"/>
      <w:lvlText w:val="o"/>
      <w:lvlJc w:val="left"/>
      <w:pPr>
        <w:ind w:left="5760" w:hanging="360"/>
      </w:pPr>
      <w:rPr>
        <w:rFonts w:ascii="Courier New" w:hAnsi="Courier New" w:cs="Courier New" w:hint="default"/>
      </w:rPr>
    </w:lvl>
    <w:lvl w:ilvl="8" w:tplc="088AFF38" w:tentative="1">
      <w:start w:val="1"/>
      <w:numFmt w:val="bullet"/>
      <w:lvlText w:val=""/>
      <w:lvlJc w:val="left"/>
      <w:pPr>
        <w:ind w:left="6480" w:hanging="360"/>
      </w:pPr>
      <w:rPr>
        <w:rFonts w:ascii="Wingdings" w:hAnsi="Wingdings" w:hint="default"/>
      </w:rPr>
    </w:lvl>
  </w:abstractNum>
  <w:abstractNum w:abstractNumId="15" w15:restartNumberingAfterBreak="0">
    <w:nsid w:val="39C213C4"/>
    <w:multiLevelType w:val="hybridMultilevel"/>
    <w:tmpl w:val="6E7E5A7C"/>
    <w:lvl w:ilvl="0" w:tplc="C5746890">
      <w:start w:val="1"/>
      <w:numFmt w:val="bullet"/>
      <w:lvlText w:val=""/>
      <w:lvlJc w:val="left"/>
      <w:pPr>
        <w:ind w:left="720" w:hanging="360"/>
      </w:pPr>
      <w:rPr>
        <w:rFonts w:ascii="Symbol" w:hAnsi="Symbol" w:hint="default"/>
      </w:rPr>
    </w:lvl>
    <w:lvl w:ilvl="1" w:tplc="B1DEFE76" w:tentative="1">
      <w:start w:val="1"/>
      <w:numFmt w:val="bullet"/>
      <w:lvlText w:val="o"/>
      <w:lvlJc w:val="left"/>
      <w:pPr>
        <w:ind w:left="1440" w:hanging="360"/>
      </w:pPr>
      <w:rPr>
        <w:rFonts w:ascii="Courier New" w:hAnsi="Courier New" w:cs="Courier New" w:hint="default"/>
      </w:rPr>
    </w:lvl>
    <w:lvl w:ilvl="2" w:tplc="832E106C" w:tentative="1">
      <w:start w:val="1"/>
      <w:numFmt w:val="bullet"/>
      <w:lvlText w:val=""/>
      <w:lvlJc w:val="left"/>
      <w:pPr>
        <w:ind w:left="2160" w:hanging="360"/>
      </w:pPr>
      <w:rPr>
        <w:rFonts w:ascii="Wingdings" w:hAnsi="Wingdings" w:hint="default"/>
      </w:rPr>
    </w:lvl>
    <w:lvl w:ilvl="3" w:tplc="66ECFD6E" w:tentative="1">
      <w:start w:val="1"/>
      <w:numFmt w:val="bullet"/>
      <w:lvlText w:val=""/>
      <w:lvlJc w:val="left"/>
      <w:pPr>
        <w:ind w:left="2880" w:hanging="360"/>
      </w:pPr>
      <w:rPr>
        <w:rFonts w:ascii="Symbol" w:hAnsi="Symbol" w:hint="default"/>
      </w:rPr>
    </w:lvl>
    <w:lvl w:ilvl="4" w:tplc="2402A72C" w:tentative="1">
      <w:start w:val="1"/>
      <w:numFmt w:val="bullet"/>
      <w:lvlText w:val="o"/>
      <w:lvlJc w:val="left"/>
      <w:pPr>
        <w:ind w:left="3600" w:hanging="360"/>
      </w:pPr>
      <w:rPr>
        <w:rFonts w:ascii="Courier New" w:hAnsi="Courier New" w:cs="Courier New" w:hint="default"/>
      </w:rPr>
    </w:lvl>
    <w:lvl w:ilvl="5" w:tplc="D12CFC38" w:tentative="1">
      <w:start w:val="1"/>
      <w:numFmt w:val="bullet"/>
      <w:lvlText w:val=""/>
      <w:lvlJc w:val="left"/>
      <w:pPr>
        <w:ind w:left="4320" w:hanging="360"/>
      </w:pPr>
      <w:rPr>
        <w:rFonts w:ascii="Wingdings" w:hAnsi="Wingdings" w:hint="default"/>
      </w:rPr>
    </w:lvl>
    <w:lvl w:ilvl="6" w:tplc="809E9A12" w:tentative="1">
      <w:start w:val="1"/>
      <w:numFmt w:val="bullet"/>
      <w:lvlText w:val=""/>
      <w:lvlJc w:val="left"/>
      <w:pPr>
        <w:ind w:left="5040" w:hanging="360"/>
      </w:pPr>
      <w:rPr>
        <w:rFonts w:ascii="Symbol" w:hAnsi="Symbol" w:hint="default"/>
      </w:rPr>
    </w:lvl>
    <w:lvl w:ilvl="7" w:tplc="4014AF2E" w:tentative="1">
      <w:start w:val="1"/>
      <w:numFmt w:val="bullet"/>
      <w:lvlText w:val="o"/>
      <w:lvlJc w:val="left"/>
      <w:pPr>
        <w:ind w:left="5760" w:hanging="360"/>
      </w:pPr>
      <w:rPr>
        <w:rFonts w:ascii="Courier New" w:hAnsi="Courier New" w:cs="Courier New" w:hint="default"/>
      </w:rPr>
    </w:lvl>
    <w:lvl w:ilvl="8" w:tplc="0348435A" w:tentative="1">
      <w:start w:val="1"/>
      <w:numFmt w:val="bullet"/>
      <w:lvlText w:val=""/>
      <w:lvlJc w:val="left"/>
      <w:pPr>
        <w:ind w:left="6480" w:hanging="360"/>
      </w:pPr>
      <w:rPr>
        <w:rFonts w:ascii="Wingdings" w:hAnsi="Wingdings" w:hint="default"/>
      </w:rPr>
    </w:lvl>
  </w:abstractNum>
  <w:abstractNum w:abstractNumId="16" w15:restartNumberingAfterBreak="0">
    <w:nsid w:val="39CD2C07"/>
    <w:multiLevelType w:val="hybridMultilevel"/>
    <w:tmpl w:val="DE586844"/>
    <w:lvl w:ilvl="0" w:tplc="5C964A28">
      <w:start w:val="1"/>
      <w:numFmt w:val="bullet"/>
      <w:lvlText w:val=""/>
      <w:lvlJc w:val="left"/>
      <w:pPr>
        <w:ind w:left="720" w:hanging="360"/>
      </w:pPr>
      <w:rPr>
        <w:rFonts w:ascii="Symbol" w:hAnsi="Symbol" w:hint="default"/>
      </w:rPr>
    </w:lvl>
    <w:lvl w:ilvl="1" w:tplc="672469AE">
      <w:start w:val="1"/>
      <w:numFmt w:val="bullet"/>
      <w:lvlText w:val="o"/>
      <w:lvlJc w:val="left"/>
      <w:pPr>
        <w:ind w:left="1440" w:hanging="360"/>
      </w:pPr>
      <w:rPr>
        <w:rFonts w:ascii="Courier New" w:hAnsi="Courier New" w:cs="Courier New" w:hint="default"/>
      </w:rPr>
    </w:lvl>
    <w:lvl w:ilvl="2" w:tplc="C40E025A">
      <w:numFmt w:val="bullet"/>
      <w:lvlText w:val="•"/>
      <w:lvlJc w:val="left"/>
      <w:pPr>
        <w:ind w:left="2160" w:hanging="360"/>
      </w:pPr>
      <w:rPr>
        <w:rFonts w:ascii="Arial" w:eastAsia="Times New Roman" w:hAnsi="Arial" w:cs="Arial" w:hint="default"/>
      </w:rPr>
    </w:lvl>
    <w:lvl w:ilvl="3" w:tplc="AC5CD44A" w:tentative="1">
      <w:start w:val="1"/>
      <w:numFmt w:val="bullet"/>
      <w:lvlText w:val=""/>
      <w:lvlJc w:val="left"/>
      <w:pPr>
        <w:ind w:left="2880" w:hanging="360"/>
      </w:pPr>
      <w:rPr>
        <w:rFonts w:ascii="Symbol" w:hAnsi="Symbol" w:hint="default"/>
      </w:rPr>
    </w:lvl>
    <w:lvl w:ilvl="4" w:tplc="C75C9628" w:tentative="1">
      <w:start w:val="1"/>
      <w:numFmt w:val="bullet"/>
      <w:lvlText w:val="o"/>
      <w:lvlJc w:val="left"/>
      <w:pPr>
        <w:ind w:left="3600" w:hanging="360"/>
      </w:pPr>
      <w:rPr>
        <w:rFonts w:ascii="Courier New" w:hAnsi="Courier New" w:cs="Courier New" w:hint="default"/>
      </w:rPr>
    </w:lvl>
    <w:lvl w:ilvl="5" w:tplc="F62A5AB6" w:tentative="1">
      <w:start w:val="1"/>
      <w:numFmt w:val="bullet"/>
      <w:lvlText w:val=""/>
      <w:lvlJc w:val="left"/>
      <w:pPr>
        <w:ind w:left="4320" w:hanging="360"/>
      </w:pPr>
      <w:rPr>
        <w:rFonts w:ascii="Wingdings" w:hAnsi="Wingdings" w:hint="default"/>
      </w:rPr>
    </w:lvl>
    <w:lvl w:ilvl="6" w:tplc="9496D04E" w:tentative="1">
      <w:start w:val="1"/>
      <w:numFmt w:val="bullet"/>
      <w:lvlText w:val=""/>
      <w:lvlJc w:val="left"/>
      <w:pPr>
        <w:ind w:left="5040" w:hanging="360"/>
      </w:pPr>
      <w:rPr>
        <w:rFonts w:ascii="Symbol" w:hAnsi="Symbol" w:hint="default"/>
      </w:rPr>
    </w:lvl>
    <w:lvl w:ilvl="7" w:tplc="DCB4668A" w:tentative="1">
      <w:start w:val="1"/>
      <w:numFmt w:val="bullet"/>
      <w:lvlText w:val="o"/>
      <w:lvlJc w:val="left"/>
      <w:pPr>
        <w:ind w:left="5760" w:hanging="360"/>
      </w:pPr>
      <w:rPr>
        <w:rFonts w:ascii="Courier New" w:hAnsi="Courier New" w:cs="Courier New" w:hint="default"/>
      </w:rPr>
    </w:lvl>
    <w:lvl w:ilvl="8" w:tplc="36F6008C" w:tentative="1">
      <w:start w:val="1"/>
      <w:numFmt w:val="bullet"/>
      <w:lvlText w:val=""/>
      <w:lvlJc w:val="left"/>
      <w:pPr>
        <w:ind w:left="6480" w:hanging="360"/>
      </w:pPr>
      <w:rPr>
        <w:rFonts w:ascii="Wingdings" w:hAnsi="Wingdings" w:hint="default"/>
      </w:rPr>
    </w:lvl>
  </w:abstractNum>
  <w:abstractNum w:abstractNumId="17" w15:restartNumberingAfterBreak="0">
    <w:nsid w:val="42AA2B2D"/>
    <w:multiLevelType w:val="hybridMultilevel"/>
    <w:tmpl w:val="341EC2D6"/>
    <w:lvl w:ilvl="0" w:tplc="23F02EBE">
      <w:start w:val="1"/>
      <w:numFmt w:val="bullet"/>
      <w:lvlText w:val=""/>
      <w:lvlJc w:val="left"/>
      <w:pPr>
        <w:ind w:left="720" w:hanging="360"/>
      </w:pPr>
      <w:rPr>
        <w:rFonts w:ascii="Symbol" w:hAnsi="Symbol" w:hint="default"/>
      </w:rPr>
    </w:lvl>
    <w:lvl w:ilvl="1" w:tplc="9B3E4562" w:tentative="1">
      <w:start w:val="1"/>
      <w:numFmt w:val="bullet"/>
      <w:lvlText w:val="o"/>
      <w:lvlJc w:val="left"/>
      <w:pPr>
        <w:ind w:left="1440" w:hanging="360"/>
      </w:pPr>
      <w:rPr>
        <w:rFonts w:ascii="Courier New" w:hAnsi="Courier New" w:cs="Courier New" w:hint="default"/>
      </w:rPr>
    </w:lvl>
    <w:lvl w:ilvl="2" w:tplc="42FAD488" w:tentative="1">
      <w:start w:val="1"/>
      <w:numFmt w:val="bullet"/>
      <w:lvlText w:val=""/>
      <w:lvlJc w:val="left"/>
      <w:pPr>
        <w:ind w:left="2160" w:hanging="360"/>
      </w:pPr>
      <w:rPr>
        <w:rFonts w:ascii="Wingdings" w:hAnsi="Wingdings" w:hint="default"/>
      </w:rPr>
    </w:lvl>
    <w:lvl w:ilvl="3" w:tplc="0A5478EA" w:tentative="1">
      <w:start w:val="1"/>
      <w:numFmt w:val="bullet"/>
      <w:lvlText w:val=""/>
      <w:lvlJc w:val="left"/>
      <w:pPr>
        <w:ind w:left="2880" w:hanging="360"/>
      </w:pPr>
      <w:rPr>
        <w:rFonts w:ascii="Symbol" w:hAnsi="Symbol" w:hint="default"/>
      </w:rPr>
    </w:lvl>
    <w:lvl w:ilvl="4" w:tplc="100627C8" w:tentative="1">
      <w:start w:val="1"/>
      <w:numFmt w:val="bullet"/>
      <w:lvlText w:val="o"/>
      <w:lvlJc w:val="left"/>
      <w:pPr>
        <w:ind w:left="3600" w:hanging="360"/>
      </w:pPr>
      <w:rPr>
        <w:rFonts w:ascii="Courier New" w:hAnsi="Courier New" w:cs="Courier New" w:hint="default"/>
      </w:rPr>
    </w:lvl>
    <w:lvl w:ilvl="5" w:tplc="ABA8F286" w:tentative="1">
      <w:start w:val="1"/>
      <w:numFmt w:val="bullet"/>
      <w:lvlText w:val=""/>
      <w:lvlJc w:val="left"/>
      <w:pPr>
        <w:ind w:left="4320" w:hanging="360"/>
      </w:pPr>
      <w:rPr>
        <w:rFonts w:ascii="Wingdings" w:hAnsi="Wingdings" w:hint="default"/>
      </w:rPr>
    </w:lvl>
    <w:lvl w:ilvl="6" w:tplc="A5FA12BE" w:tentative="1">
      <w:start w:val="1"/>
      <w:numFmt w:val="bullet"/>
      <w:lvlText w:val=""/>
      <w:lvlJc w:val="left"/>
      <w:pPr>
        <w:ind w:left="5040" w:hanging="360"/>
      </w:pPr>
      <w:rPr>
        <w:rFonts w:ascii="Symbol" w:hAnsi="Symbol" w:hint="default"/>
      </w:rPr>
    </w:lvl>
    <w:lvl w:ilvl="7" w:tplc="75A81950" w:tentative="1">
      <w:start w:val="1"/>
      <w:numFmt w:val="bullet"/>
      <w:lvlText w:val="o"/>
      <w:lvlJc w:val="left"/>
      <w:pPr>
        <w:ind w:left="5760" w:hanging="360"/>
      </w:pPr>
      <w:rPr>
        <w:rFonts w:ascii="Courier New" w:hAnsi="Courier New" w:cs="Courier New" w:hint="default"/>
      </w:rPr>
    </w:lvl>
    <w:lvl w:ilvl="8" w:tplc="5DA05B6A" w:tentative="1">
      <w:start w:val="1"/>
      <w:numFmt w:val="bullet"/>
      <w:lvlText w:val=""/>
      <w:lvlJc w:val="left"/>
      <w:pPr>
        <w:ind w:left="6480" w:hanging="360"/>
      </w:pPr>
      <w:rPr>
        <w:rFonts w:ascii="Wingdings" w:hAnsi="Wingdings" w:hint="default"/>
      </w:rPr>
    </w:lvl>
  </w:abstractNum>
  <w:abstractNum w:abstractNumId="18" w15:restartNumberingAfterBreak="0">
    <w:nsid w:val="46FE4D22"/>
    <w:multiLevelType w:val="hybridMultilevel"/>
    <w:tmpl w:val="9B825B02"/>
    <w:lvl w:ilvl="0" w:tplc="D2463EE0">
      <w:start w:val="1"/>
      <w:numFmt w:val="lowerRoman"/>
      <w:lvlText w:val="(%1)"/>
      <w:lvlJc w:val="left"/>
      <w:pPr>
        <w:ind w:left="1080" w:hanging="720"/>
      </w:pPr>
      <w:rPr>
        <w:rFonts w:hint="default"/>
      </w:rPr>
    </w:lvl>
    <w:lvl w:ilvl="1" w:tplc="962C85D4" w:tentative="1">
      <w:start w:val="1"/>
      <w:numFmt w:val="lowerLetter"/>
      <w:lvlText w:val="%2."/>
      <w:lvlJc w:val="left"/>
      <w:pPr>
        <w:ind w:left="1440" w:hanging="360"/>
      </w:pPr>
    </w:lvl>
    <w:lvl w:ilvl="2" w:tplc="76806EF2" w:tentative="1">
      <w:start w:val="1"/>
      <w:numFmt w:val="lowerRoman"/>
      <w:lvlText w:val="%3."/>
      <w:lvlJc w:val="right"/>
      <w:pPr>
        <w:ind w:left="2160" w:hanging="180"/>
      </w:pPr>
    </w:lvl>
    <w:lvl w:ilvl="3" w:tplc="93BC4110" w:tentative="1">
      <w:start w:val="1"/>
      <w:numFmt w:val="decimal"/>
      <w:lvlText w:val="%4."/>
      <w:lvlJc w:val="left"/>
      <w:pPr>
        <w:ind w:left="2880" w:hanging="360"/>
      </w:pPr>
    </w:lvl>
    <w:lvl w:ilvl="4" w:tplc="75EC81C8" w:tentative="1">
      <w:start w:val="1"/>
      <w:numFmt w:val="lowerLetter"/>
      <w:lvlText w:val="%5."/>
      <w:lvlJc w:val="left"/>
      <w:pPr>
        <w:ind w:left="3600" w:hanging="360"/>
      </w:pPr>
    </w:lvl>
    <w:lvl w:ilvl="5" w:tplc="4480320C" w:tentative="1">
      <w:start w:val="1"/>
      <w:numFmt w:val="lowerRoman"/>
      <w:lvlText w:val="%6."/>
      <w:lvlJc w:val="right"/>
      <w:pPr>
        <w:ind w:left="4320" w:hanging="180"/>
      </w:pPr>
    </w:lvl>
    <w:lvl w:ilvl="6" w:tplc="66E0FA72" w:tentative="1">
      <w:start w:val="1"/>
      <w:numFmt w:val="decimal"/>
      <w:lvlText w:val="%7."/>
      <w:lvlJc w:val="left"/>
      <w:pPr>
        <w:ind w:left="5040" w:hanging="360"/>
      </w:pPr>
    </w:lvl>
    <w:lvl w:ilvl="7" w:tplc="AE70A37A" w:tentative="1">
      <w:start w:val="1"/>
      <w:numFmt w:val="lowerLetter"/>
      <w:lvlText w:val="%8."/>
      <w:lvlJc w:val="left"/>
      <w:pPr>
        <w:ind w:left="5760" w:hanging="360"/>
      </w:pPr>
    </w:lvl>
    <w:lvl w:ilvl="8" w:tplc="04D84F7E" w:tentative="1">
      <w:start w:val="1"/>
      <w:numFmt w:val="lowerRoman"/>
      <w:lvlText w:val="%9."/>
      <w:lvlJc w:val="right"/>
      <w:pPr>
        <w:ind w:left="6480" w:hanging="180"/>
      </w:pPr>
    </w:lvl>
  </w:abstractNum>
  <w:abstractNum w:abstractNumId="19" w15:restartNumberingAfterBreak="0">
    <w:nsid w:val="4AC23895"/>
    <w:multiLevelType w:val="singleLevel"/>
    <w:tmpl w:val="477AAB7C"/>
    <w:lvl w:ilvl="0">
      <w:start w:val="1"/>
      <w:numFmt w:val="bullet"/>
      <w:pStyle w:val="BoxBullet"/>
      <w:lvlText w:val="–"/>
      <w:lvlJc w:val="left"/>
      <w:pPr>
        <w:tabs>
          <w:tab w:val="num" w:pos="576"/>
        </w:tabs>
        <w:ind w:left="432" w:hanging="216"/>
      </w:pPr>
      <w:rPr>
        <w:rFonts w:ascii="Times New Roman" w:hAnsi="Times New Roman" w:cs="Times New Roman" w:hint="default"/>
        <w:sz w:val="20"/>
      </w:rPr>
    </w:lvl>
  </w:abstractNum>
  <w:abstractNum w:abstractNumId="20" w15:restartNumberingAfterBreak="0">
    <w:nsid w:val="4BA41544"/>
    <w:multiLevelType w:val="hybridMultilevel"/>
    <w:tmpl w:val="07D4CAE0"/>
    <w:lvl w:ilvl="0" w:tplc="4964DBC4">
      <w:start w:val="1"/>
      <w:numFmt w:val="bullet"/>
      <w:lvlText w:val=""/>
      <w:lvlJc w:val="left"/>
      <w:pPr>
        <w:ind w:left="720" w:hanging="360"/>
      </w:pPr>
      <w:rPr>
        <w:rFonts w:ascii="Symbol" w:hAnsi="Symbol" w:hint="default"/>
      </w:rPr>
    </w:lvl>
    <w:lvl w:ilvl="1" w:tplc="A6F0D6F4" w:tentative="1">
      <w:start w:val="1"/>
      <w:numFmt w:val="bullet"/>
      <w:lvlText w:val="o"/>
      <w:lvlJc w:val="left"/>
      <w:pPr>
        <w:ind w:left="1440" w:hanging="360"/>
      </w:pPr>
      <w:rPr>
        <w:rFonts w:ascii="Courier New" w:hAnsi="Courier New" w:cs="Courier New" w:hint="default"/>
      </w:rPr>
    </w:lvl>
    <w:lvl w:ilvl="2" w:tplc="F2B255CC" w:tentative="1">
      <w:start w:val="1"/>
      <w:numFmt w:val="bullet"/>
      <w:lvlText w:val=""/>
      <w:lvlJc w:val="left"/>
      <w:pPr>
        <w:ind w:left="2160" w:hanging="360"/>
      </w:pPr>
      <w:rPr>
        <w:rFonts w:ascii="Wingdings" w:hAnsi="Wingdings" w:hint="default"/>
      </w:rPr>
    </w:lvl>
    <w:lvl w:ilvl="3" w:tplc="08E24928" w:tentative="1">
      <w:start w:val="1"/>
      <w:numFmt w:val="bullet"/>
      <w:lvlText w:val=""/>
      <w:lvlJc w:val="left"/>
      <w:pPr>
        <w:ind w:left="2880" w:hanging="360"/>
      </w:pPr>
      <w:rPr>
        <w:rFonts w:ascii="Symbol" w:hAnsi="Symbol" w:hint="default"/>
      </w:rPr>
    </w:lvl>
    <w:lvl w:ilvl="4" w:tplc="D3F29B24" w:tentative="1">
      <w:start w:val="1"/>
      <w:numFmt w:val="bullet"/>
      <w:lvlText w:val="o"/>
      <w:lvlJc w:val="left"/>
      <w:pPr>
        <w:ind w:left="3600" w:hanging="360"/>
      </w:pPr>
      <w:rPr>
        <w:rFonts w:ascii="Courier New" w:hAnsi="Courier New" w:cs="Courier New" w:hint="default"/>
      </w:rPr>
    </w:lvl>
    <w:lvl w:ilvl="5" w:tplc="5A70E6C6" w:tentative="1">
      <w:start w:val="1"/>
      <w:numFmt w:val="bullet"/>
      <w:lvlText w:val=""/>
      <w:lvlJc w:val="left"/>
      <w:pPr>
        <w:ind w:left="4320" w:hanging="360"/>
      </w:pPr>
      <w:rPr>
        <w:rFonts w:ascii="Wingdings" w:hAnsi="Wingdings" w:hint="default"/>
      </w:rPr>
    </w:lvl>
    <w:lvl w:ilvl="6" w:tplc="C23E5B58" w:tentative="1">
      <w:start w:val="1"/>
      <w:numFmt w:val="bullet"/>
      <w:lvlText w:val=""/>
      <w:lvlJc w:val="left"/>
      <w:pPr>
        <w:ind w:left="5040" w:hanging="360"/>
      </w:pPr>
      <w:rPr>
        <w:rFonts w:ascii="Symbol" w:hAnsi="Symbol" w:hint="default"/>
      </w:rPr>
    </w:lvl>
    <w:lvl w:ilvl="7" w:tplc="C4BE6942" w:tentative="1">
      <w:start w:val="1"/>
      <w:numFmt w:val="bullet"/>
      <w:lvlText w:val="o"/>
      <w:lvlJc w:val="left"/>
      <w:pPr>
        <w:ind w:left="5760" w:hanging="360"/>
      </w:pPr>
      <w:rPr>
        <w:rFonts w:ascii="Courier New" w:hAnsi="Courier New" w:cs="Courier New" w:hint="default"/>
      </w:rPr>
    </w:lvl>
    <w:lvl w:ilvl="8" w:tplc="A0848258" w:tentative="1">
      <w:start w:val="1"/>
      <w:numFmt w:val="bullet"/>
      <w:lvlText w:val=""/>
      <w:lvlJc w:val="left"/>
      <w:pPr>
        <w:ind w:left="6480" w:hanging="360"/>
      </w:pPr>
      <w:rPr>
        <w:rFonts w:ascii="Wingdings" w:hAnsi="Wingdings" w:hint="default"/>
      </w:rPr>
    </w:lvl>
  </w:abstractNum>
  <w:abstractNum w:abstractNumId="21" w15:restartNumberingAfterBreak="0">
    <w:nsid w:val="5BE10426"/>
    <w:multiLevelType w:val="hybridMultilevel"/>
    <w:tmpl w:val="72F6B18A"/>
    <w:lvl w:ilvl="0" w:tplc="7CA0A9C0">
      <w:start w:val="1"/>
      <w:numFmt w:val="decimal"/>
      <w:lvlText w:val="%1."/>
      <w:lvlJc w:val="left"/>
      <w:pPr>
        <w:ind w:left="720" w:hanging="360"/>
      </w:pPr>
      <w:rPr>
        <w:rFonts w:hint="default"/>
      </w:rPr>
    </w:lvl>
    <w:lvl w:ilvl="1" w:tplc="B3ECDF2A" w:tentative="1">
      <w:start w:val="1"/>
      <w:numFmt w:val="lowerLetter"/>
      <w:lvlText w:val="%2."/>
      <w:lvlJc w:val="left"/>
      <w:pPr>
        <w:ind w:left="1440" w:hanging="360"/>
      </w:pPr>
    </w:lvl>
    <w:lvl w:ilvl="2" w:tplc="FC9A6DC6" w:tentative="1">
      <w:start w:val="1"/>
      <w:numFmt w:val="lowerRoman"/>
      <w:lvlText w:val="%3."/>
      <w:lvlJc w:val="right"/>
      <w:pPr>
        <w:ind w:left="2160" w:hanging="180"/>
      </w:pPr>
    </w:lvl>
    <w:lvl w:ilvl="3" w:tplc="D3B687F4" w:tentative="1">
      <w:start w:val="1"/>
      <w:numFmt w:val="decimal"/>
      <w:lvlText w:val="%4."/>
      <w:lvlJc w:val="left"/>
      <w:pPr>
        <w:ind w:left="2880" w:hanging="360"/>
      </w:pPr>
    </w:lvl>
    <w:lvl w:ilvl="4" w:tplc="374E18A2" w:tentative="1">
      <w:start w:val="1"/>
      <w:numFmt w:val="lowerLetter"/>
      <w:lvlText w:val="%5."/>
      <w:lvlJc w:val="left"/>
      <w:pPr>
        <w:ind w:left="3600" w:hanging="360"/>
      </w:pPr>
    </w:lvl>
    <w:lvl w:ilvl="5" w:tplc="7C74EED6" w:tentative="1">
      <w:start w:val="1"/>
      <w:numFmt w:val="lowerRoman"/>
      <w:lvlText w:val="%6."/>
      <w:lvlJc w:val="right"/>
      <w:pPr>
        <w:ind w:left="4320" w:hanging="180"/>
      </w:pPr>
    </w:lvl>
    <w:lvl w:ilvl="6" w:tplc="4DBC7DBC" w:tentative="1">
      <w:start w:val="1"/>
      <w:numFmt w:val="decimal"/>
      <w:lvlText w:val="%7."/>
      <w:lvlJc w:val="left"/>
      <w:pPr>
        <w:ind w:left="5040" w:hanging="360"/>
      </w:pPr>
    </w:lvl>
    <w:lvl w:ilvl="7" w:tplc="3B522FC4" w:tentative="1">
      <w:start w:val="1"/>
      <w:numFmt w:val="lowerLetter"/>
      <w:lvlText w:val="%8."/>
      <w:lvlJc w:val="left"/>
      <w:pPr>
        <w:ind w:left="5760" w:hanging="360"/>
      </w:pPr>
    </w:lvl>
    <w:lvl w:ilvl="8" w:tplc="DBAA8ED2" w:tentative="1">
      <w:start w:val="1"/>
      <w:numFmt w:val="lowerRoman"/>
      <w:lvlText w:val="%9."/>
      <w:lvlJc w:val="right"/>
      <w:pPr>
        <w:ind w:left="6480" w:hanging="180"/>
      </w:pPr>
    </w:lvl>
  </w:abstractNum>
  <w:abstractNum w:abstractNumId="22" w15:restartNumberingAfterBreak="0">
    <w:nsid w:val="637F53DD"/>
    <w:multiLevelType w:val="hybridMultilevel"/>
    <w:tmpl w:val="210C0D8E"/>
    <w:lvl w:ilvl="0" w:tplc="B2A29E06">
      <w:start w:val="1"/>
      <w:numFmt w:val="bullet"/>
      <w:lvlText w:val=""/>
      <w:lvlJc w:val="left"/>
      <w:pPr>
        <w:ind w:left="360" w:hanging="360"/>
      </w:pPr>
      <w:rPr>
        <w:rFonts w:ascii="Symbol" w:hAnsi="Symbol" w:hint="default"/>
      </w:rPr>
    </w:lvl>
    <w:lvl w:ilvl="1" w:tplc="F1504426" w:tentative="1">
      <w:start w:val="1"/>
      <w:numFmt w:val="bullet"/>
      <w:lvlText w:val="o"/>
      <w:lvlJc w:val="left"/>
      <w:pPr>
        <w:ind w:left="1080" w:hanging="360"/>
      </w:pPr>
      <w:rPr>
        <w:rFonts w:ascii="Courier New" w:hAnsi="Courier New" w:cs="Courier New" w:hint="default"/>
      </w:rPr>
    </w:lvl>
    <w:lvl w:ilvl="2" w:tplc="E2BCE080" w:tentative="1">
      <w:start w:val="1"/>
      <w:numFmt w:val="bullet"/>
      <w:lvlText w:val=""/>
      <w:lvlJc w:val="left"/>
      <w:pPr>
        <w:ind w:left="1800" w:hanging="360"/>
      </w:pPr>
      <w:rPr>
        <w:rFonts w:ascii="Wingdings" w:hAnsi="Wingdings" w:hint="default"/>
      </w:rPr>
    </w:lvl>
    <w:lvl w:ilvl="3" w:tplc="2388823C" w:tentative="1">
      <w:start w:val="1"/>
      <w:numFmt w:val="bullet"/>
      <w:lvlText w:val=""/>
      <w:lvlJc w:val="left"/>
      <w:pPr>
        <w:ind w:left="2520" w:hanging="360"/>
      </w:pPr>
      <w:rPr>
        <w:rFonts w:ascii="Symbol" w:hAnsi="Symbol" w:hint="default"/>
      </w:rPr>
    </w:lvl>
    <w:lvl w:ilvl="4" w:tplc="D7CA0318" w:tentative="1">
      <w:start w:val="1"/>
      <w:numFmt w:val="bullet"/>
      <w:lvlText w:val="o"/>
      <w:lvlJc w:val="left"/>
      <w:pPr>
        <w:ind w:left="3240" w:hanging="360"/>
      </w:pPr>
      <w:rPr>
        <w:rFonts w:ascii="Courier New" w:hAnsi="Courier New" w:cs="Courier New" w:hint="default"/>
      </w:rPr>
    </w:lvl>
    <w:lvl w:ilvl="5" w:tplc="1800106C" w:tentative="1">
      <w:start w:val="1"/>
      <w:numFmt w:val="bullet"/>
      <w:lvlText w:val=""/>
      <w:lvlJc w:val="left"/>
      <w:pPr>
        <w:ind w:left="3960" w:hanging="360"/>
      </w:pPr>
      <w:rPr>
        <w:rFonts w:ascii="Wingdings" w:hAnsi="Wingdings" w:hint="default"/>
      </w:rPr>
    </w:lvl>
    <w:lvl w:ilvl="6" w:tplc="83CCD000" w:tentative="1">
      <w:start w:val="1"/>
      <w:numFmt w:val="bullet"/>
      <w:lvlText w:val=""/>
      <w:lvlJc w:val="left"/>
      <w:pPr>
        <w:ind w:left="4680" w:hanging="360"/>
      </w:pPr>
      <w:rPr>
        <w:rFonts w:ascii="Symbol" w:hAnsi="Symbol" w:hint="default"/>
      </w:rPr>
    </w:lvl>
    <w:lvl w:ilvl="7" w:tplc="237835D4" w:tentative="1">
      <w:start w:val="1"/>
      <w:numFmt w:val="bullet"/>
      <w:lvlText w:val="o"/>
      <w:lvlJc w:val="left"/>
      <w:pPr>
        <w:ind w:left="5400" w:hanging="360"/>
      </w:pPr>
      <w:rPr>
        <w:rFonts w:ascii="Courier New" w:hAnsi="Courier New" w:cs="Courier New" w:hint="default"/>
      </w:rPr>
    </w:lvl>
    <w:lvl w:ilvl="8" w:tplc="6CA6A09A" w:tentative="1">
      <w:start w:val="1"/>
      <w:numFmt w:val="bullet"/>
      <w:lvlText w:val=""/>
      <w:lvlJc w:val="left"/>
      <w:pPr>
        <w:ind w:left="6120" w:hanging="360"/>
      </w:pPr>
      <w:rPr>
        <w:rFonts w:ascii="Wingdings" w:hAnsi="Wingdings" w:hint="default"/>
      </w:rPr>
    </w:lvl>
  </w:abstractNum>
  <w:abstractNum w:abstractNumId="23" w15:restartNumberingAfterBreak="0">
    <w:nsid w:val="68B36D7D"/>
    <w:multiLevelType w:val="hybridMultilevel"/>
    <w:tmpl w:val="2098B344"/>
    <w:lvl w:ilvl="0" w:tplc="BFB2BDA0">
      <w:start w:val="1"/>
      <w:numFmt w:val="bullet"/>
      <w:lvlText w:val=""/>
      <w:lvlJc w:val="left"/>
      <w:pPr>
        <w:ind w:left="720" w:hanging="360"/>
      </w:pPr>
      <w:rPr>
        <w:rFonts w:ascii="Symbol" w:hAnsi="Symbol" w:hint="default"/>
      </w:rPr>
    </w:lvl>
    <w:lvl w:ilvl="1" w:tplc="5308C212">
      <w:numFmt w:val="bullet"/>
      <w:lvlText w:val="•"/>
      <w:lvlJc w:val="left"/>
      <w:pPr>
        <w:ind w:left="1440" w:hanging="360"/>
      </w:pPr>
      <w:rPr>
        <w:rFonts w:ascii="Arial" w:hAnsi="Arial" w:hint="default"/>
        <w:sz w:val="20"/>
      </w:rPr>
    </w:lvl>
    <w:lvl w:ilvl="2" w:tplc="B874D078">
      <w:start w:val="1"/>
      <w:numFmt w:val="bullet"/>
      <w:lvlText w:val=""/>
      <w:lvlJc w:val="left"/>
      <w:pPr>
        <w:ind w:left="2160" w:hanging="360"/>
      </w:pPr>
      <w:rPr>
        <w:rFonts w:ascii="Wingdings" w:hAnsi="Wingdings" w:hint="default"/>
      </w:rPr>
    </w:lvl>
    <w:lvl w:ilvl="3" w:tplc="340C0974" w:tentative="1">
      <w:start w:val="1"/>
      <w:numFmt w:val="bullet"/>
      <w:lvlText w:val=""/>
      <w:lvlJc w:val="left"/>
      <w:pPr>
        <w:ind w:left="2880" w:hanging="360"/>
      </w:pPr>
      <w:rPr>
        <w:rFonts w:ascii="Symbol" w:hAnsi="Symbol" w:hint="default"/>
      </w:rPr>
    </w:lvl>
    <w:lvl w:ilvl="4" w:tplc="07FEDE44" w:tentative="1">
      <w:start w:val="1"/>
      <w:numFmt w:val="bullet"/>
      <w:lvlText w:val="o"/>
      <w:lvlJc w:val="left"/>
      <w:pPr>
        <w:ind w:left="3600" w:hanging="360"/>
      </w:pPr>
      <w:rPr>
        <w:rFonts w:ascii="Courier New" w:hAnsi="Courier New" w:cs="Courier New" w:hint="default"/>
      </w:rPr>
    </w:lvl>
    <w:lvl w:ilvl="5" w:tplc="83D2956C" w:tentative="1">
      <w:start w:val="1"/>
      <w:numFmt w:val="bullet"/>
      <w:lvlText w:val=""/>
      <w:lvlJc w:val="left"/>
      <w:pPr>
        <w:ind w:left="4320" w:hanging="360"/>
      </w:pPr>
      <w:rPr>
        <w:rFonts w:ascii="Wingdings" w:hAnsi="Wingdings" w:hint="default"/>
      </w:rPr>
    </w:lvl>
    <w:lvl w:ilvl="6" w:tplc="B6509916" w:tentative="1">
      <w:start w:val="1"/>
      <w:numFmt w:val="bullet"/>
      <w:lvlText w:val=""/>
      <w:lvlJc w:val="left"/>
      <w:pPr>
        <w:ind w:left="5040" w:hanging="360"/>
      </w:pPr>
      <w:rPr>
        <w:rFonts w:ascii="Symbol" w:hAnsi="Symbol" w:hint="default"/>
      </w:rPr>
    </w:lvl>
    <w:lvl w:ilvl="7" w:tplc="5322C21C" w:tentative="1">
      <w:start w:val="1"/>
      <w:numFmt w:val="bullet"/>
      <w:lvlText w:val="o"/>
      <w:lvlJc w:val="left"/>
      <w:pPr>
        <w:ind w:left="5760" w:hanging="360"/>
      </w:pPr>
      <w:rPr>
        <w:rFonts w:ascii="Courier New" w:hAnsi="Courier New" w:cs="Courier New" w:hint="default"/>
      </w:rPr>
    </w:lvl>
    <w:lvl w:ilvl="8" w:tplc="548847BC" w:tentative="1">
      <w:start w:val="1"/>
      <w:numFmt w:val="bullet"/>
      <w:lvlText w:val=""/>
      <w:lvlJc w:val="left"/>
      <w:pPr>
        <w:ind w:left="6480" w:hanging="360"/>
      </w:pPr>
      <w:rPr>
        <w:rFonts w:ascii="Wingdings" w:hAnsi="Wingdings" w:hint="default"/>
      </w:rPr>
    </w:lvl>
  </w:abstractNum>
  <w:abstractNum w:abstractNumId="24" w15:restartNumberingAfterBreak="0">
    <w:nsid w:val="73B4060E"/>
    <w:multiLevelType w:val="multilevel"/>
    <w:tmpl w:val="4A005E22"/>
    <w:styleLink w:val="Style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7413494F"/>
    <w:multiLevelType w:val="hybridMultilevel"/>
    <w:tmpl w:val="5336916E"/>
    <w:lvl w:ilvl="0" w:tplc="304C3B82">
      <w:start w:val="1"/>
      <w:numFmt w:val="bullet"/>
      <w:lvlText w:val=""/>
      <w:lvlJc w:val="left"/>
      <w:pPr>
        <w:ind w:left="720" w:hanging="360"/>
      </w:pPr>
      <w:rPr>
        <w:rFonts w:ascii="Symbol" w:hAnsi="Symbol" w:hint="default"/>
      </w:rPr>
    </w:lvl>
    <w:lvl w:ilvl="1" w:tplc="7DB2AD10">
      <w:start w:val="1"/>
      <w:numFmt w:val="bullet"/>
      <w:lvlText w:val=""/>
      <w:lvlJc w:val="left"/>
      <w:pPr>
        <w:ind w:left="1440" w:hanging="360"/>
      </w:pPr>
      <w:rPr>
        <w:rFonts w:ascii="Symbol" w:hAnsi="Symbol" w:hint="default"/>
      </w:rPr>
    </w:lvl>
    <w:lvl w:ilvl="2" w:tplc="BC2ED71E" w:tentative="1">
      <w:start w:val="1"/>
      <w:numFmt w:val="bullet"/>
      <w:lvlText w:val=""/>
      <w:lvlJc w:val="left"/>
      <w:pPr>
        <w:ind w:left="2160" w:hanging="360"/>
      </w:pPr>
      <w:rPr>
        <w:rFonts w:ascii="Wingdings" w:hAnsi="Wingdings" w:hint="default"/>
      </w:rPr>
    </w:lvl>
    <w:lvl w:ilvl="3" w:tplc="2AB02F80" w:tentative="1">
      <w:start w:val="1"/>
      <w:numFmt w:val="bullet"/>
      <w:lvlText w:val=""/>
      <w:lvlJc w:val="left"/>
      <w:pPr>
        <w:ind w:left="2880" w:hanging="360"/>
      </w:pPr>
      <w:rPr>
        <w:rFonts w:ascii="Symbol" w:hAnsi="Symbol" w:hint="default"/>
      </w:rPr>
    </w:lvl>
    <w:lvl w:ilvl="4" w:tplc="AABEDFF6" w:tentative="1">
      <w:start w:val="1"/>
      <w:numFmt w:val="bullet"/>
      <w:lvlText w:val="o"/>
      <w:lvlJc w:val="left"/>
      <w:pPr>
        <w:ind w:left="3600" w:hanging="360"/>
      </w:pPr>
      <w:rPr>
        <w:rFonts w:ascii="Courier New" w:hAnsi="Courier New" w:cs="Courier New" w:hint="default"/>
      </w:rPr>
    </w:lvl>
    <w:lvl w:ilvl="5" w:tplc="59EACDFA" w:tentative="1">
      <w:start w:val="1"/>
      <w:numFmt w:val="bullet"/>
      <w:lvlText w:val=""/>
      <w:lvlJc w:val="left"/>
      <w:pPr>
        <w:ind w:left="4320" w:hanging="360"/>
      </w:pPr>
      <w:rPr>
        <w:rFonts w:ascii="Wingdings" w:hAnsi="Wingdings" w:hint="default"/>
      </w:rPr>
    </w:lvl>
    <w:lvl w:ilvl="6" w:tplc="670243CA" w:tentative="1">
      <w:start w:val="1"/>
      <w:numFmt w:val="bullet"/>
      <w:lvlText w:val=""/>
      <w:lvlJc w:val="left"/>
      <w:pPr>
        <w:ind w:left="5040" w:hanging="360"/>
      </w:pPr>
      <w:rPr>
        <w:rFonts w:ascii="Symbol" w:hAnsi="Symbol" w:hint="default"/>
      </w:rPr>
    </w:lvl>
    <w:lvl w:ilvl="7" w:tplc="220C7EB8" w:tentative="1">
      <w:start w:val="1"/>
      <w:numFmt w:val="bullet"/>
      <w:lvlText w:val="o"/>
      <w:lvlJc w:val="left"/>
      <w:pPr>
        <w:ind w:left="5760" w:hanging="360"/>
      </w:pPr>
      <w:rPr>
        <w:rFonts w:ascii="Courier New" w:hAnsi="Courier New" w:cs="Courier New" w:hint="default"/>
      </w:rPr>
    </w:lvl>
    <w:lvl w:ilvl="8" w:tplc="C32C1434" w:tentative="1">
      <w:start w:val="1"/>
      <w:numFmt w:val="bullet"/>
      <w:lvlText w:val=""/>
      <w:lvlJc w:val="left"/>
      <w:pPr>
        <w:ind w:left="6480" w:hanging="360"/>
      </w:pPr>
      <w:rPr>
        <w:rFonts w:ascii="Wingdings" w:hAnsi="Wingdings" w:hint="default"/>
      </w:rPr>
    </w:lvl>
  </w:abstractNum>
  <w:abstractNum w:abstractNumId="26" w15:restartNumberingAfterBreak="0">
    <w:nsid w:val="7BCD46A5"/>
    <w:multiLevelType w:val="hybridMultilevel"/>
    <w:tmpl w:val="F80A271C"/>
    <w:lvl w:ilvl="0" w:tplc="18E8EAFC">
      <w:start w:val="1"/>
      <w:numFmt w:val="bullet"/>
      <w:lvlText w:val=""/>
      <w:lvlJc w:val="left"/>
      <w:pPr>
        <w:ind w:left="720" w:hanging="360"/>
      </w:pPr>
      <w:rPr>
        <w:rFonts w:ascii="Symbol" w:hAnsi="Symbol" w:hint="default"/>
      </w:rPr>
    </w:lvl>
    <w:lvl w:ilvl="1" w:tplc="82906D44">
      <w:start w:val="1"/>
      <w:numFmt w:val="bullet"/>
      <w:lvlText w:val="o"/>
      <w:lvlJc w:val="left"/>
      <w:pPr>
        <w:ind w:left="1440" w:hanging="360"/>
      </w:pPr>
      <w:rPr>
        <w:rFonts w:ascii="Courier New" w:hAnsi="Courier New" w:cs="Courier New" w:hint="default"/>
      </w:rPr>
    </w:lvl>
    <w:lvl w:ilvl="2" w:tplc="3C82C374" w:tentative="1">
      <w:start w:val="1"/>
      <w:numFmt w:val="bullet"/>
      <w:lvlText w:val=""/>
      <w:lvlJc w:val="left"/>
      <w:pPr>
        <w:ind w:left="2160" w:hanging="360"/>
      </w:pPr>
      <w:rPr>
        <w:rFonts w:ascii="Wingdings" w:hAnsi="Wingdings" w:hint="default"/>
      </w:rPr>
    </w:lvl>
    <w:lvl w:ilvl="3" w:tplc="B6545C22" w:tentative="1">
      <w:start w:val="1"/>
      <w:numFmt w:val="bullet"/>
      <w:lvlText w:val=""/>
      <w:lvlJc w:val="left"/>
      <w:pPr>
        <w:ind w:left="2880" w:hanging="360"/>
      </w:pPr>
      <w:rPr>
        <w:rFonts w:ascii="Symbol" w:hAnsi="Symbol" w:hint="default"/>
      </w:rPr>
    </w:lvl>
    <w:lvl w:ilvl="4" w:tplc="FBE050F0" w:tentative="1">
      <w:start w:val="1"/>
      <w:numFmt w:val="bullet"/>
      <w:lvlText w:val="o"/>
      <w:lvlJc w:val="left"/>
      <w:pPr>
        <w:ind w:left="3600" w:hanging="360"/>
      </w:pPr>
      <w:rPr>
        <w:rFonts w:ascii="Courier New" w:hAnsi="Courier New" w:cs="Courier New" w:hint="default"/>
      </w:rPr>
    </w:lvl>
    <w:lvl w:ilvl="5" w:tplc="61323E68" w:tentative="1">
      <w:start w:val="1"/>
      <w:numFmt w:val="bullet"/>
      <w:lvlText w:val=""/>
      <w:lvlJc w:val="left"/>
      <w:pPr>
        <w:ind w:left="4320" w:hanging="360"/>
      </w:pPr>
      <w:rPr>
        <w:rFonts w:ascii="Wingdings" w:hAnsi="Wingdings" w:hint="default"/>
      </w:rPr>
    </w:lvl>
    <w:lvl w:ilvl="6" w:tplc="AE2C388E" w:tentative="1">
      <w:start w:val="1"/>
      <w:numFmt w:val="bullet"/>
      <w:lvlText w:val=""/>
      <w:lvlJc w:val="left"/>
      <w:pPr>
        <w:ind w:left="5040" w:hanging="360"/>
      </w:pPr>
      <w:rPr>
        <w:rFonts w:ascii="Symbol" w:hAnsi="Symbol" w:hint="default"/>
      </w:rPr>
    </w:lvl>
    <w:lvl w:ilvl="7" w:tplc="2264B114" w:tentative="1">
      <w:start w:val="1"/>
      <w:numFmt w:val="bullet"/>
      <w:lvlText w:val="o"/>
      <w:lvlJc w:val="left"/>
      <w:pPr>
        <w:ind w:left="5760" w:hanging="360"/>
      </w:pPr>
      <w:rPr>
        <w:rFonts w:ascii="Courier New" w:hAnsi="Courier New" w:cs="Courier New" w:hint="default"/>
      </w:rPr>
    </w:lvl>
    <w:lvl w:ilvl="8" w:tplc="F2DA433C" w:tentative="1">
      <w:start w:val="1"/>
      <w:numFmt w:val="bullet"/>
      <w:lvlText w:val=""/>
      <w:lvlJc w:val="left"/>
      <w:pPr>
        <w:ind w:left="6480" w:hanging="360"/>
      </w:pPr>
      <w:rPr>
        <w:rFonts w:ascii="Wingdings" w:hAnsi="Wingdings" w:hint="default"/>
      </w:rPr>
    </w:lvl>
  </w:abstractNum>
  <w:abstractNum w:abstractNumId="27" w15:restartNumberingAfterBreak="0">
    <w:nsid w:val="7C035DD0"/>
    <w:multiLevelType w:val="hybridMultilevel"/>
    <w:tmpl w:val="58B20520"/>
    <w:lvl w:ilvl="0" w:tplc="FD2ABAA0">
      <w:start w:val="1"/>
      <w:numFmt w:val="bullet"/>
      <w:lvlText w:val=""/>
      <w:lvlJc w:val="left"/>
      <w:pPr>
        <w:ind w:left="720" w:hanging="360"/>
      </w:pPr>
      <w:rPr>
        <w:rFonts w:ascii="Symbol" w:hAnsi="Symbol" w:hint="default"/>
      </w:rPr>
    </w:lvl>
    <w:lvl w:ilvl="1" w:tplc="20F00572" w:tentative="1">
      <w:start w:val="1"/>
      <w:numFmt w:val="bullet"/>
      <w:lvlText w:val="o"/>
      <w:lvlJc w:val="left"/>
      <w:pPr>
        <w:ind w:left="1440" w:hanging="360"/>
      </w:pPr>
      <w:rPr>
        <w:rFonts w:ascii="Courier New" w:hAnsi="Courier New" w:cs="Courier New" w:hint="default"/>
      </w:rPr>
    </w:lvl>
    <w:lvl w:ilvl="2" w:tplc="24D43CE0" w:tentative="1">
      <w:start w:val="1"/>
      <w:numFmt w:val="bullet"/>
      <w:lvlText w:val=""/>
      <w:lvlJc w:val="left"/>
      <w:pPr>
        <w:ind w:left="2160" w:hanging="360"/>
      </w:pPr>
      <w:rPr>
        <w:rFonts w:ascii="Wingdings" w:hAnsi="Wingdings" w:hint="default"/>
      </w:rPr>
    </w:lvl>
    <w:lvl w:ilvl="3" w:tplc="D68EA82C" w:tentative="1">
      <w:start w:val="1"/>
      <w:numFmt w:val="bullet"/>
      <w:lvlText w:val=""/>
      <w:lvlJc w:val="left"/>
      <w:pPr>
        <w:ind w:left="2880" w:hanging="360"/>
      </w:pPr>
      <w:rPr>
        <w:rFonts w:ascii="Symbol" w:hAnsi="Symbol" w:hint="default"/>
      </w:rPr>
    </w:lvl>
    <w:lvl w:ilvl="4" w:tplc="1B42F384" w:tentative="1">
      <w:start w:val="1"/>
      <w:numFmt w:val="bullet"/>
      <w:lvlText w:val="o"/>
      <w:lvlJc w:val="left"/>
      <w:pPr>
        <w:ind w:left="3600" w:hanging="360"/>
      </w:pPr>
      <w:rPr>
        <w:rFonts w:ascii="Courier New" w:hAnsi="Courier New" w:cs="Courier New" w:hint="default"/>
      </w:rPr>
    </w:lvl>
    <w:lvl w:ilvl="5" w:tplc="9E769B46" w:tentative="1">
      <w:start w:val="1"/>
      <w:numFmt w:val="bullet"/>
      <w:lvlText w:val=""/>
      <w:lvlJc w:val="left"/>
      <w:pPr>
        <w:ind w:left="4320" w:hanging="360"/>
      </w:pPr>
      <w:rPr>
        <w:rFonts w:ascii="Wingdings" w:hAnsi="Wingdings" w:hint="default"/>
      </w:rPr>
    </w:lvl>
    <w:lvl w:ilvl="6" w:tplc="507E42F8" w:tentative="1">
      <w:start w:val="1"/>
      <w:numFmt w:val="bullet"/>
      <w:lvlText w:val=""/>
      <w:lvlJc w:val="left"/>
      <w:pPr>
        <w:ind w:left="5040" w:hanging="360"/>
      </w:pPr>
      <w:rPr>
        <w:rFonts w:ascii="Symbol" w:hAnsi="Symbol" w:hint="default"/>
      </w:rPr>
    </w:lvl>
    <w:lvl w:ilvl="7" w:tplc="A0DA4FAC" w:tentative="1">
      <w:start w:val="1"/>
      <w:numFmt w:val="bullet"/>
      <w:lvlText w:val="o"/>
      <w:lvlJc w:val="left"/>
      <w:pPr>
        <w:ind w:left="5760" w:hanging="360"/>
      </w:pPr>
      <w:rPr>
        <w:rFonts w:ascii="Courier New" w:hAnsi="Courier New" w:cs="Courier New" w:hint="default"/>
      </w:rPr>
    </w:lvl>
    <w:lvl w:ilvl="8" w:tplc="C85E5D60" w:tentative="1">
      <w:start w:val="1"/>
      <w:numFmt w:val="bullet"/>
      <w:lvlText w:val=""/>
      <w:lvlJc w:val="left"/>
      <w:pPr>
        <w:ind w:left="6480" w:hanging="360"/>
      </w:pPr>
      <w:rPr>
        <w:rFonts w:ascii="Wingdings" w:hAnsi="Wingdings" w:hint="default"/>
      </w:rPr>
    </w:lvl>
  </w:abstractNum>
  <w:num w:numId="1" w16cid:durableId="2014381776">
    <w:abstractNumId w:val="3"/>
  </w:num>
  <w:num w:numId="2" w16cid:durableId="1046372251">
    <w:abstractNumId w:val="10"/>
  </w:num>
  <w:num w:numId="3" w16cid:durableId="1825851656">
    <w:abstractNumId w:val="0"/>
    <w:lvlOverride w:ilvl="0">
      <w:lvl w:ilvl="0">
        <w:start w:val="1"/>
        <w:numFmt w:val="bullet"/>
        <w:pStyle w:val="CommentSubject"/>
        <w:lvlText w:val=""/>
        <w:lvlJc w:val="left"/>
        <w:pPr>
          <w:tabs>
            <w:tab w:val="num" w:pos="360"/>
          </w:tabs>
          <w:ind w:left="360" w:hanging="360"/>
        </w:pPr>
        <w:rPr>
          <w:rFonts w:ascii="Wingdings" w:hAnsi="Wingdings" w:hint="default"/>
        </w:rPr>
      </w:lvl>
    </w:lvlOverride>
  </w:num>
  <w:num w:numId="4" w16cid:durableId="477768889">
    <w:abstractNumId w:val="19"/>
  </w:num>
  <w:num w:numId="5" w16cid:durableId="100690143">
    <w:abstractNumId w:val="1"/>
  </w:num>
  <w:num w:numId="6" w16cid:durableId="22942451">
    <w:abstractNumId w:val="24"/>
  </w:num>
  <w:num w:numId="7" w16cid:durableId="1477189585">
    <w:abstractNumId w:val="8"/>
  </w:num>
  <w:num w:numId="8" w16cid:durableId="467362996">
    <w:abstractNumId w:val="11"/>
  </w:num>
  <w:num w:numId="9" w16cid:durableId="485556337">
    <w:abstractNumId w:val="9"/>
  </w:num>
  <w:num w:numId="10" w16cid:durableId="448360940">
    <w:abstractNumId w:val="22"/>
  </w:num>
  <w:num w:numId="11" w16cid:durableId="700319207">
    <w:abstractNumId w:val="27"/>
  </w:num>
  <w:num w:numId="12" w16cid:durableId="659315213">
    <w:abstractNumId w:val="14"/>
  </w:num>
  <w:num w:numId="13" w16cid:durableId="384568648">
    <w:abstractNumId w:val="17"/>
  </w:num>
  <w:num w:numId="14" w16cid:durableId="1105685452">
    <w:abstractNumId w:val="21"/>
  </w:num>
  <w:num w:numId="15" w16cid:durableId="2018536401">
    <w:abstractNumId w:val="16"/>
  </w:num>
  <w:num w:numId="16" w16cid:durableId="1183208042">
    <w:abstractNumId w:val="25"/>
  </w:num>
  <w:num w:numId="17" w16cid:durableId="1775052808">
    <w:abstractNumId w:val="6"/>
  </w:num>
  <w:num w:numId="18" w16cid:durableId="542716467">
    <w:abstractNumId w:val="2"/>
  </w:num>
  <w:num w:numId="19" w16cid:durableId="2108960851">
    <w:abstractNumId w:val="20"/>
  </w:num>
  <w:num w:numId="20" w16cid:durableId="1636715876">
    <w:abstractNumId w:val="4"/>
  </w:num>
  <w:num w:numId="21" w16cid:durableId="2100978789">
    <w:abstractNumId w:val="13"/>
  </w:num>
  <w:num w:numId="22" w16cid:durableId="927926471">
    <w:abstractNumId w:val="12"/>
  </w:num>
  <w:num w:numId="23" w16cid:durableId="169375174">
    <w:abstractNumId w:val="18"/>
  </w:num>
  <w:num w:numId="24" w16cid:durableId="1442410405">
    <w:abstractNumId w:val="26"/>
  </w:num>
  <w:num w:numId="25" w16cid:durableId="1282225075">
    <w:abstractNumId w:val="15"/>
  </w:num>
  <w:num w:numId="26" w16cid:durableId="236400562">
    <w:abstractNumId w:val="5"/>
  </w:num>
  <w:num w:numId="27" w16cid:durableId="502748082">
    <w:abstractNumId w:val="7"/>
  </w:num>
  <w:num w:numId="28" w16cid:durableId="2146308221">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濾³ķê⩛ÜBlue Document Info Table StyleL嘺혓따Ѐ딀Ѐ딀Ѐ딀Ѐ딀Ѐ딀Ѐ樀ዖ㑼蜁૖＀Ü_x000a_왦ą愀$2⩂䌁၊伀Ŋ儀Ŋ瀀h蔀᫊࠵䈁ପ䩃䩏䩑桰耀Ɖ䘜Ë͠＀＀ÜĄÜĄÜĄÜĄÜĄÜĄ氀氀̀̃＀ÿ＀ÿÿÿ＀＀＀＀＀＀䘜ËĻ䑴ËðĀāāऀĀ＀＀＀＀＀＀＀＀＀䑴Ëş䑰Ë耀dఉఉЁ＀＀＀＀_x000a_$%ÿ䤟}á腏½僀M뮛Y撀¢걋Æ雷Fÿÿá䤟}䑰Ë_x000a__x000a__x000a_%耀＀dЀЀ"/>
  </w:docVars>
  <w:rsids>
    <w:rsidRoot w:val="004C3FA0"/>
    <w:rsid w:val="000001F7"/>
    <w:rsid w:val="000003C8"/>
    <w:rsid w:val="000017D2"/>
    <w:rsid w:val="0000199D"/>
    <w:rsid w:val="00001A68"/>
    <w:rsid w:val="00001BB7"/>
    <w:rsid w:val="000023F7"/>
    <w:rsid w:val="000026E1"/>
    <w:rsid w:val="00002F09"/>
    <w:rsid w:val="00003107"/>
    <w:rsid w:val="000053A0"/>
    <w:rsid w:val="000054BF"/>
    <w:rsid w:val="00005DDA"/>
    <w:rsid w:val="0000605A"/>
    <w:rsid w:val="00006FDB"/>
    <w:rsid w:val="00007BBE"/>
    <w:rsid w:val="00010DDF"/>
    <w:rsid w:val="00010F3C"/>
    <w:rsid w:val="00011312"/>
    <w:rsid w:val="000113FD"/>
    <w:rsid w:val="000114B9"/>
    <w:rsid w:val="000115EE"/>
    <w:rsid w:val="0001164D"/>
    <w:rsid w:val="00011EDD"/>
    <w:rsid w:val="00011FA2"/>
    <w:rsid w:val="0001200B"/>
    <w:rsid w:val="000120E1"/>
    <w:rsid w:val="00012400"/>
    <w:rsid w:val="00012422"/>
    <w:rsid w:val="00012F3E"/>
    <w:rsid w:val="000131E3"/>
    <w:rsid w:val="00014316"/>
    <w:rsid w:val="00014F38"/>
    <w:rsid w:val="0001632F"/>
    <w:rsid w:val="00016D38"/>
    <w:rsid w:val="000177C9"/>
    <w:rsid w:val="00017DC5"/>
    <w:rsid w:val="000208E2"/>
    <w:rsid w:val="00020AA4"/>
    <w:rsid w:val="000212D1"/>
    <w:rsid w:val="00021665"/>
    <w:rsid w:val="00021CDD"/>
    <w:rsid w:val="000223FA"/>
    <w:rsid w:val="0002254E"/>
    <w:rsid w:val="00022780"/>
    <w:rsid w:val="00023449"/>
    <w:rsid w:val="00023841"/>
    <w:rsid w:val="00024FB0"/>
    <w:rsid w:val="000253C3"/>
    <w:rsid w:val="00025637"/>
    <w:rsid w:val="00025AF6"/>
    <w:rsid w:val="00025C42"/>
    <w:rsid w:val="00026769"/>
    <w:rsid w:val="00027298"/>
    <w:rsid w:val="00027B28"/>
    <w:rsid w:val="00027BD0"/>
    <w:rsid w:val="000302B3"/>
    <w:rsid w:val="000312AE"/>
    <w:rsid w:val="000316C2"/>
    <w:rsid w:val="00031867"/>
    <w:rsid w:val="00031D60"/>
    <w:rsid w:val="0003232A"/>
    <w:rsid w:val="00032597"/>
    <w:rsid w:val="00032ABE"/>
    <w:rsid w:val="00032DE3"/>
    <w:rsid w:val="000331F1"/>
    <w:rsid w:val="00033313"/>
    <w:rsid w:val="000335EB"/>
    <w:rsid w:val="00033A33"/>
    <w:rsid w:val="00034166"/>
    <w:rsid w:val="000344ED"/>
    <w:rsid w:val="00034528"/>
    <w:rsid w:val="00034C31"/>
    <w:rsid w:val="000352BD"/>
    <w:rsid w:val="0003569C"/>
    <w:rsid w:val="000358F8"/>
    <w:rsid w:val="00035B05"/>
    <w:rsid w:val="00035B1D"/>
    <w:rsid w:val="00036508"/>
    <w:rsid w:val="00036D07"/>
    <w:rsid w:val="00036D74"/>
    <w:rsid w:val="000376FE"/>
    <w:rsid w:val="0003775E"/>
    <w:rsid w:val="00037F2D"/>
    <w:rsid w:val="00040790"/>
    <w:rsid w:val="00040A41"/>
    <w:rsid w:val="00040E2D"/>
    <w:rsid w:val="000416ED"/>
    <w:rsid w:val="000416FA"/>
    <w:rsid w:val="00041707"/>
    <w:rsid w:val="00041A3E"/>
    <w:rsid w:val="00041B2C"/>
    <w:rsid w:val="00041CF4"/>
    <w:rsid w:val="0004274B"/>
    <w:rsid w:val="00042993"/>
    <w:rsid w:val="00042DE7"/>
    <w:rsid w:val="00043561"/>
    <w:rsid w:val="000438C6"/>
    <w:rsid w:val="00044921"/>
    <w:rsid w:val="00044946"/>
    <w:rsid w:val="00044BF2"/>
    <w:rsid w:val="000450DB"/>
    <w:rsid w:val="0004515C"/>
    <w:rsid w:val="00045472"/>
    <w:rsid w:val="0004689B"/>
    <w:rsid w:val="00046AD3"/>
    <w:rsid w:val="00046F67"/>
    <w:rsid w:val="000470DE"/>
    <w:rsid w:val="0004714E"/>
    <w:rsid w:val="0004776B"/>
    <w:rsid w:val="00047C99"/>
    <w:rsid w:val="00047CC9"/>
    <w:rsid w:val="0005088E"/>
    <w:rsid w:val="00050C3D"/>
    <w:rsid w:val="00050E86"/>
    <w:rsid w:val="0005108F"/>
    <w:rsid w:val="00051286"/>
    <w:rsid w:val="0005297D"/>
    <w:rsid w:val="00052F0C"/>
    <w:rsid w:val="00053265"/>
    <w:rsid w:val="00054182"/>
    <w:rsid w:val="0005485B"/>
    <w:rsid w:val="00054C6E"/>
    <w:rsid w:val="00054F01"/>
    <w:rsid w:val="00054FEF"/>
    <w:rsid w:val="000552A1"/>
    <w:rsid w:val="000552F5"/>
    <w:rsid w:val="00055A49"/>
    <w:rsid w:val="00055C0D"/>
    <w:rsid w:val="0005629F"/>
    <w:rsid w:val="000564A7"/>
    <w:rsid w:val="0005731E"/>
    <w:rsid w:val="000578BA"/>
    <w:rsid w:val="00057FB3"/>
    <w:rsid w:val="00060353"/>
    <w:rsid w:val="000609BC"/>
    <w:rsid w:val="000614D7"/>
    <w:rsid w:val="000616E5"/>
    <w:rsid w:val="00061B0B"/>
    <w:rsid w:val="00063839"/>
    <w:rsid w:val="00063C79"/>
    <w:rsid w:val="00063E13"/>
    <w:rsid w:val="00063FC9"/>
    <w:rsid w:val="000645AD"/>
    <w:rsid w:val="00064BF0"/>
    <w:rsid w:val="00065BCE"/>
    <w:rsid w:val="0006623E"/>
    <w:rsid w:val="000665A1"/>
    <w:rsid w:val="00066904"/>
    <w:rsid w:val="00066D62"/>
    <w:rsid w:val="00066E86"/>
    <w:rsid w:val="000671A9"/>
    <w:rsid w:val="000677DD"/>
    <w:rsid w:val="00067B10"/>
    <w:rsid w:val="00067B9F"/>
    <w:rsid w:val="00067D22"/>
    <w:rsid w:val="0007005A"/>
    <w:rsid w:val="000700E3"/>
    <w:rsid w:val="00070F9B"/>
    <w:rsid w:val="00071052"/>
    <w:rsid w:val="0007137B"/>
    <w:rsid w:val="00071469"/>
    <w:rsid w:val="000715B1"/>
    <w:rsid w:val="0007162E"/>
    <w:rsid w:val="00071F2B"/>
    <w:rsid w:val="00072585"/>
    <w:rsid w:val="000726DA"/>
    <w:rsid w:val="000727DD"/>
    <w:rsid w:val="000728CD"/>
    <w:rsid w:val="000729D1"/>
    <w:rsid w:val="00072E7A"/>
    <w:rsid w:val="00072E9B"/>
    <w:rsid w:val="00072F3B"/>
    <w:rsid w:val="00073054"/>
    <w:rsid w:val="000731BB"/>
    <w:rsid w:val="00073546"/>
    <w:rsid w:val="00074768"/>
    <w:rsid w:val="00074902"/>
    <w:rsid w:val="00074BF9"/>
    <w:rsid w:val="00075398"/>
    <w:rsid w:val="00075856"/>
    <w:rsid w:val="00075B73"/>
    <w:rsid w:val="00075B90"/>
    <w:rsid w:val="00075CEC"/>
    <w:rsid w:val="000763FA"/>
    <w:rsid w:val="000768B8"/>
    <w:rsid w:val="00076DC2"/>
    <w:rsid w:val="00076F5B"/>
    <w:rsid w:val="0007757C"/>
    <w:rsid w:val="000778C5"/>
    <w:rsid w:val="00080702"/>
    <w:rsid w:val="00080710"/>
    <w:rsid w:val="00080907"/>
    <w:rsid w:val="00082336"/>
    <w:rsid w:val="00082BD2"/>
    <w:rsid w:val="0008312D"/>
    <w:rsid w:val="00083178"/>
    <w:rsid w:val="00083320"/>
    <w:rsid w:val="000833E5"/>
    <w:rsid w:val="000835D3"/>
    <w:rsid w:val="00084D46"/>
    <w:rsid w:val="0008500D"/>
    <w:rsid w:val="0008533F"/>
    <w:rsid w:val="00085457"/>
    <w:rsid w:val="000855EB"/>
    <w:rsid w:val="00085EC0"/>
    <w:rsid w:val="00085F85"/>
    <w:rsid w:val="000867B4"/>
    <w:rsid w:val="00090248"/>
    <w:rsid w:val="000915CB"/>
    <w:rsid w:val="00091741"/>
    <w:rsid w:val="00091C30"/>
    <w:rsid w:val="000932A8"/>
    <w:rsid w:val="00093A4F"/>
    <w:rsid w:val="000942AE"/>
    <w:rsid w:val="0009574E"/>
    <w:rsid w:val="0009578A"/>
    <w:rsid w:val="00095BAC"/>
    <w:rsid w:val="00095D0D"/>
    <w:rsid w:val="0009634C"/>
    <w:rsid w:val="00096548"/>
    <w:rsid w:val="00096BD9"/>
    <w:rsid w:val="00096D9B"/>
    <w:rsid w:val="00097472"/>
    <w:rsid w:val="00097579"/>
    <w:rsid w:val="000978D6"/>
    <w:rsid w:val="00097AD5"/>
    <w:rsid w:val="00097FB0"/>
    <w:rsid w:val="000A002D"/>
    <w:rsid w:val="000A0079"/>
    <w:rsid w:val="000A04FD"/>
    <w:rsid w:val="000A064C"/>
    <w:rsid w:val="000A12B4"/>
    <w:rsid w:val="000A180A"/>
    <w:rsid w:val="000A221A"/>
    <w:rsid w:val="000A265C"/>
    <w:rsid w:val="000A28EC"/>
    <w:rsid w:val="000A31AF"/>
    <w:rsid w:val="000A3901"/>
    <w:rsid w:val="000A426A"/>
    <w:rsid w:val="000A4337"/>
    <w:rsid w:val="000A4529"/>
    <w:rsid w:val="000A489D"/>
    <w:rsid w:val="000A4B9B"/>
    <w:rsid w:val="000A4EC7"/>
    <w:rsid w:val="000A4F9B"/>
    <w:rsid w:val="000A57F2"/>
    <w:rsid w:val="000A61C5"/>
    <w:rsid w:val="000A7FCE"/>
    <w:rsid w:val="000B0048"/>
    <w:rsid w:val="000B127E"/>
    <w:rsid w:val="000B2F50"/>
    <w:rsid w:val="000B30F0"/>
    <w:rsid w:val="000B33EC"/>
    <w:rsid w:val="000B3C44"/>
    <w:rsid w:val="000B3ED1"/>
    <w:rsid w:val="000B3FC6"/>
    <w:rsid w:val="000B4147"/>
    <w:rsid w:val="000B4983"/>
    <w:rsid w:val="000B4CD7"/>
    <w:rsid w:val="000B5B66"/>
    <w:rsid w:val="000B5C8B"/>
    <w:rsid w:val="000B5D6E"/>
    <w:rsid w:val="000B5EF8"/>
    <w:rsid w:val="000B66E3"/>
    <w:rsid w:val="000B699E"/>
    <w:rsid w:val="000B7C30"/>
    <w:rsid w:val="000C017E"/>
    <w:rsid w:val="000C0490"/>
    <w:rsid w:val="000C09E7"/>
    <w:rsid w:val="000C0DAA"/>
    <w:rsid w:val="000C1027"/>
    <w:rsid w:val="000C2AF0"/>
    <w:rsid w:val="000C30B6"/>
    <w:rsid w:val="000C3378"/>
    <w:rsid w:val="000C3792"/>
    <w:rsid w:val="000C39A3"/>
    <w:rsid w:val="000C3AFC"/>
    <w:rsid w:val="000C3B32"/>
    <w:rsid w:val="000C3B82"/>
    <w:rsid w:val="000C4200"/>
    <w:rsid w:val="000C4246"/>
    <w:rsid w:val="000C4D8A"/>
    <w:rsid w:val="000C54B2"/>
    <w:rsid w:val="000C5C08"/>
    <w:rsid w:val="000C5FC5"/>
    <w:rsid w:val="000C6A4E"/>
    <w:rsid w:val="000C6ABC"/>
    <w:rsid w:val="000C6FDA"/>
    <w:rsid w:val="000D0A5D"/>
    <w:rsid w:val="000D0CD9"/>
    <w:rsid w:val="000D1230"/>
    <w:rsid w:val="000D1993"/>
    <w:rsid w:val="000D29E4"/>
    <w:rsid w:val="000D2BF9"/>
    <w:rsid w:val="000D360C"/>
    <w:rsid w:val="000D41BC"/>
    <w:rsid w:val="000D43A3"/>
    <w:rsid w:val="000D4422"/>
    <w:rsid w:val="000D4B99"/>
    <w:rsid w:val="000D52F4"/>
    <w:rsid w:val="000D55CB"/>
    <w:rsid w:val="000D5C10"/>
    <w:rsid w:val="000D5E9E"/>
    <w:rsid w:val="000D6EA5"/>
    <w:rsid w:val="000D6F48"/>
    <w:rsid w:val="000D6FE2"/>
    <w:rsid w:val="000D7A7C"/>
    <w:rsid w:val="000D7D37"/>
    <w:rsid w:val="000E06D5"/>
    <w:rsid w:val="000E0B65"/>
    <w:rsid w:val="000E0FD0"/>
    <w:rsid w:val="000E151D"/>
    <w:rsid w:val="000E1616"/>
    <w:rsid w:val="000E1C54"/>
    <w:rsid w:val="000E1CB6"/>
    <w:rsid w:val="000E2305"/>
    <w:rsid w:val="000E2370"/>
    <w:rsid w:val="000E2FCF"/>
    <w:rsid w:val="000E300D"/>
    <w:rsid w:val="000E3422"/>
    <w:rsid w:val="000E3BE2"/>
    <w:rsid w:val="000E4515"/>
    <w:rsid w:val="000E4C1A"/>
    <w:rsid w:val="000E56ED"/>
    <w:rsid w:val="000E60B8"/>
    <w:rsid w:val="000E7BC3"/>
    <w:rsid w:val="000F05AB"/>
    <w:rsid w:val="000F11CF"/>
    <w:rsid w:val="000F271A"/>
    <w:rsid w:val="000F2AE6"/>
    <w:rsid w:val="000F322F"/>
    <w:rsid w:val="000F39CD"/>
    <w:rsid w:val="000F4324"/>
    <w:rsid w:val="000F4A6D"/>
    <w:rsid w:val="000F5B37"/>
    <w:rsid w:val="000F7045"/>
    <w:rsid w:val="000F730C"/>
    <w:rsid w:val="000F7CBF"/>
    <w:rsid w:val="000F7D6E"/>
    <w:rsid w:val="0010092D"/>
    <w:rsid w:val="00100B87"/>
    <w:rsid w:val="00100EDD"/>
    <w:rsid w:val="00100F2B"/>
    <w:rsid w:val="0010137E"/>
    <w:rsid w:val="00101477"/>
    <w:rsid w:val="00101988"/>
    <w:rsid w:val="001022E6"/>
    <w:rsid w:val="00102AB1"/>
    <w:rsid w:val="00103987"/>
    <w:rsid w:val="00103E84"/>
    <w:rsid w:val="00104079"/>
    <w:rsid w:val="00104337"/>
    <w:rsid w:val="00104595"/>
    <w:rsid w:val="00105893"/>
    <w:rsid w:val="0010628D"/>
    <w:rsid w:val="001071BC"/>
    <w:rsid w:val="00107318"/>
    <w:rsid w:val="00107665"/>
    <w:rsid w:val="00107835"/>
    <w:rsid w:val="00107FA9"/>
    <w:rsid w:val="001102AA"/>
    <w:rsid w:val="00110516"/>
    <w:rsid w:val="0011078F"/>
    <w:rsid w:val="00110804"/>
    <w:rsid w:val="00111E63"/>
    <w:rsid w:val="00112088"/>
    <w:rsid w:val="00112A67"/>
    <w:rsid w:val="00112E7F"/>
    <w:rsid w:val="001138F9"/>
    <w:rsid w:val="00113955"/>
    <w:rsid w:val="0011487A"/>
    <w:rsid w:val="00114E78"/>
    <w:rsid w:val="001151C1"/>
    <w:rsid w:val="001167F4"/>
    <w:rsid w:val="00116A64"/>
    <w:rsid w:val="00116B79"/>
    <w:rsid w:val="001176D8"/>
    <w:rsid w:val="0011786B"/>
    <w:rsid w:val="00117C80"/>
    <w:rsid w:val="00120DCA"/>
    <w:rsid w:val="001210D0"/>
    <w:rsid w:val="00121EFE"/>
    <w:rsid w:val="00121FD9"/>
    <w:rsid w:val="00122CA0"/>
    <w:rsid w:val="00122F92"/>
    <w:rsid w:val="0012351F"/>
    <w:rsid w:val="00123F84"/>
    <w:rsid w:val="0012409D"/>
    <w:rsid w:val="00124415"/>
    <w:rsid w:val="001245F3"/>
    <w:rsid w:val="00125683"/>
    <w:rsid w:val="00125703"/>
    <w:rsid w:val="0012586A"/>
    <w:rsid w:val="00125AD6"/>
    <w:rsid w:val="00125C34"/>
    <w:rsid w:val="001260BC"/>
    <w:rsid w:val="00126790"/>
    <w:rsid w:val="00126B4B"/>
    <w:rsid w:val="00126EF0"/>
    <w:rsid w:val="001275F3"/>
    <w:rsid w:val="00127A43"/>
    <w:rsid w:val="00127C75"/>
    <w:rsid w:val="001308E6"/>
    <w:rsid w:val="00130DC4"/>
    <w:rsid w:val="00130E8B"/>
    <w:rsid w:val="00130FDD"/>
    <w:rsid w:val="001319C1"/>
    <w:rsid w:val="00132FB7"/>
    <w:rsid w:val="00133058"/>
    <w:rsid w:val="00133820"/>
    <w:rsid w:val="00133B57"/>
    <w:rsid w:val="00133DC4"/>
    <w:rsid w:val="00134C39"/>
    <w:rsid w:val="00134DE2"/>
    <w:rsid w:val="001350F1"/>
    <w:rsid w:val="001352A9"/>
    <w:rsid w:val="00135406"/>
    <w:rsid w:val="00135777"/>
    <w:rsid w:val="00135C38"/>
    <w:rsid w:val="00137430"/>
    <w:rsid w:val="00137B9F"/>
    <w:rsid w:val="00137DEE"/>
    <w:rsid w:val="00137E3A"/>
    <w:rsid w:val="001400C7"/>
    <w:rsid w:val="0014032E"/>
    <w:rsid w:val="00140A40"/>
    <w:rsid w:val="00140B35"/>
    <w:rsid w:val="00140B9E"/>
    <w:rsid w:val="00140C55"/>
    <w:rsid w:val="001413A2"/>
    <w:rsid w:val="001416AA"/>
    <w:rsid w:val="00142368"/>
    <w:rsid w:val="00142650"/>
    <w:rsid w:val="00142C34"/>
    <w:rsid w:val="00142FC4"/>
    <w:rsid w:val="00143156"/>
    <w:rsid w:val="001432BE"/>
    <w:rsid w:val="001432FA"/>
    <w:rsid w:val="001433B1"/>
    <w:rsid w:val="00143B1D"/>
    <w:rsid w:val="00144478"/>
    <w:rsid w:val="00145139"/>
    <w:rsid w:val="00145A2D"/>
    <w:rsid w:val="00145B68"/>
    <w:rsid w:val="00145FB2"/>
    <w:rsid w:val="001466D8"/>
    <w:rsid w:val="0014692E"/>
    <w:rsid w:val="00146ABC"/>
    <w:rsid w:val="0014759D"/>
    <w:rsid w:val="00147BC3"/>
    <w:rsid w:val="00150B73"/>
    <w:rsid w:val="00150B7B"/>
    <w:rsid w:val="00151516"/>
    <w:rsid w:val="00151AEB"/>
    <w:rsid w:val="00151EB6"/>
    <w:rsid w:val="00152190"/>
    <w:rsid w:val="00152202"/>
    <w:rsid w:val="001524A4"/>
    <w:rsid w:val="001526B2"/>
    <w:rsid w:val="001526ED"/>
    <w:rsid w:val="00152D88"/>
    <w:rsid w:val="00152DED"/>
    <w:rsid w:val="001530AA"/>
    <w:rsid w:val="001537FA"/>
    <w:rsid w:val="001538A9"/>
    <w:rsid w:val="001542D5"/>
    <w:rsid w:val="00154618"/>
    <w:rsid w:val="00154B47"/>
    <w:rsid w:val="001562E8"/>
    <w:rsid w:val="001565E5"/>
    <w:rsid w:val="00160943"/>
    <w:rsid w:val="00160AEF"/>
    <w:rsid w:val="00160AFD"/>
    <w:rsid w:val="00160BAF"/>
    <w:rsid w:val="00161384"/>
    <w:rsid w:val="00161A04"/>
    <w:rsid w:val="00161BD4"/>
    <w:rsid w:val="00162B45"/>
    <w:rsid w:val="00162DA0"/>
    <w:rsid w:val="00162E2C"/>
    <w:rsid w:val="00163F16"/>
    <w:rsid w:val="00163F25"/>
    <w:rsid w:val="00163F40"/>
    <w:rsid w:val="00164B45"/>
    <w:rsid w:val="00165448"/>
    <w:rsid w:val="00165483"/>
    <w:rsid w:val="0016636C"/>
    <w:rsid w:val="001673A4"/>
    <w:rsid w:val="00167C9B"/>
    <w:rsid w:val="00167DB9"/>
    <w:rsid w:val="001707A9"/>
    <w:rsid w:val="00170E42"/>
    <w:rsid w:val="00170EF6"/>
    <w:rsid w:val="001717D9"/>
    <w:rsid w:val="00172060"/>
    <w:rsid w:val="00172300"/>
    <w:rsid w:val="001724E3"/>
    <w:rsid w:val="001728BA"/>
    <w:rsid w:val="00172A98"/>
    <w:rsid w:val="001746D7"/>
    <w:rsid w:val="00174D1D"/>
    <w:rsid w:val="00174DF1"/>
    <w:rsid w:val="00174F31"/>
    <w:rsid w:val="001750B3"/>
    <w:rsid w:val="00175863"/>
    <w:rsid w:val="00175CB5"/>
    <w:rsid w:val="001764D3"/>
    <w:rsid w:val="00177616"/>
    <w:rsid w:val="00177AB4"/>
    <w:rsid w:val="00177CAC"/>
    <w:rsid w:val="0018073F"/>
    <w:rsid w:val="00180991"/>
    <w:rsid w:val="0018113C"/>
    <w:rsid w:val="00181177"/>
    <w:rsid w:val="00181D19"/>
    <w:rsid w:val="00181E46"/>
    <w:rsid w:val="001823E3"/>
    <w:rsid w:val="0018268D"/>
    <w:rsid w:val="0018283C"/>
    <w:rsid w:val="00182957"/>
    <w:rsid w:val="00182BC1"/>
    <w:rsid w:val="0018492B"/>
    <w:rsid w:val="00184F0E"/>
    <w:rsid w:val="001853FC"/>
    <w:rsid w:val="001857D7"/>
    <w:rsid w:val="001865F6"/>
    <w:rsid w:val="00186B23"/>
    <w:rsid w:val="00186F10"/>
    <w:rsid w:val="001872FC"/>
    <w:rsid w:val="001877EB"/>
    <w:rsid w:val="00187F61"/>
    <w:rsid w:val="0019042C"/>
    <w:rsid w:val="00190865"/>
    <w:rsid w:val="00190BCF"/>
    <w:rsid w:val="0019110F"/>
    <w:rsid w:val="00191148"/>
    <w:rsid w:val="00191738"/>
    <w:rsid w:val="00191BE7"/>
    <w:rsid w:val="00191E4D"/>
    <w:rsid w:val="00192266"/>
    <w:rsid w:val="001923CE"/>
    <w:rsid w:val="0019240F"/>
    <w:rsid w:val="0019264B"/>
    <w:rsid w:val="001926CB"/>
    <w:rsid w:val="00192828"/>
    <w:rsid w:val="001929FF"/>
    <w:rsid w:val="00192DC1"/>
    <w:rsid w:val="00193847"/>
    <w:rsid w:val="00193D6B"/>
    <w:rsid w:val="001951EE"/>
    <w:rsid w:val="00195613"/>
    <w:rsid w:val="001956DC"/>
    <w:rsid w:val="00195ECC"/>
    <w:rsid w:val="001965A0"/>
    <w:rsid w:val="00196A9C"/>
    <w:rsid w:val="001973D1"/>
    <w:rsid w:val="00197A9A"/>
    <w:rsid w:val="00197E93"/>
    <w:rsid w:val="001A02E6"/>
    <w:rsid w:val="001A0596"/>
    <w:rsid w:val="001A0652"/>
    <w:rsid w:val="001A14F0"/>
    <w:rsid w:val="001A1799"/>
    <w:rsid w:val="001A1CF8"/>
    <w:rsid w:val="001A223F"/>
    <w:rsid w:val="001A23B0"/>
    <w:rsid w:val="001A2867"/>
    <w:rsid w:val="001A296A"/>
    <w:rsid w:val="001A2B44"/>
    <w:rsid w:val="001A2BC4"/>
    <w:rsid w:val="001A2BEF"/>
    <w:rsid w:val="001A2D27"/>
    <w:rsid w:val="001A2EB8"/>
    <w:rsid w:val="001A2EBF"/>
    <w:rsid w:val="001A331E"/>
    <w:rsid w:val="001A340D"/>
    <w:rsid w:val="001A373C"/>
    <w:rsid w:val="001A3BA0"/>
    <w:rsid w:val="001A3D0E"/>
    <w:rsid w:val="001A3D27"/>
    <w:rsid w:val="001A3FC1"/>
    <w:rsid w:val="001A40E3"/>
    <w:rsid w:val="001A44C4"/>
    <w:rsid w:val="001A45B5"/>
    <w:rsid w:val="001A4881"/>
    <w:rsid w:val="001A4C5A"/>
    <w:rsid w:val="001A5E20"/>
    <w:rsid w:val="001A5F94"/>
    <w:rsid w:val="001A626D"/>
    <w:rsid w:val="001A6727"/>
    <w:rsid w:val="001A69E6"/>
    <w:rsid w:val="001A6AC5"/>
    <w:rsid w:val="001A6FD9"/>
    <w:rsid w:val="001A77CB"/>
    <w:rsid w:val="001A7900"/>
    <w:rsid w:val="001A7908"/>
    <w:rsid w:val="001A7C58"/>
    <w:rsid w:val="001A7CFA"/>
    <w:rsid w:val="001A7D07"/>
    <w:rsid w:val="001A7D76"/>
    <w:rsid w:val="001B054E"/>
    <w:rsid w:val="001B0DC2"/>
    <w:rsid w:val="001B0E80"/>
    <w:rsid w:val="001B1297"/>
    <w:rsid w:val="001B1512"/>
    <w:rsid w:val="001B17DF"/>
    <w:rsid w:val="001B194F"/>
    <w:rsid w:val="001B1EB0"/>
    <w:rsid w:val="001B2117"/>
    <w:rsid w:val="001B2BAD"/>
    <w:rsid w:val="001B34DB"/>
    <w:rsid w:val="001B3520"/>
    <w:rsid w:val="001B384F"/>
    <w:rsid w:val="001B3BD7"/>
    <w:rsid w:val="001B41A2"/>
    <w:rsid w:val="001B42A0"/>
    <w:rsid w:val="001B49D0"/>
    <w:rsid w:val="001B4B78"/>
    <w:rsid w:val="001B53AC"/>
    <w:rsid w:val="001B55AA"/>
    <w:rsid w:val="001B5822"/>
    <w:rsid w:val="001B5D8A"/>
    <w:rsid w:val="001B6856"/>
    <w:rsid w:val="001B6C1F"/>
    <w:rsid w:val="001B7419"/>
    <w:rsid w:val="001B7650"/>
    <w:rsid w:val="001B7A14"/>
    <w:rsid w:val="001B7D85"/>
    <w:rsid w:val="001C0AF5"/>
    <w:rsid w:val="001C22AE"/>
    <w:rsid w:val="001C2547"/>
    <w:rsid w:val="001C270B"/>
    <w:rsid w:val="001C27E8"/>
    <w:rsid w:val="001C2B33"/>
    <w:rsid w:val="001C406C"/>
    <w:rsid w:val="001C4B68"/>
    <w:rsid w:val="001C4F55"/>
    <w:rsid w:val="001C6344"/>
    <w:rsid w:val="001C697C"/>
    <w:rsid w:val="001C7333"/>
    <w:rsid w:val="001D00BC"/>
    <w:rsid w:val="001D0F42"/>
    <w:rsid w:val="001D1903"/>
    <w:rsid w:val="001D1C4B"/>
    <w:rsid w:val="001D1DD1"/>
    <w:rsid w:val="001D1E6F"/>
    <w:rsid w:val="001D2480"/>
    <w:rsid w:val="001D2652"/>
    <w:rsid w:val="001D2E2F"/>
    <w:rsid w:val="001D380D"/>
    <w:rsid w:val="001D3FA3"/>
    <w:rsid w:val="001D4F24"/>
    <w:rsid w:val="001D63FA"/>
    <w:rsid w:val="001D73F8"/>
    <w:rsid w:val="001D7793"/>
    <w:rsid w:val="001D784C"/>
    <w:rsid w:val="001D7EA7"/>
    <w:rsid w:val="001E0563"/>
    <w:rsid w:val="001E0DA9"/>
    <w:rsid w:val="001E0E1D"/>
    <w:rsid w:val="001E12E0"/>
    <w:rsid w:val="001E1737"/>
    <w:rsid w:val="001E2235"/>
    <w:rsid w:val="001E2BF3"/>
    <w:rsid w:val="001E2CE1"/>
    <w:rsid w:val="001E2D21"/>
    <w:rsid w:val="001E2E03"/>
    <w:rsid w:val="001E33A2"/>
    <w:rsid w:val="001E36AA"/>
    <w:rsid w:val="001E3CC7"/>
    <w:rsid w:val="001E4018"/>
    <w:rsid w:val="001E4289"/>
    <w:rsid w:val="001E42D7"/>
    <w:rsid w:val="001E4CD0"/>
    <w:rsid w:val="001E518C"/>
    <w:rsid w:val="001E53DE"/>
    <w:rsid w:val="001E61EE"/>
    <w:rsid w:val="001E664E"/>
    <w:rsid w:val="001E6BF4"/>
    <w:rsid w:val="001E6CF2"/>
    <w:rsid w:val="001E6DF0"/>
    <w:rsid w:val="001E6EA0"/>
    <w:rsid w:val="001E6F36"/>
    <w:rsid w:val="001E70C8"/>
    <w:rsid w:val="001E7337"/>
    <w:rsid w:val="001E7A46"/>
    <w:rsid w:val="001E7DA6"/>
    <w:rsid w:val="001F08F0"/>
    <w:rsid w:val="001F08F8"/>
    <w:rsid w:val="001F0FE4"/>
    <w:rsid w:val="001F13B2"/>
    <w:rsid w:val="001F14D0"/>
    <w:rsid w:val="001F1623"/>
    <w:rsid w:val="001F20BF"/>
    <w:rsid w:val="001F22CE"/>
    <w:rsid w:val="001F2C72"/>
    <w:rsid w:val="001F3439"/>
    <w:rsid w:val="001F4062"/>
    <w:rsid w:val="001F4908"/>
    <w:rsid w:val="001F4BA9"/>
    <w:rsid w:val="001F5444"/>
    <w:rsid w:val="001F58A3"/>
    <w:rsid w:val="001F5CC9"/>
    <w:rsid w:val="001F5F24"/>
    <w:rsid w:val="001F5F5C"/>
    <w:rsid w:val="001F6DD2"/>
    <w:rsid w:val="001F6DF7"/>
    <w:rsid w:val="001F75BD"/>
    <w:rsid w:val="001F76FB"/>
    <w:rsid w:val="001F79F8"/>
    <w:rsid w:val="001F7FAB"/>
    <w:rsid w:val="002008BA"/>
    <w:rsid w:val="00200AE4"/>
    <w:rsid w:val="00200B32"/>
    <w:rsid w:val="00200EA8"/>
    <w:rsid w:val="00201F5F"/>
    <w:rsid w:val="00202099"/>
    <w:rsid w:val="00202463"/>
    <w:rsid w:val="0020265E"/>
    <w:rsid w:val="002027C4"/>
    <w:rsid w:val="00202D76"/>
    <w:rsid w:val="002032E5"/>
    <w:rsid w:val="00204DE8"/>
    <w:rsid w:val="00205E47"/>
    <w:rsid w:val="002062C5"/>
    <w:rsid w:val="002065D3"/>
    <w:rsid w:val="00206E32"/>
    <w:rsid w:val="002074C7"/>
    <w:rsid w:val="002110C3"/>
    <w:rsid w:val="0021195B"/>
    <w:rsid w:val="00211FBC"/>
    <w:rsid w:val="002120F7"/>
    <w:rsid w:val="00212DD3"/>
    <w:rsid w:val="0021456B"/>
    <w:rsid w:val="0021459C"/>
    <w:rsid w:val="00214D83"/>
    <w:rsid w:val="00214DE0"/>
    <w:rsid w:val="00215116"/>
    <w:rsid w:val="0021550D"/>
    <w:rsid w:val="002160E1"/>
    <w:rsid w:val="0021688B"/>
    <w:rsid w:val="00216F03"/>
    <w:rsid w:val="002173AB"/>
    <w:rsid w:val="00217D8E"/>
    <w:rsid w:val="00220951"/>
    <w:rsid w:val="002210E6"/>
    <w:rsid w:val="00221A62"/>
    <w:rsid w:val="00221B29"/>
    <w:rsid w:val="002225B6"/>
    <w:rsid w:val="002229AE"/>
    <w:rsid w:val="00223165"/>
    <w:rsid w:val="0022326C"/>
    <w:rsid w:val="002232C7"/>
    <w:rsid w:val="002233C8"/>
    <w:rsid w:val="00223488"/>
    <w:rsid w:val="0022382E"/>
    <w:rsid w:val="00223A1D"/>
    <w:rsid w:val="0022422B"/>
    <w:rsid w:val="00224485"/>
    <w:rsid w:val="00224696"/>
    <w:rsid w:val="00224CF7"/>
    <w:rsid w:val="0022547F"/>
    <w:rsid w:val="00225750"/>
    <w:rsid w:val="002263F5"/>
    <w:rsid w:val="002264D0"/>
    <w:rsid w:val="002268B5"/>
    <w:rsid w:val="002271E2"/>
    <w:rsid w:val="002273C4"/>
    <w:rsid w:val="0022740A"/>
    <w:rsid w:val="00227E16"/>
    <w:rsid w:val="00227E91"/>
    <w:rsid w:val="00230362"/>
    <w:rsid w:val="002303B2"/>
    <w:rsid w:val="002308D4"/>
    <w:rsid w:val="00230F10"/>
    <w:rsid w:val="002316D4"/>
    <w:rsid w:val="00231B1E"/>
    <w:rsid w:val="00231B8E"/>
    <w:rsid w:val="00232391"/>
    <w:rsid w:val="0023281C"/>
    <w:rsid w:val="002337DA"/>
    <w:rsid w:val="00234DD0"/>
    <w:rsid w:val="00235142"/>
    <w:rsid w:val="00235398"/>
    <w:rsid w:val="002353D3"/>
    <w:rsid w:val="00235845"/>
    <w:rsid w:val="00235DB6"/>
    <w:rsid w:val="00235E35"/>
    <w:rsid w:val="00236237"/>
    <w:rsid w:val="00236374"/>
    <w:rsid w:val="002365D9"/>
    <w:rsid w:val="00236C6E"/>
    <w:rsid w:val="00236E80"/>
    <w:rsid w:val="00237871"/>
    <w:rsid w:val="00240321"/>
    <w:rsid w:val="002408C4"/>
    <w:rsid w:val="00240E5F"/>
    <w:rsid w:val="00240F7D"/>
    <w:rsid w:val="0024149A"/>
    <w:rsid w:val="002414D9"/>
    <w:rsid w:val="00241A6B"/>
    <w:rsid w:val="00242850"/>
    <w:rsid w:val="00242E4D"/>
    <w:rsid w:val="00243080"/>
    <w:rsid w:val="0024367C"/>
    <w:rsid w:val="0024382B"/>
    <w:rsid w:val="00243AF4"/>
    <w:rsid w:val="00243B45"/>
    <w:rsid w:val="00243E35"/>
    <w:rsid w:val="00244AFE"/>
    <w:rsid w:val="00244DE3"/>
    <w:rsid w:val="00245699"/>
    <w:rsid w:val="002457D1"/>
    <w:rsid w:val="00245843"/>
    <w:rsid w:val="00245A70"/>
    <w:rsid w:val="00246F85"/>
    <w:rsid w:val="00247B80"/>
    <w:rsid w:val="002500FA"/>
    <w:rsid w:val="00250EA3"/>
    <w:rsid w:val="002515C0"/>
    <w:rsid w:val="002518C7"/>
    <w:rsid w:val="00252409"/>
    <w:rsid w:val="00252D41"/>
    <w:rsid w:val="00252EBB"/>
    <w:rsid w:val="0025320D"/>
    <w:rsid w:val="002538F9"/>
    <w:rsid w:val="0025445B"/>
    <w:rsid w:val="0025451A"/>
    <w:rsid w:val="00255117"/>
    <w:rsid w:val="00255754"/>
    <w:rsid w:val="00255BB1"/>
    <w:rsid w:val="00255EB7"/>
    <w:rsid w:val="00255F55"/>
    <w:rsid w:val="002566A4"/>
    <w:rsid w:val="0025736A"/>
    <w:rsid w:val="002576AC"/>
    <w:rsid w:val="00262017"/>
    <w:rsid w:val="0026292B"/>
    <w:rsid w:val="00262B33"/>
    <w:rsid w:val="00262C78"/>
    <w:rsid w:val="00263150"/>
    <w:rsid w:val="0026363B"/>
    <w:rsid w:val="00263C5C"/>
    <w:rsid w:val="00263CFC"/>
    <w:rsid w:val="0026449B"/>
    <w:rsid w:val="0026492E"/>
    <w:rsid w:val="00264BA1"/>
    <w:rsid w:val="00264C6D"/>
    <w:rsid w:val="00264FD3"/>
    <w:rsid w:val="002652D7"/>
    <w:rsid w:val="002657F1"/>
    <w:rsid w:val="00265969"/>
    <w:rsid w:val="00266228"/>
    <w:rsid w:val="002669A2"/>
    <w:rsid w:val="00267738"/>
    <w:rsid w:val="002677E7"/>
    <w:rsid w:val="0027008E"/>
    <w:rsid w:val="002700C5"/>
    <w:rsid w:val="00270192"/>
    <w:rsid w:val="00270FC0"/>
    <w:rsid w:val="0027102A"/>
    <w:rsid w:val="00271AF7"/>
    <w:rsid w:val="00271E03"/>
    <w:rsid w:val="00273865"/>
    <w:rsid w:val="002739AA"/>
    <w:rsid w:val="00273B7E"/>
    <w:rsid w:val="00273C4B"/>
    <w:rsid w:val="00273DC6"/>
    <w:rsid w:val="00274117"/>
    <w:rsid w:val="00274BC6"/>
    <w:rsid w:val="00275125"/>
    <w:rsid w:val="002755A9"/>
    <w:rsid w:val="00275EDA"/>
    <w:rsid w:val="00276452"/>
    <w:rsid w:val="002768E3"/>
    <w:rsid w:val="00276A4E"/>
    <w:rsid w:val="00276A7C"/>
    <w:rsid w:val="00276BEC"/>
    <w:rsid w:val="0027719C"/>
    <w:rsid w:val="00277722"/>
    <w:rsid w:val="00277E23"/>
    <w:rsid w:val="002800F9"/>
    <w:rsid w:val="002802C0"/>
    <w:rsid w:val="00280424"/>
    <w:rsid w:val="0028106A"/>
    <w:rsid w:val="00281352"/>
    <w:rsid w:val="00281951"/>
    <w:rsid w:val="00282211"/>
    <w:rsid w:val="00282402"/>
    <w:rsid w:val="00282A69"/>
    <w:rsid w:val="00283605"/>
    <w:rsid w:val="00283D50"/>
    <w:rsid w:val="00284708"/>
    <w:rsid w:val="00285397"/>
    <w:rsid w:val="00285916"/>
    <w:rsid w:val="00285AEB"/>
    <w:rsid w:val="002871AA"/>
    <w:rsid w:val="002908A8"/>
    <w:rsid w:val="00290A05"/>
    <w:rsid w:val="00290CDB"/>
    <w:rsid w:val="00290D35"/>
    <w:rsid w:val="002915D3"/>
    <w:rsid w:val="00291A74"/>
    <w:rsid w:val="002922D1"/>
    <w:rsid w:val="00292FFB"/>
    <w:rsid w:val="00293016"/>
    <w:rsid w:val="00293F7C"/>
    <w:rsid w:val="00294208"/>
    <w:rsid w:val="00294D3E"/>
    <w:rsid w:val="00295403"/>
    <w:rsid w:val="002956E7"/>
    <w:rsid w:val="00295A64"/>
    <w:rsid w:val="002971D4"/>
    <w:rsid w:val="002A0488"/>
    <w:rsid w:val="002A0507"/>
    <w:rsid w:val="002A0779"/>
    <w:rsid w:val="002A0DE8"/>
    <w:rsid w:val="002A0F37"/>
    <w:rsid w:val="002A155D"/>
    <w:rsid w:val="002A17FA"/>
    <w:rsid w:val="002A1A65"/>
    <w:rsid w:val="002A230D"/>
    <w:rsid w:val="002A33EB"/>
    <w:rsid w:val="002A35F4"/>
    <w:rsid w:val="002A3CED"/>
    <w:rsid w:val="002A3D89"/>
    <w:rsid w:val="002A403C"/>
    <w:rsid w:val="002A4173"/>
    <w:rsid w:val="002A4326"/>
    <w:rsid w:val="002A44F5"/>
    <w:rsid w:val="002A4899"/>
    <w:rsid w:val="002A5D26"/>
    <w:rsid w:val="002A5D65"/>
    <w:rsid w:val="002A5D6D"/>
    <w:rsid w:val="002A6248"/>
    <w:rsid w:val="002A669A"/>
    <w:rsid w:val="002A6AE3"/>
    <w:rsid w:val="002A6B0D"/>
    <w:rsid w:val="002A72AF"/>
    <w:rsid w:val="002A75A5"/>
    <w:rsid w:val="002A7979"/>
    <w:rsid w:val="002A7AD6"/>
    <w:rsid w:val="002B0027"/>
    <w:rsid w:val="002B0B61"/>
    <w:rsid w:val="002B0F6B"/>
    <w:rsid w:val="002B0FCF"/>
    <w:rsid w:val="002B10DA"/>
    <w:rsid w:val="002B13A0"/>
    <w:rsid w:val="002B258A"/>
    <w:rsid w:val="002B3790"/>
    <w:rsid w:val="002B37B3"/>
    <w:rsid w:val="002B3D1C"/>
    <w:rsid w:val="002B4D53"/>
    <w:rsid w:val="002B5825"/>
    <w:rsid w:val="002B5944"/>
    <w:rsid w:val="002B619F"/>
    <w:rsid w:val="002B6FBB"/>
    <w:rsid w:val="002C0018"/>
    <w:rsid w:val="002C0118"/>
    <w:rsid w:val="002C06B2"/>
    <w:rsid w:val="002C0DA8"/>
    <w:rsid w:val="002C10F8"/>
    <w:rsid w:val="002C1209"/>
    <w:rsid w:val="002C1342"/>
    <w:rsid w:val="002C1938"/>
    <w:rsid w:val="002C1943"/>
    <w:rsid w:val="002C1AE0"/>
    <w:rsid w:val="002C2014"/>
    <w:rsid w:val="002C2048"/>
    <w:rsid w:val="002C23B0"/>
    <w:rsid w:val="002C2457"/>
    <w:rsid w:val="002C2B96"/>
    <w:rsid w:val="002C3B17"/>
    <w:rsid w:val="002C4338"/>
    <w:rsid w:val="002C468F"/>
    <w:rsid w:val="002C5182"/>
    <w:rsid w:val="002C57DE"/>
    <w:rsid w:val="002C5FC3"/>
    <w:rsid w:val="002C610B"/>
    <w:rsid w:val="002C6F2A"/>
    <w:rsid w:val="002C7142"/>
    <w:rsid w:val="002C7899"/>
    <w:rsid w:val="002C7A58"/>
    <w:rsid w:val="002C7BDC"/>
    <w:rsid w:val="002D0215"/>
    <w:rsid w:val="002D02E9"/>
    <w:rsid w:val="002D04C1"/>
    <w:rsid w:val="002D06DF"/>
    <w:rsid w:val="002D0B15"/>
    <w:rsid w:val="002D10D7"/>
    <w:rsid w:val="002D1359"/>
    <w:rsid w:val="002D19D2"/>
    <w:rsid w:val="002D19FB"/>
    <w:rsid w:val="002D2A6B"/>
    <w:rsid w:val="002D2AA7"/>
    <w:rsid w:val="002D2DA0"/>
    <w:rsid w:val="002D3235"/>
    <w:rsid w:val="002D57E4"/>
    <w:rsid w:val="002D6A8A"/>
    <w:rsid w:val="002D75E0"/>
    <w:rsid w:val="002D77D3"/>
    <w:rsid w:val="002D7A5E"/>
    <w:rsid w:val="002E000E"/>
    <w:rsid w:val="002E058A"/>
    <w:rsid w:val="002E1223"/>
    <w:rsid w:val="002E1571"/>
    <w:rsid w:val="002E172A"/>
    <w:rsid w:val="002E2438"/>
    <w:rsid w:val="002E287B"/>
    <w:rsid w:val="002E2A93"/>
    <w:rsid w:val="002E32BB"/>
    <w:rsid w:val="002E3AF5"/>
    <w:rsid w:val="002E4147"/>
    <w:rsid w:val="002E469F"/>
    <w:rsid w:val="002E476B"/>
    <w:rsid w:val="002E518B"/>
    <w:rsid w:val="002E520D"/>
    <w:rsid w:val="002E5BFD"/>
    <w:rsid w:val="002E5E5A"/>
    <w:rsid w:val="002E6C70"/>
    <w:rsid w:val="002E70AA"/>
    <w:rsid w:val="002E73BC"/>
    <w:rsid w:val="002E7864"/>
    <w:rsid w:val="002E7FB7"/>
    <w:rsid w:val="002F0032"/>
    <w:rsid w:val="002F02F0"/>
    <w:rsid w:val="002F162B"/>
    <w:rsid w:val="002F19F4"/>
    <w:rsid w:val="002F1AC0"/>
    <w:rsid w:val="002F2694"/>
    <w:rsid w:val="002F27E4"/>
    <w:rsid w:val="002F2A32"/>
    <w:rsid w:val="002F2AD6"/>
    <w:rsid w:val="002F2FFB"/>
    <w:rsid w:val="002F3350"/>
    <w:rsid w:val="002F33A7"/>
    <w:rsid w:val="002F3765"/>
    <w:rsid w:val="002F3AFE"/>
    <w:rsid w:val="002F3B01"/>
    <w:rsid w:val="002F3F95"/>
    <w:rsid w:val="002F4549"/>
    <w:rsid w:val="002F4643"/>
    <w:rsid w:val="002F4DF5"/>
    <w:rsid w:val="002F5980"/>
    <w:rsid w:val="002F6FA2"/>
    <w:rsid w:val="002F7695"/>
    <w:rsid w:val="002F7902"/>
    <w:rsid w:val="00300042"/>
    <w:rsid w:val="0030163E"/>
    <w:rsid w:val="003016C0"/>
    <w:rsid w:val="003024E4"/>
    <w:rsid w:val="00302CFE"/>
    <w:rsid w:val="00302FAD"/>
    <w:rsid w:val="00303233"/>
    <w:rsid w:val="003041B8"/>
    <w:rsid w:val="0030447D"/>
    <w:rsid w:val="00305708"/>
    <w:rsid w:val="00305A8D"/>
    <w:rsid w:val="00305BA9"/>
    <w:rsid w:val="00305DB6"/>
    <w:rsid w:val="003063E3"/>
    <w:rsid w:val="00306A8F"/>
    <w:rsid w:val="00306C02"/>
    <w:rsid w:val="00306C71"/>
    <w:rsid w:val="00307C6E"/>
    <w:rsid w:val="00307F70"/>
    <w:rsid w:val="003101CC"/>
    <w:rsid w:val="00310479"/>
    <w:rsid w:val="00310E4C"/>
    <w:rsid w:val="00310EE2"/>
    <w:rsid w:val="00310F21"/>
    <w:rsid w:val="003111A1"/>
    <w:rsid w:val="003111C9"/>
    <w:rsid w:val="00311B8E"/>
    <w:rsid w:val="003120E2"/>
    <w:rsid w:val="00312310"/>
    <w:rsid w:val="0031254F"/>
    <w:rsid w:val="00312CBF"/>
    <w:rsid w:val="003132AF"/>
    <w:rsid w:val="00313507"/>
    <w:rsid w:val="003142B9"/>
    <w:rsid w:val="00314497"/>
    <w:rsid w:val="00314542"/>
    <w:rsid w:val="00314CB7"/>
    <w:rsid w:val="00314CB9"/>
    <w:rsid w:val="00314E3C"/>
    <w:rsid w:val="00314ED9"/>
    <w:rsid w:val="003158F0"/>
    <w:rsid w:val="00315A7A"/>
    <w:rsid w:val="00315E38"/>
    <w:rsid w:val="00316807"/>
    <w:rsid w:val="00316DD6"/>
    <w:rsid w:val="00317510"/>
    <w:rsid w:val="003179DF"/>
    <w:rsid w:val="00317E8B"/>
    <w:rsid w:val="00317FA6"/>
    <w:rsid w:val="00320474"/>
    <w:rsid w:val="003219DB"/>
    <w:rsid w:val="00321C7D"/>
    <w:rsid w:val="003228AA"/>
    <w:rsid w:val="003228F1"/>
    <w:rsid w:val="003233B9"/>
    <w:rsid w:val="00323421"/>
    <w:rsid w:val="00323A61"/>
    <w:rsid w:val="00323D64"/>
    <w:rsid w:val="003240F1"/>
    <w:rsid w:val="00324966"/>
    <w:rsid w:val="003249EA"/>
    <w:rsid w:val="00324FAF"/>
    <w:rsid w:val="003251EA"/>
    <w:rsid w:val="0032557C"/>
    <w:rsid w:val="00325675"/>
    <w:rsid w:val="0032568A"/>
    <w:rsid w:val="00325A5B"/>
    <w:rsid w:val="00326596"/>
    <w:rsid w:val="00326DBE"/>
    <w:rsid w:val="00326E6C"/>
    <w:rsid w:val="0032706F"/>
    <w:rsid w:val="003271BF"/>
    <w:rsid w:val="00327220"/>
    <w:rsid w:val="00327416"/>
    <w:rsid w:val="003303C1"/>
    <w:rsid w:val="00330637"/>
    <w:rsid w:val="003307E7"/>
    <w:rsid w:val="00330BDF"/>
    <w:rsid w:val="0033147C"/>
    <w:rsid w:val="003314B4"/>
    <w:rsid w:val="00331765"/>
    <w:rsid w:val="00331BBE"/>
    <w:rsid w:val="00331E7D"/>
    <w:rsid w:val="003337DD"/>
    <w:rsid w:val="00333A31"/>
    <w:rsid w:val="00333F13"/>
    <w:rsid w:val="00334AC9"/>
    <w:rsid w:val="003356B0"/>
    <w:rsid w:val="0033598D"/>
    <w:rsid w:val="00335A0F"/>
    <w:rsid w:val="00335B43"/>
    <w:rsid w:val="00335CBB"/>
    <w:rsid w:val="003360F4"/>
    <w:rsid w:val="003376EE"/>
    <w:rsid w:val="00337712"/>
    <w:rsid w:val="00337718"/>
    <w:rsid w:val="0034085F"/>
    <w:rsid w:val="00340F64"/>
    <w:rsid w:val="0034101A"/>
    <w:rsid w:val="00341B94"/>
    <w:rsid w:val="00341BC7"/>
    <w:rsid w:val="00342946"/>
    <w:rsid w:val="003431EC"/>
    <w:rsid w:val="0034329F"/>
    <w:rsid w:val="00343321"/>
    <w:rsid w:val="00343712"/>
    <w:rsid w:val="00343A55"/>
    <w:rsid w:val="00343DCA"/>
    <w:rsid w:val="00344497"/>
    <w:rsid w:val="00344C9A"/>
    <w:rsid w:val="00345A77"/>
    <w:rsid w:val="00345BB3"/>
    <w:rsid w:val="00345D36"/>
    <w:rsid w:val="00346505"/>
    <w:rsid w:val="00346C2C"/>
    <w:rsid w:val="0034726E"/>
    <w:rsid w:val="003477D9"/>
    <w:rsid w:val="00347BB2"/>
    <w:rsid w:val="003503B0"/>
    <w:rsid w:val="003509D9"/>
    <w:rsid w:val="00350E66"/>
    <w:rsid w:val="0035111F"/>
    <w:rsid w:val="003516FC"/>
    <w:rsid w:val="00351719"/>
    <w:rsid w:val="0035177C"/>
    <w:rsid w:val="003520C6"/>
    <w:rsid w:val="00352C45"/>
    <w:rsid w:val="003535EC"/>
    <w:rsid w:val="00353863"/>
    <w:rsid w:val="00353986"/>
    <w:rsid w:val="00354345"/>
    <w:rsid w:val="00354F6D"/>
    <w:rsid w:val="00355471"/>
    <w:rsid w:val="00356497"/>
    <w:rsid w:val="0035655C"/>
    <w:rsid w:val="00356A10"/>
    <w:rsid w:val="0035708F"/>
    <w:rsid w:val="0035763B"/>
    <w:rsid w:val="003577D2"/>
    <w:rsid w:val="00357DCB"/>
    <w:rsid w:val="00360581"/>
    <w:rsid w:val="00360D74"/>
    <w:rsid w:val="00362983"/>
    <w:rsid w:val="00362B79"/>
    <w:rsid w:val="003634B6"/>
    <w:rsid w:val="00363BF3"/>
    <w:rsid w:val="0036407F"/>
    <w:rsid w:val="00364393"/>
    <w:rsid w:val="00364413"/>
    <w:rsid w:val="003649A3"/>
    <w:rsid w:val="00364E53"/>
    <w:rsid w:val="00364F67"/>
    <w:rsid w:val="00364FF4"/>
    <w:rsid w:val="00365417"/>
    <w:rsid w:val="0036543B"/>
    <w:rsid w:val="00365DF2"/>
    <w:rsid w:val="00365F73"/>
    <w:rsid w:val="00365FA6"/>
    <w:rsid w:val="003662DC"/>
    <w:rsid w:val="003665F4"/>
    <w:rsid w:val="00367D94"/>
    <w:rsid w:val="00371151"/>
    <w:rsid w:val="003711CF"/>
    <w:rsid w:val="003715BE"/>
    <w:rsid w:val="0037220B"/>
    <w:rsid w:val="00372F23"/>
    <w:rsid w:val="00372F32"/>
    <w:rsid w:val="00373372"/>
    <w:rsid w:val="00373A07"/>
    <w:rsid w:val="00373B07"/>
    <w:rsid w:val="00373DCC"/>
    <w:rsid w:val="00373E1D"/>
    <w:rsid w:val="0037410F"/>
    <w:rsid w:val="00374255"/>
    <w:rsid w:val="00374825"/>
    <w:rsid w:val="00375518"/>
    <w:rsid w:val="00375520"/>
    <w:rsid w:val="00375798"/>
    <w:rsid w:val="003758F8"/>
    <w:rsid w:val="00375B0F"/>
    <w:rsid w:val="0037612F"/>
    <w:rsid w:val="003764A5"/>
    <w:rsid w:val="0037730A"/>
    <w:rsid w:val="00377324"/>
    <w:rsid w:val="003806CF"/>
    <w:rsid w:val="00380806"/>
    <w:rsid w:val="00381784"/>
    <w:rsid w:val="00381D95"/>
    <w:rsid w:val="003821B6"/>
    <w:rsid w:val="003829EB"/>
    <w:rsid w:val="00382B63"/>
    <w:rsid w:val="00384856"/>
    <w:rsid w:val="003852DF"/>
    <w:rsid w:val="00385558"/>
    <w:rsid w:val="003857C8"/>
    <w:rsid w:val="003858A7"/>
    <w:rsid w:val="00385B93"/>
    <w:rsid w:val="00386231"/>
    <w:rsid w:val="0038654A"/>
    <w:rsid w:val="00386AFC"/>
    <w:rsid w:val="00387015"/>
    <w:rsid w:val="0038776D"/>
    <w:rsid w:val="00387BC6"/>
    <w:rsid w:val="00387D10"/>
    <w:rsid w:val="00390109"/>
    <w:rsid w:val="0039040A"/>
    <w:rsid w:val="0039045D"/>
    <w:rsid w:val="0039175A"/>
    <w:rsid w:val="00391A12"/>
    <w:rsid w:val="00391EBC"/>
    <w:rsid w:val="0039269B"/>
    <w:rsid w:val="003928FD"/>
    <w:rsid w:val="00393699"/>
    <w:rsid w:val="00393C0D"/>
    <w:rsid w:val="0039563E"/>
    <w:rsid w:val="003962BF"/>
    <w:rsid w:val="00396A68"/>
    <w:rsid w:val="00397CA1"/>
    <w:rsid w:val="003A0568"/>
    <w:rsid w:val="003A171B"/>
    <w:rsid w:val="003A1C33"/>
    <w:rsid w:val="003A1E38"/>
    <w:rsid w:val="003A229D"/>
    <w:rsid w:val="003A24AE"/>
    <w:rsid w:val="003A3098"/>
    <w:rsid w:val="003A3617"/>
    <w:rsid w:val="003A3DC4"/>
    <w:rsid w:val="003A4338"/>
    <w:rsid w:val="003A44FC"/>
    <w:rsid w:val="003A4BC9"/>
    <w:rsid w:val="003A504B"/>
    <w:rsid w:val="003A5ADE"/>
    <w:rsid w:val="003A5F47"/>
    <w:rsid w:val="003A60AF"/>
    <w:rsid w:val="003A65C7"/>
    <w:rsid w:val="003A7360"/>
    <w:rsid w:val="003A7916"/>
    <w:rsid w:val="003B0399"/>
    <w:rsid w:val="003B1195"/>
    <w:rsid w:val="003B1EFA"/>
    <w:rsid w:val="003B22F8"/>
    <w:rsid w:val="003B2944"/>
    <w:rsid w:val="003B325D"/>
    <w:rsid w:val="003B3664"/>
    <w:rsid w:val="003B3AFF"/>
    <w:rsid w:val="003B4376"/>
    <w:rsid w:val="003B4850"/>
    <w:rsid w:val="003B5429"/>
    <w:rsid w:val="003B5A13"/>
    <w:rsid w:val="003B6727"/>
    <w:rsid w:val="003B67C4"/>
    <w:rsid w:val="003B694A"/>
    <w:rsid w:val="003B6A3C"/>
    <w:rsid w:val="003B78A5"/>
    <w:rsid w:val="003B7A02"/>
    <w:rsid w:val="003B7CE6"/>
    <w:rsid w:val="003B7EC8"/>
    <w:rsid w:val="003B7F32"/>
    <w:rsid w:val="003B7FD9"/>
    <w:rsid w:val="003C0A46"/>
    <w:rsid w:val="003C0A4C"/>
    <w:rsid w:val="003C0A7A"/>
    <w:rsid w:val="003C0DFF"/>
    <w:rsid w:val="003C1091"/>
    <w:rsid w:val="003C173E"/>
    <w:rsid w:val="003C1F08"/>
    <w:rsid w:val="003C20BA"/>
    <w:rsid w:val="003C4A6B"/>
    <w:rsid w:val="003C53F1"/>
    <w:rsid w:val="003C55B8"/>
    <w:rsid w:val="003C5ADD"/>
    <w:rsid w:val="003C5CF1"/>
    <w:rsid w:val="003C605F"/>
    <w:rsid w:val="003C60B2"/>
    <w:rsid w:val="003C6529"/>
    <w:rsid w:val="003C67C9"/>
    <w:rsid w:val="003C7709"/>
    <w:rsid w:val="003C7DFB"/>
    <w:rsid w:val="003D01B9"/>
    <w:rsid w:val="003D065E"/>
    <w:rsid w:val="003D0C4F"/>
    <w:rsid w:val="003D0FE7"/>
    <w:rsid w:val="003D1057"/>
    <w:rsid w:val="003D1137"/>
    <w:rsid w:val="003D11C4"/>
    <w:rsid w:val="003D26CA"/>
    <w:rsid w:val="003D277B"/>
    <w:rsid w:val="003D30AB"/>
    <w:rsid w:val="003D3218"/>
    <w:rsid w:val="003D3F82"/>
    <w:rsid w:val="003D409D"/>
    <w:rsid w:val="003D41FF"/>
    <w:rsid w:val="003D479C"/>
    <w:rsid w:val="003D4BFA"/>
    <w:rsid w:val="003D56F8"/>
    <w:rsid w:val="003D5A7A"/>
    <w:rsid w:val="003D5AED"/>
    <w:rsid w:val="003D631B"/>
    <w:rsid w:val="003D67AE"/>
    <w:rsid w:val="003D67DA"/>
    <w:rsid w:val="003D6A77"/>
    <w:rsid w:val="003D708E"/>
    <w:rsid w:val="003D727F"/>
    <w:rsid w:val="003D7DF3"/>
    <w:rsid w:val="003E075E"/>
    <w:rsid w:val="003E0C55"/>
    <w:rsid w:val="003E17EA"/>
    <w:rsid w:val="003E1DF8"/>
    <w:rsid w:val="003E2032"/>
    <w:rsid w:val="003E2B98"/>
    <w:rsid w:val="003E344E"/>
    <w:rsid w:val="003E385D"/>
    <w:rsid w:val="003E38B4"/>
    <w:rsid w:val="003E3A6E"/>
    <w:rsid w:val="003E42B9"/>
    <w:rsid w:val="003E4352"/>
    <w:rsid w:val="003E437C"/>
    <w:rsid w:val="003E4452"/>
    <w:rsid w:val="003E4A6A"/>
    <w:rsid w:val="003E57D8"/>
    <w:rsid w:val="003E59AD"/>
    <w:rsid w:val="003E5D46"/>
    <w:rsid w:val="003E5E29"/>
    <w:rsid w:val="003E6104"/>
    <w:rsid w:val="003E66FC"/>
    <w:rsid w:val="003E6784"/>
    <w:rsid w:val="003E7345"/>
    <w:rsid w:val="003E744F"/>
    <w:rsid w:val="003E756F"/>
    <w:rsid w:val="003E783C"/>
    <w:rsid w:val="003E7DEC"/>
    <w:rsid w:val="003F0482"/>
    <w:rsid w:val="003F074A"/>
    <w:rsid w:val="003F0860"/>
    <w:rsid w:val="003F10EE"/>
    <w:rsid w:val="003F1221"/>
    <w:rsid w:val="003F12C7"/>
    <w:rsid w:val="003F12FF"/>
    <w:rsid w:val="003F1802"/>
    <w:rsid w:val="003F1DF2"/>
    <w:rsid w:val="003F2E00"/>
    <w:rsid w:val="003F4041"/>
    <w:rsid w:val="003F46A3"/>
    <w:rsid w:val="003F5510"/>
    <w:rsid w:val="003F5609"/>
    <w:rsid w:val="003F6937"/>
    <w:rsid w:val="003F6B9E"/>
    <w:rsid w:val="003F6DB3"/>
    <w:rsid w:val="003F7C00"/>
    <w:rsid w:val="003F7EBD"/>
    <w:rsid w:val="00400E04"/>
    <w:rsid w:val="004010C4"/>
    <w:rsid w:val="0040115F"/>
    <w:rsid w:val="0040180B"/>
    <w:rsid w:val="00401ED1"/>
    <w:rsid w:val="00402752"/>
    <w:rsid w:val="0040295F"/>
    <w:rsid w:val="00402B72"/>
    <w:rsid w:val="004034F2"/>
    <w:rsid w:val="00403B0A"/>
    <w:rsid w:val="00403E35"/>
    <w:rsid w:val="0040488C"/>
    <w:rsid w:val="00405086"/>
    <w:rsid w:val="004051D3"/>
    <w:rsid w:val="0040634E"/>
    <w:rsid w:val="00406643"/>
    <w:rsid w:val="00406A72"/>
    <w:rsid w:val="00406DD2"/>
    <w:rsid w:val="004070CF"/>
    <w:rsid w:val="0040769B"/>
    <w:rsid w:val="00410182"/>
    <w:rsid w:val="0041095C"/>
    <w:rsid w:val="00410A2F"/>
    <w:rsid w:val="00410C9E"/>
    <w:rsid w:val="00410FE1"/>
    <w:rsid w:val="00411580"/>
    <w:rsid w:val="004115F2"/>
    <w:rsid w:val="00411C05"/>
    <w:rsid w:val="00412757"/>
    <w:rsid w:val="00413447"/>
    <w:rsid w:val="004138C2"/>
    <w:rsid w:val="00413EE3"/>
    <w:rsid w:val="00413FF6"/>
    <w:rsid w:val="00414C00"/>
    <w:rsid w:val="00414DB1"/>
    <w:rsid w:val="004150D7"/>
    <w:rsid w:val="004154ED"/>
    <w:rsid w:val="00415ADE"/>
    <w:rsid w:val="004160C1"/>
    <w:rsid w:val="0041694A"/>
    <w:rsid w:val="00416FF9"/>
    <w:rsid w:val="004179B6"/>
    <w:rsid w:val="00420C7B"/>
    <w:rsid w:val="00420E0F"/>
    <w:rsid w:val="00420E10"/>
    <w:rsid w:val="0042133C"/>
    <w:rsid w:val="00421764"/>
    <w:rsid w:val="00421B68"/>
    <w:rsid w:val="00422FDE"/>
    <w:rsid w:val="00423464"/>
    <w:rsid w:val="004234A8"/>
    <w:rsid w:val="00423AFD"/>
    <w:rsid w:val="00423B62"/>
    <w:rsid w:val="004244E9"/>
    <w:rsid w:val="00424767"/>
    <w:rsid w:val="00424A36"/>
    <w:rsid w:val="004254E5"/>
    <w:rsid w:val="004259D7"/>
    <w:rsid w:val="00426A2D"/>
    <w:rsid w:val="00426EAE"/>
    <w:rsid w:val="00427101"/>
    <w:rsid w:val="00427DF0"/>
    <w:rsid w:val="00430045"/>
    <w:rsid w:val="00430867"/>
    <w:rsid w:val="004309B8"/>
    <w:rsid w:val="00430A94"/>
    <w:rsid w:val="00430DC6"/>
    <w:rsid w:val="00430E74"/>
    <w:rsid w:val="004313F3"/>
    <w:rsid w:val="00431407"/>
    <w:rsid w:val="0043220D"/>
    <w:rsid w:val="00432989"/>
    <w:rsid w:val="004329CA"/>
    <w:rsid w:val="00433B7D"/>
    <w:rsid w:val="00433BAE"/>
    <w:rsid w:val="00433CBB"/>
    <w:rsid w:val="00433D2D"/>
    <w:rsid w:val="0043403A"/>
    <w:rsid w:val="00434075"/>
    <w:rsid w:val="004347BA"/>
    <w:rsid w:val="00434DC9"/>
    <w:rsid w:val="00435867"/>
    <w:rsid w:val="004358B5"/>
    <w:rsid w:val="00435BBE"/>
    <w:rsid w:val="00435D83"/>
    <w:rsid w:val="00435F9B"/>
    <w:rsid w:val="00436A9B"/>
    <w:rsid w:val="00436C81"/>
    <w:rsid w:val="00436FB8"/>
    <w:rsid w:val="004374E2"/>
    <w:rsid w:val="0044040A"/>
    <w:rsid w:val="00441B84"/>
    <w:rsid w:val="00442F20"/>
    <w:rsid w:val="00443383"/>
    <w:rsid w:val="0044397E"/>
    <w:rsid w:val="00443C22"/>
    <w:rsid w:val="00444226"/>
    <w:rsid w:val="0044494A"/>
    <w:rsid w:val="00444CFB"/>
    <w:rsid w:val="004456A3"/>
    <w:rsid w:val="0044573D"/>
    <w:rsid w:val="00445847"/>
    <w:rsid w:val="00445E21"/>
    <w:rsid w:val="004461DB"/>
    <w:rsid w:val="004463DB"/>
    <w:rsid w:val="0044660E"/>
    <w:rsid w:val="00446FE2"/>
    <w:rsid w:val="004472CC"/>
    <w:rsid w:val="00447436"/>
    <w:rsid w:val="00447B68"/>
    <w:rsid w:val="00450254"/>
    <w:rsid w:val="00450EDE"/>
    <w:rsid w:val="004510F5"/>
    <w:rsid w:val="00451924"/>
    <w:rsid w:val="004529CC"/>
    <w:rsid w:val="00452A0F"/>
    <w:rsid w:val="00452EDE"/>
    <w:rsid w:val="00452F95"/>
    <w:rsid w:val="004540AE"/>
    <w:rsid w:val="0045411E"/>
    <w:rsid w:val="0045465B"/>
    <w:rsid w:val="00454771"/>
    <w:rsid w:val="00454C59"/>
    <w:rsid w:val="00455443"/>
    <w:rsid w:val="004563C8"/>
    <w:rsid w:val="00456661"/>
    <w:rsid w:val="004569AD"/>
    <w:rsid w:val="00456C69"/>
    <w:rsid w:val="00456CBB"/>
    <w:rsid w:val="00457C3D"/>
    <w:rsid w:val="0046020C"/>
    <w:rsid w:val="004603B0"/>
    <w:rsid w:val="00460675"/>
    <w:rsid w:val="004606F3"/>
    <w:rsid w:val="00460D38"/>
    <w:rsid w:val="00461132"/>
    <w:rsid w:val="00461BCA"/>
    <w:rsid w:val="00461E1B"/>
    <w:rsid w:val="00462F35"/>
    <w:rsid w:val="00464516"/>
    <w:rsid w:val="00464A32"/>
    <w:rsid w:val="00464A4D"/>
    <w:rsid w:val="00464DCC"/>
    <w:rsid w:val="00464FFF"/>
    <w:rsid w:val="0046533B"/>
    <w:rsid w:val="00465D89"/>
    <w:rsid w:val="0046657F"/>
    <w:rsid w:val="00466864"/>
    <w:rsid w:val="0046712B"/>
    <w:rsid w:val="00470688"/>
    <w:rsid w:val="00470B07"/>
    <w:rsid w:val="00470BCB"/>
    <w:rsid w:val="00470F3D"/>
    <w:rsid w:val="00471241"/>
    <w:rsid w:val="00471A16"/>
    <w:rsid w:val="00471BE8"/>
    <w:rsid w:val="00471F5D"/>
    <w:rsid w:val="004721B5"/>
    <w:rsid w:val="00472278"/>
    <w:rsid w:val="004726A2"/>
    <w:rsid w:val="00473ACC"/>
    <w:rsid w:val="00473EAF"/>
    <w:rsid w:val="0047409B"/>
    <w:rsid w:val="0047442D"/>
    <w:rsid w:val="00474B0B"/>
    <w:rsid w:val="00474BA5"/>
    <w:rsid w:val="004763E0"/>
    <w:rsid w:val="0047657E"/>
    <w:rsid w:val="00476802"/>
    <w:rsid w:val="0047684A"/>
    <w:rsid w:val="00476D67"/>
    <w:rsid w:val="00476F6D"/>
    <w:rsid w:val="004771C4"/>
    <w:rsid w:val="0047749B"/>
    <w:rsid w:val="00477BEF"/>
    <w:rsid w:val="004800C7"/>
    <w:rsid w:val="00481706"/>
    <w:rsid w:val="0048195A"/>
    <w:rsid w:val="0048257F"/>
    <w:rsid w:val="00482F1B"/>
    <w:rsid w:val="00482FBB"/>
    <w:rsid w:val="004830A2"/>
    <w:rsid w:val="0048335B"/>
    <w:rsid w:val="00483464"/>
    <w:rsid w:val="00484075"/>
    <w:rsid w:val="00484682"/>
    <w:rsid w:val="00484D9B"/>
    <w:rsid w:val="004851A5"/>
    <w:rsid w:val="004852E4"/>
    <w:rsid w:val="00486508"/>
    <w:rsid w:val="004865A7"/>
    <w:rsid w:val="0048685F"/>
    <w:rsid w:val="00486ADF"/>
    <w:rsid w:val="00486CE6"/>
    <w:rsid w:val="00486D5E"/>
    <w:rsid w:val="00486DEC"/>
    <w:rsid w:val="00486E46"/>
    <w:rsid w:val="00487487"/>
    <w:rsid w:val="004877B0"/>
    <w:rsid w:val="00487CB3"/>
    <w:rsid w:val="00487D18"/>
    <w:rsid w:val="00490105"/>
    <w:rsid w:val="004901E9"/>
    <w:rsid w:val="00490242"/>
    <w:rsid w:val="00490A98"/>
    <w:rsid w:val="00490F68"/>
    <w:rsid w:val="00492C47"/>
    <w:rsid w:val="00492C61"/>
    <w:rsid w:val="00493876"/>
    <w:rsid w:val="00493C2E"/>
    <w:rsid w:val="00494DE0"/>
    <w:rsid w:val="00495E05"/>
    <w:rsid w:val="00497CF9"/>
    <w:rsid w:val="004A02B3"/>
    <w:rsid w:val="004A0DE6"/>
    <w:rsid w:val="004A1272"/>
    <w:rsid w:val="004A1447"/>
    <w:rsid w:val="004A18E4"/>
    <w:rsid w:val="004A1DE5"/>
    <w:rsid w:val="004A2199"/>
    <w:rsid w:val="004A2301"/>
    <w:rsid w:val="004A29A2"/>
    <w:rsid w:val="004A2E64"/>
    <w:rsid w:val="004A365E"/>
    <w:rsid w:val="004A3B2E"/>
    <w:rsid w:val="004A4471"/>
    <w:rsid w:val="004A44A3"/>
    <w:rsid w:val="004A4DD8"/>
    <w:rsid w:val="004A5157"/>
    <w:rsid w:val="004A5EC5"/>
    <w:rsid w:val="004A5F23"/>
    <w:rsid w:val="004A69B4"/>
    <w:rsid w:val="004A74F2"/>
    <w:rsid w:val="004B00B5"/>
    <w:rsid w:val="004B13BB"/>
    <w:rsid w:val="004B13EC"/>
    <w:rsid w:val="004B1762"/>
    <w:rsid w:val="004B1D26"/>
    <w:rsid w:val="004B21BC"/>
    <w:rsid w:val="004B30F9"/>
    <w:rsid w:val="004B362C"/>
    <w:rsid w:val="004B37DF"/>
    <w:rsid w:val="004B3B9E"/>
    <w:rsid w:val="004B3D61"/>
    <w:rsid w:val="004B4259"/>
    <w:rsid w:val="004B4377"/>
    <w:rsid w:val="004B4447"/>
    <w:rsid w:val="004B463D"/>
    <w:rsid w:val="004B4882"/>
    <w:rsid w:val="004B48C3"/>
    <w:rsid w:val="004B5099"/>
    <w:rsid w:val="004B53D1"/>
    <w:rsid w:val="004B5431"/>
    <w:rsid w:val="004B5665"/>
    <w:rsid w:val="004B587F"/>
    <w:rsid w:val="004B596F"/>
    <w:rsid w:val="004B5A49"/>
    <w:rsid w:val="004B6421"/>
    <w:rsid w:val="004B6866"/>
    <w:rsid w:val="004B6D5F"/>
    <w:rsid w:val="004B70C4"/>
    <w:rsid w:val="004B7197"/>
    <w:rsid w:val="004B723C"/>
    <w:rsid w:val="004B72C8"/>
    <w:rsid w:val="004B7355"/>
    <w:rsid w:val="004B761C"/>
    <w:rsid w:val="004B7748"/>
    <w:rsid w:val="004B78D4"/>
    <w:rsid w:val="004B79D5"/>
    <w:rsid w:val="004C0A4A"/>
    <w:rsid w:val="004C0ADB"/>
    <w:rsid w:val="004C0E7F"/>
    <w:rsid w:val="004C10E5"/>
    <w:rsid w:val="004C2136"/>
    <w:rsid w:val="004C2793"/>
    <w:rsid w:val="004C28D1"/>
    <w:rsid w:val="004C2A3A"/>
    <w:rsid w:val="004C3A26"/>
    <w:rsid w:val="004C3B9B"/>
    <w:rsid w:val="004C3F22"/>
    <w:rsid w:val="004C3FA0"/>
    <w:rsid w:val="004C4726"/>
    <w:rsid w:val="004C4C6C"/>
    <w:rsid w:val="004C59DA"/>
    <w:rsid w:val="004C5B34"/>
    <w:rsid w:val="004C5D64"/>
    <w:rsid w:val="004C5D9D"/>
    <w:rsid w:val="004C66D0"/>
    <w:rsid w:val="004C7160"/>
    <w:rsid w:val="004C72B6"/>
    <w:rsid w:val="004D0426"/>
    <w:rsid w:val="004D06D9"/>
    <w:rsid w:val="004D0C66"/>
    <w:rsid w:val="004D1110"/>
    <w:rsid w:val="004D2449"/>
    <w:rsid w:val="004D3402"/>
    <w:rsid w:val="004D35CD"/>
    <w:rsid w:val="004D38F9"/>
    <w:rsid w:val="004D3912"/>
    <w:rsid w:val="004D3929"/>
    <w:rsid w:val="004D4444"/>
    <w:rsid w:val="004D4537"/>
    <w:rsid w:val="004D6061"/>
    <w:rsid w:val="004D618E"/>
    <w:rsid w:val="004D6BAF"/>
    <w:rsid w:val="004D73A1"/>
    <w:rsid w:val="004D7835"/>
    <w:rsid w:val="004E00B7"/>
    <w:rsid w:val="004E0130"/>
    <w:rsid w:val="004E08BE"/>
    <w:rsid w:val="004E10C3"/>
    <w:rsid w:val="004E154E"/>
    <w:rsid w:val="004E1AF0"/>
    <w:rsid w:val="004E1D9B"/>
    <w:rsid w:val="004E1F1E"/>
    <w:rsid w:val="004E249C"/>
    <w:rsid w:val="004E27FC"/>
    <w:rsid w:val="004E2C7C"/>
    <w:rsid w:val="004E395B"/>
    <w:rsid w:val="004E3B64"/>
    <w:rsid w:val="004E4373"/>
    <w:rsid w:val="004E4512"/>
    <w:rsid w:val="004E522C"/>
    <w:rsid w:val="004E62EC"/>
    <w:rsid w:val="004E7263"/>
    <w:rsid w:val="004F04C2"/>
    <w:rsid w:val="004F06D8"/>
    <w:rsid w:val="004F09AD"/>
    <w:rsid w:val="004F10AF"/>
    <w:rsid w:val="004F1B85"/>
    <w:rsid w:val="004F1E1C"/>
    <w:rsid w:val="004F1F41"/>
    <w:rsid w:val="004F2259"/>
    <w:rsid w:val="004F2455"/>
    <w:rsid w:val="004F2713"/>
    <w:rsid w:val="004F30A7"/>
    <w:rsid w:val="004F3656"/>
    <w:rsid w:val="004F5641"/>
    <w:rsid w:val="004F572D"/>
    <w:rsid w:val="004F57EB"/>
    <w:rsid w:val="004F57F6"/>
    <w:rsid w:val="004F5A29"/>
    <w:rsid w:val="004F5D90"/>
    <w:rsid w:val="004F5F1D"/>
    <w:rsid w:val="004F6814"/>
    <w:rsid w:val="004F6E56"/>
    <w:rsid w:val="004F6F7B"/>
    <w:rsid w:val="004F7074"/>
    <w:rsid w:val="004F7646"/>
    <w:rsid w:val="004F7892"/>
    <w:rsid w:val="004F7D7F"/>
    <w:rsid w:val="00500224"/>
    <w:rsid w:val="005004DD"/>
    <w:rsid w:val="00500D4F"/>
    <w:rsid w:val="0050191C"/>
    <w:rsid w:val="00501C5E"/>
    <w:rsid w:val="005021CC"/>
    <w:rsid w:val="00502344"/>
    <w:rsid w:val="00502CD6"/>
    <w:rsid w:val="00503634"/>
    <w:rsid w:val="00503FA6"/>
    <w:rsid w:val="00504975"/>
    <w:rsid w:val="00504C3D"/>
    <w:rsid w:val="005053B9"/>
    <w:rsid w:val="00505F6A"/>
    <w:rsid w:val="00506222"/>
    <w:rsid w:val="0050637B"/>
    <w:rsid w:val="005068FA"/>
    <w:rsid w:val="00506FB4"/>
    <w:rsid w:val="00507324"/>
    <w:rsid w:val="00507453"/>
    <w:rsid w:val="0050769B"/>
    <w:rsid w:val="005076C4"/>
    <w:rsid w:val="0050788A"/>
    <w:rsid w:val="00507FD0"/>
    <w:rsid w:val="00510014"/>
    <w:rsid w:val="00510707"/>
    <w:rsid w:val="0051134F"/>
    <w:rsid w:val="00511892"/>
    <w:rsid w:val="00512415"/>
    <w:rsid w:val="00512860"/>
    <w:rsid w:val="005128FF"/>
    <w:rsid w:val="005135C7"/>
    <w:rsid w:val="00513CF6"/>
    <w:rsid w:val="0051454C"/>
    <w:rsid w:val="0051454E"/>
    <w:rsid w:val="005149CC"/>
    <w:rsid w:val="00514F2C"/>
    <w:rsid w:val="00515BCC"/>
    <w:rsid w:val="00516C03"/>
    <w:rsid w:val="0051759D"/>
    <w:rsid w:val="00520024"/>
    <w:rsid w:val="00520A01"/>
    <w:rsid w:val="00520D72"/>
    <w:rsid w:val="0052129E"/>
    <w:rsid w:val="005219F5"/>
    <w:rsid w:val="00521B08"/>
    <w:rsid w:val="0052201F"/>
    <w:rsid w:val="005220BE"/>
    <w:rsid w:val="005225E4"/>
    <w:rsid w:val="00522D2C"/>
    <w:rsid w:val="00522E5D"/>
    <w:rsid w:val="00523509"/>
    <w:rsid w:val="005235B2"/>
    <w:rsid w:val="00523D01"/>
    <w:rsid w:val="00523E71"/>
    <w:rsid w:val="00524367"/>
    <w:rsid w:val="0052497E"/>
    <w:rsid w:val="00524C57"/>
    <w:rsid w:val="00525B1C"/>
    <w:rsid w:val="005263FA"/>
    <w:rsid w:val="0052667F"/>
    <w:rsid w:val="00527209"/>
    <w:rsid w:val="00527650"/>
    <w:rsid w:val="005300D0"/>
    <w:rsid w:val="00530770"/>
    <w:rsid w:val="00530C07"/>
    <w:rsid w:val="005322CB"/>
    <w:rsid w:val="00532364"/>
    <w:rsid w:val="005326CD"/>
    <w:rsid w:val="00532726"/>
    <w:rsid w:val="00532B13"/>
    <w:rsid w:val="00532EF1"/>
    <w:rsid w:val="005343C0"/>
    <w:rsid w:val="00534567"/>
    <w:rsid w:val="00534DE8"/>
    <w:rsid w:val="005350D3"/>
    <w:rsid w:val="00535136"/>
    <w:rsid w:val="005353F6"/>
    <w:rsid w:val="00535A9D"/>
    <w:rsid w:val="00536E54"/>
    <w:rsid w:val="00537071"/>
    <w:rsid w:val="00537713"/>
    <w:rsid w:val="00537985"/>
    <w:rsid w:val="005400A3"/>
    <w:rsid w:val="005400A9"/>
    <w:rsid w:val="0054084F"/>
    <w:rsid w:val="00540BE7"/>
    <w:rsid w:val="00540C0A"/>
    <w:rsid w:val="00540EC1"/>
    <w:rsid w:val="00540F54"/>
    <w:rsid w:val="00541151"/>
    <w:rsid w:val="005411B1"/>
    <w:rsid w:val="00541518"/>
    <w:rsid w:val="00541666"/>
    <w:rsid w:val="00542ED3"/>
    <w:rsid w:val="00542FFC"/>
    <w:rsid w:val="00543394"/>
    <w:rsid w:val="005435E8"/>
    <w:rsid w:val="005440CC"/>
    <w:rsid w:val="00544114"/>
    <w:rsid w:val="005445CA"/>
    <w:rsid w:val="005453BD"/>
    <w:rsid w:val="00545740"/>
    <w:rsid w:val="00546016"/>
    <w:rsid w:val="00546173"/>
    <w:rsid w:val="00546436"/>
    <w:rsid w:val="00546B21"/>
    <w:rsid w:val="00546B97"/>
    <w:rsid w:val="00547C8A"/>
    <w:rsid w:val="00550066"/>
    <w:rsid w:val="00550FF0"/>
    <w:rsid w:val="00551058"/>
    <w:rsid w:val="00552F01"/>
    <w:rsid w:val="00552FBF"/>
    <w:rsid w:val="005530ED"/>
    <w:rsid w:val="005533A7"/>
    <w:rsid w:val="0055373F"/>
    <w:rsid w:val="0055482F"/>
    <w:rsid w:val="00554BA5"/>
    <w:rsid w:val="00554E70"/>
    <w:rsid w:val="005550BA"/>
    <w:rsid w:val="0055583A"/>
    <w:rsid w:val="005563C1"/>
    <w:rsid w:val="005568D1"/>
    <w:rsid w:val="00556A7E"/>
    <w:rsid w:val="00556F90"/>
    <w:rsid w:val="005577B7"/>
    <w:rsid w:val="005579D4"/>
    <w:rsid w:val="00560534"/>
    <w:rsid w:val="005616E0"/>
    <w:rsid w:val="00561B08"/>
    <w:rsid w:val="0056204F"/>
    <w:rsid w:val="005624FF"/>
    <w:rsid w:val="0056286C"/>
    <w:rsid w:val="00562CCF"/>
    <w:rsid w:val="00562F5C"/>
    <w:rsid w:val="0056314C"/>
    <w:rsid w:val="00563560"/>
    <w:rsid w:val="00563B9F"/>
    <w:rsid w:val="00564618"/>
    <w:rsid w:val="005649F4"/>
    <w:rsid w:val="00566AC4"/>
    <w:rsid w:val="005677C5"/>
    <w:rsid w:val="00567870"/>
    <w:rsid w:val="00570313"/>
    <w:rsid w:val="00571325"/>
    <w:rsid w:val="00571C56"/>
    <w:rsid w:val="00572E8E"/>
    <w:rsid w:val="00573161"/>
    <w:rsid w:val="005731C0"/>
    <w:rsid w:val="005731DC"/>
    <w:rsid w:val="00573379"/>
    <w:rsid w:val="005733CB"/>
    <w:rsid w:val="005733FC"/>
    <w:rsid w:val="00573705"/>
    <w:rsid w:val="00573EE8"/>
    <w:rsid w:val="00574016"/>
    <w:rsid w:val="0057443A"/>
    <w:rsid w:val="00574B24"/>
    <w:rsid w:val="00574C73"/>
    <w:rsid w:val="00575102"/>
    <w:rsid w:val="005754A3"/>
    <w:rsid w:val="005755A0"/>
    <w:rsid w:val="00576748"/>
    <w:rsid w:val="00576AFA"/>
    <w:rsid w:val="00576B5F"/>
    <w:rsid w:val="00576C29"/>
    <w:rsid w:val="00576CD1"/>
    <w:rsid w:val="00576FB4"/>
    <w:rsid w:val="00577081"/>
    <w:rsid w:val="00577188"/>
    <w:rsid w:val="00580106"/>
    <w:rsid w:val="005801B0"/>
    <w:rsid w:val="005807E0"/>
    <w:rsid w:val="00580C81"/>
    <w:rsid w:val="00580DE7"/>
    <w:rsid w:val="00581C46"/>
    <w:rsid w:val="0058286F"/>
    <w:rsid w:val="0058297E"/>
    <w:rsid w:val="00582C6A"/>
    <w:rsid w:val="00582E23"/>
    <w:rsid w:val="0058331E"/>
    <w:rsid w:val="00583582"/>
    <w:rsid w:val="005839D7"/>
    <w:rsid w:val="00584142"/>
    <w:rsid w:val="00584CF2"/>
    <w:rsid w:val="00584E14"/>
    <w:rsid w:val="00584E88"/>
    <w:rsid w:val="005854DB"/>
    <w:rsid w:val="00585AC4"/>
    <w:rsid w:val="00585C8E"/>
    <w:rsid w:val="00585CCA"/>
    <w:rsid w:val="00585D77"/>
    <w:rsid w:val="00585EB7"/>
    <w:rsid w:val="005864E4"/>
    <w:rsid w:val="0058655C"/>
    <w:rsid w:val="005874D8"/>
    <w:rsid w:val="00587589"/>
    <w:rsid w:val="005875B9"/>
    <w:rsid w:val="0058760C"/>
    <w:rsid w:val="0058773D"/>
    <w:rsid w:val="00587BC7"/>
    <w:rsid w:val="005904E0"/>
    <w:rsid w:val="0059067B"/>
    <w:rsid w:val="00590DD0"/>
    <w:rsid w:val="00591308"/>
    <w:rsid w:val="00591AE5"/>
    <w:rsid w:val="00591D92"/>
    <w:rsid w:val="005921C0"/>
    <w:rsid w:val="00592629"/>
    <w:rsid w:val="005926B8"/>
    <w:rsid w:val="005928B8"/>
    <w:rsid w:val="005931FE"/>
    <w:rsid w:val="005932C1"/>
    <w:rsid w:val="005940E3"/>
    <w:rsid w:val="00594337"/>
    <w:rsid w:val="005944CE"/>
    <w:rsid w:val="00594F45"/>
    <w:rsid w:val="0059506E"/>
    <w:rsid w:val="00595884"/>
    <w:rsid w:val="00595971"/>
    <w:rsid w:val="00596281"/>
    <w:rsid w:val="005964F9"/>
    <w:rsid w:val="00596C53"/>
    <w:rsid w:val="005976B3"/>
    <w:rsid w:val="00597E76"/>
    <w:rsid w:val="005A0C15"/>
    <w:rsid w:val="005A0D9E"/>
    <w:rsid w:val="005A15C6"/>
    <w:rsid w:val="005A1A9E"/>
    <w:rsid w:val="005A1D49"/>
    <w:rsid w:val="005A2220"/>
    <w:rsid w:val="005A26B3"/>
    <w:rsid w:val="005A2A29"/>
    <w:rsid w:val="005A3104"/>
    <w:rsid w:val="005A3495"/>
    <w:rsid w:val="005A3829"/>
    <w:rsid w:val="005A391B"/>
    <w:rsid w:val="005A3D97"/>
    <w:rsid w:val="005A4B7B"/>
    <w:rsid w:val="005A4D41"/>
    <w:rsid w:val="005A5005"/>
    <w:rsid w:val="005A53CD"/>
    <w:rsid w:val="005A5B02"/>
    <w:rsid w:val="005A5F61"/>
    <w:rsid w:val="005A6D6A"/>
    <w:rsid w:val="005A718A"/>
    <w:rsid w:val="005A729C"/>
    <w:rsid w:val="005A755D"/>
    <w:rsid w:val="005A7BFE"/>
    <w:rsid w:val="005B0351"/>
    <w:rsid w:val="005B0503"/>
    <w:rsid w:val="005B061C"/>
    <w:rsid w:val="005B071E"/>
    <w:rsid w:val="005B0ABD"/>
    <w:rsid w:val="005B0CDF"/>
    <w:rsid w:val="005B0F9F"/>
    <w:rsid w:val="005B103F"/>
    <w:rsid w:val="005B1174"/>
    <w:rsid w:val="005B167D"/>
    <w:rsid w:val="005B18A0"/>
    <w:rsid w:val="005B2396"/>
    <w:rsid w:val="005B2629"/>
    <w:rsid w:val="005B2C3E"/>
    <w:rsid w:val="005B2D82"/>
    <w:rsid w:val="005B36E3"/>
    <w:rsid w:val="005B3878"/>
    <w:rsid w:val="005B4072"/>
    <w:rsid w:val="005B4256"/>
    <w:rsid w:val="005B42F3"/>
    <w:rsid w:val="005B48D6"/>
    <w:rsid w:val="005B4C70"/>
    <w:rsid w:val="005B4FAE"/>
    <w:rsid w:val="005B5128"/>
    <w:rsid w:val="005B589D"/>
    <w:rsid w:val="005B5A6B"/>
    <w:rsid w:val="005B5A9C"/>
    <w:rsid w:val="005B5AEC"/>
    <w:rsid w:val="005B60B3"/>
    <w:rsid w:val="005B6473"/>
    <w:rsid w:val="005B681E"/>
    <w:rsid w:val="005B686A"/>
    <w:rsid w:val="005B6A63"/>
    <w:rsid w:val="005B6ACD"/>
    <w:rsid w:val="005B6B74"/>
    <w:rsid w:val="005B6DE4"/>
    <w:rsid w:val="005B73E3"/>
    <w:rsid w:val="005B747F"/>
    <w:rsid w:val="005B75E1"/>
    <w:rsid w:val="005C0BDB"/>
    <w:rsid w:val="005C11A8"/>
    <w:rsid w:val="005C2C7E"/>
    <w:rsid w:val="005C2E74"/>
    <w:rsid w:val="005C321A"/>
    <w:rsid w:val="005C3651"/>
    <w:rsid w:val="005C3935"/>
    <w:rsid w:val="005C3F9C"/>
    <w:rsid w:val="005C450C"/>
    <w:rsid w:val="005C4EDB"/>
    <w:rsid w:val="005C4FD1"/>
    <w:rsid w:val="005C56ED"/>
    <w:rsid w:val="005C723F"/>
    <w:rsid w:val="005C7750"/>
    <w:rsid w:val="005C78FF"/>
    <w:rsid w:val="005C7FBF"/>
    <w:rsid w:val="005D07BC"/>
    <w:rsid w:val="005D0AFC"/>
    <w:rsid w:val="005D1291"/>
    <w:rsid w:val="005D2373"/>
    <w:rsid w:val="005D29B1"/>
    <w:rsid w:val="005D2E61"/>
    <w:rsid w:val="005D2FCA"/>
    <w:rsid w:val="005D3CEF"/>
    <w:rsid w:val="005D3D0D"/>
    <w:rsid w:val="005D4713"/>
    <w:rsid w:val="005D478C"/>
    <w:rsid w:val="005D5638"/>
    <w:rsid w:val="005D5ADE"/>
    <w:rsid w:val="005D5F6C"/>
    <w:rsid w:val="005D7E90"/>
    <w:rsid w:val="005E0000"/>
    <w:rsid w:val="005E0375"/>
    <w:rsid w:val="005E0655"/>
    <w:rsid w:val="005E0B05"/>
    <w:rsid w:val="005E12AC"/>
    <w:rsid w:val="005E1869"/>
    <w:rsid w:val="005E187E"/>
    <w:rsid w:val="005E1B0B"/>
    <w:rsid w:val="005E1CC5"/>
    <w:rsid w:val="005E305D"/>
    <w:rsid w:val="005E30C6"/>
    <w:rsid w:val="005E36AA"/>
    <w:rsid w:val="005E3E51"/>
    <w:rsid w:val="005E4503"/>
    <w:rsid w:val="005E470B"/>
    <w:rsid w:val="005E6918"/>
    <w:rsid w:val="005E6D85"/>
    <w:rsid w:val="005E76B1"/>
    <w:rsid w:val="005E77A9"/>
    <w:rsid w:val="005F0473"/>
    <w:rsid w:val="005F065A"/>
    <w:rsid w:val="005F07BC"/>
    <w:rsid w:val="005F0CE4"/>
    <w:rsid w:val="005F11A1"/>
    <w:rsid w:val="005F1350"/>
    <w:rsid w:val="005F1669"/>
    <w:rsid w:val="005F1674"/>
    <w:rsid w:val="005F191E"/>
    <w:rsid w:val="005F2118"/>
    <w:rsid w:val="005F3F95"/>
    <w:rsid w:val="005F4662"/>
    <w:rsid w:val="005F4966"/>
    <w:rsid w:val="005F4E22"/>
    <w:rsid w:val="005F520F"/>
    <w:rsid w:val="005F554B"/>
    <w:rsid w:val="005F5718"/>
    <w:rsid w:val="005F58CF"/>
    <w:rsid w:val="005F69FD"/>
    <w:rsid w:val="005F6A0D"/>
    <w:rsid w:val="005F6E1E"/>
    <w:rsid w:val="005F78C5"/>
    <w:rsid w:val="005F7916"/>
    <w:rsid w:val="005F7B19"/>
    <w:rsid w:val="006003CA"/>
    <w:rsid w:val="00600E90"/>
    <w:rsid w:val="0060127C"/>
    <w:rsid w:val="00601DF6"/>
    <w:rsid w:val="00602D65"/>
    <w:rsid w:val="0060302A"/>
    <w:rsid w:val="006030F7"/>
    <w:rsid w:val="00603A90"/>
    <w:rsid w:val="00603B95"/>
    <w:rsid w:val="00604ED5"/>
    <w:rsid w:val="00604EF3"/>
    <w:rsid w:val="00604F69"/>
    <w:rsid w:val="006057D5"/>
    <w:rsid w:val="00605892"/>
    <w:rsid w:val="00605B8C"/>
    <w:rsid w:val="0060641C"/>
    <w:rsid w:val="00607080"/>
    <w:rsid w:val="00607AAD"/>
    <w:rsid w:val="00607CD5"/>
    <w:rsid w:val="00607F5A"/>
    <w:rsid w:val="00607FA0"/>
    <w:rsid w:val="00607FF5"/>
    <w:rsid w:val="006107CB"/>
    <w:rsid w:val="006110F6"/>
    <w:rsid w:val="0061137A"/>
    <w:rsid w:val="00612294"/>
    <w:rsid w:val="00612F77"/>
    <w:rsid w:val="006132E4"/>
    <w:rsid w:val="00614760"/>
    <w:rsid w:val="00614A0B"/>
    <w:rsid w:val="00614AC1"/>
    <w:rsid w:val="00614C71"/>
    <w:rsid w:val="006154F5"/>
    <w:rsid w:val="006156CC"/>
    <w:rsid w:val="00615E23"/>
    <w:rsid w:val="006161A5"/>
    <w:rsid w:val="00616218"/>
    <w:rsid w:val="006170C7"/>
    <w:rsid w:val="00617528"/>
    <w:rsid w:val="00620724"/>
    <w:rsid w:val="00620A1D"/>
    <w:rsid w:val="00620DAE"/>
    <w:rsid w:val="00620EDC"/>
    <w:rsid w:val="00621969"/>
    <w:rsid w:val="00621FC8"/>
    <w:rsid w:val="0062250D"/>
    <w:rsid w:val="006225D5"/>
    <w:rsid w:val="006225F1"/>
    <w:rsid w:val="00622911"/>
    <w:rsid w:val="00622BA2"/>
    <w:rsid w:val="00622FDA"/>
    <w:rsid w:val="00623313"/>
    <w:rsid w:val="006234DD"/>
    <w:rsid w:val="00623AD3"/>
    <w:rsid w:val="00624382"/>
    <w:rsid w:val="00624638"/>
    <w:rsid w:val="006254DA"/>
    <w:rsid w:val="00625694"/>
    <w:rsid w:val="00625F79"/>
    <w:rsid w:val="00625FC4"/>
    <w:rsid w:val="0062618A"/>
    <w:rsid w:val="00626574"/>
    <w:rsid w:val="0062671B"/>
    <w:rsid w:val="00626943"/>
    <w:rsid w:val="00627519"/>
    <w:rsid w:val="0062791D"/>
    <w:rsid w:val="00630104"/>
    <w:rsid w:val="00630328"/>
    <w:rsid w:val="00630467"/>
    <w:rsid w:val="00630581"/>
    <w:rsid w:val="0063091E"/>
    <w:rsid w:val="00631627"/>
    <w:rsid w:val="006327F8"/>
    <w:rsid w:val="00632B2E"/>
    <w:rsid w:val="00632FED"/>
    <w:rsid w:val="006339BD"/>
    <w:rsid w:val="00633C65"/>
    <w:rsid w:val="00634251"/>
    <w:rsid w:val="006342AC"/>
    <w:rsid w:val="00634FC0"/>
    <w:rsid w:val="00636070"/>
    <w:rsid w:val="006361E8"/>
    <w:rsid w:val="006363A7"/>
    <w:rsid w:val="00636D72"/>
    <w:rsid w:val="0064035E"/>
    <w:rsid w:val="006403B9"/>
    <w:rsid w:val="006408C9"/>
    <w:rsid w:val="00640AAA"/>
    <w:rsid w:val="00640DA7"/>
    <w:rsid w:val="0064199F"/>
    <w:rsid w:val="00642BFF"/>
    <w:rsid w:val="00642D42"/>
    <w:rsid w:val="00642EF8"/>
    <w:rsid w:val="0064361B"/>
    <w:rsid w:val="00643F00"/>
    <w:rsid w:val="00643F69"/>
    <w:rsid w:val="0064404A"/>
    <w:rsid w:val="0064473B"/>
    <w:rsid w:val="00645511"/>
    <w:rsid w:val="00645950"/>
    <w:rsid w:val="006461B1"/>
    <w:rsid w:val="006467AC"/>
    <w:rsid w:val="00646B3B"/>
    <w:rsid w:val="00647E87"/>
    <w:rsid w:val="006505CC"/>
    <w:rsid w:val="00652B14"/>
    <w:rsid w:val="00653508"/>
    <w:rsid w:val="00653BDC"/>
    <w:rsid w:val="00653C11"/>
    <w:rsid w:val="00653EE3"/>
    <w:rsid w:val="006544A2"/>
    <w:rsid w:val="00654628"/>
    <w:rsid w:val="00654856"/>
    <w:rsid w:val="00654F6A"/>
    <w:rsid w:val="00654FA2"/>
    <w:rsid w:val="006551AD"/>
    <w:rsid w:val="006553F8"/>
    <w:rsid w:val="00656E9E"/>
    <w:rsid w:val="00657667"/>
    <w:rsid w:val="0066026F"/>
    <w:rsid w:val="00660526"/>
    <w:rsid w:val="006605B4"/>
    <w:rsid w:val="00660A67"/>
    <w:rsid w:val="00660AF4"/>
    <w:rsid w:val="00660C7C"/>
    <w:rsid w:val="0066158D"/>
    <w:rsid w:val="0066226C"/>
    <w:rsid w:val="0066228F"/>
    <w:rsid w:val="0066299D"/>
    <w:rsid w:val="006631E3"/>
    <w:rsid w:val="006635E9"/>
    <w:rsid w:val="0066368A"/>
    <w:rsid w:val="00663B98"/>
    <w:rsid w:val="006642C8"/>
    <w:rsid w:val="00664F33"/>
    <w:rsid w:val="00664FF2"/>
    <w:rsid w:val="00665070"/>
    <w:rsid w:val="0066664B"/>
    <w:rsid w:val="006667EA"/>
    <w:rsid w:val="006676AC"/>
    <w:rsid w:val="00667CE0"/>
    <w:rsid w:val="00667DF4"/>
    <w:rsid w:val="006714FE"/>
    <w:rsid w:val="0067181B"/>
    <w:rsid w:val="00671B5E"/>
    <w:rsid w:val="006720CE"/>
    <w:rsid w:val="006729D4"/>
    <w:rsid w:val="00673765"/>
    <w:rsid w:val="00673997"/>
    <w:rsid w:val="00673A5E"/>
    <w:rsid w:val="00673CE6"/>
    <w:rsid w:val="006743A6"/>
    <w:rsid w:val="006745CF"/>
    <w:rsid w:val="006745D8"/>
    <w:rsid w:val="0067462E"/>
    <w:rsid w:val="006757DA"/>
    <w:rsid w:val="0067585E"/>
    <w:rsid w:val="006758A3"/>
    <w:rsid w:val="00675B9C"/>
    <w:rsid w:val="00675BB5"/>
    <w:rsid w:val="006761CE"/>
    <w:rsid w:val="00676540"/>
    <w:rsid w:val="00676958"/>
    <w:rsid w:val="006771A5"/>
    <w:rsid w:val="00677272"/>
    <w:rsid w:val="00677394"/>
    <w:rsid w:val="006774BC"/>
    <w:rsid w:val="00677911"/>
    <w:rsid w:val="0068024B"/>
    <w:rsid w:val="00680471"/>
    <w:rsid w:val="006804FC"/>
    <w:rsid w:val="00681573"/>
    <w:rsid w:val="00681DA0"/>
    <w:rsid w:val="006833D7"/>
    <w:rsid w:val="0068446F"/>
    <w:rsid w:val="00685233"/>
    <w:rsid w:val="006856E7"/>
    <w:rsid w:val="00686C8D"/>
    <w:rsid w:val="00686C96"/>
    <w:rsid w:val="00686ECD"/>
    <w:rsid w:val="006874C5"/>
    <w:rsid w:val="0069013B"/>
    <w:rsid w:val="00690200"/>
    <w:rsid w:val="00690AFF"/>
    <w:rsid w:val="0069162B"/>
    <w:rsid w:val="00691FA8"/>
    <w:rsid w:val="00692A72"/>
    <w:rsid w:val="00692F2E"/>
    <w:rsid w:val="006936C5"/>
    <w:rsid w:val="006948B4"/>
    <w:rsid w:val="006957B4"/>
    <w:rsid w:val="00695CC5"/>
    <w:rsid w:val="00696079"/>
    <w:rsid w:val="00696BCE"/>
    <w:rsid w:val="006976D6"/>
    <w:rsid w:val="0069792C"/>
    <w:rsid w:val="006A05CD"/>
    <w:rsid w:val="006A064D"/>
    <w:rsid w:val="006A0A89"/>
    <w:rsid w:val="006A0CC5"/>
    <w:rsid w:val="006A0D91"/>
    <w:rsid w:val="006A0DF9"/>
    <w:rsid w:val="006A0F91"/>
    <w:rsid w:val="006A1587"/>
    <w:rsid w:val="006A1863"/>
    <w:rsid w:val="006A19AC"/>
    <w:rsid w:val="006A1D4B"/>
    <w:rsid w:val="006A1D5D"/>
    <w:rsid w:val="006A29E3"/>
    <w:rsid w:val="006A2C11"/>
    <w:rsid w:val="006A2E8D"/>
    <w:rsid w:val="006A3531"/>
    <w:rsid w:val="006A35CF"/>
    <w:rsid w:val="006A3EB1"/>
    <w:rsid w:val="006A4C40"/>
    <w:rsid w:val="006A51F7"/>
    <w:rsid w:val="006A569B"/>
    <w:rsid w:val="006A57AD"/>
    <w:rsid w:val="006A5A2C"/>
    <w:rsid w:val="006A638F"/>
    <w:rsid w:val="006A674D"/>
    <w:rsid w:val="006A6C2C"/>
    <w:rsid w:val="006A6E81"/>
    <w:rsid w:val="006A7108"/>
    <w:rsid w:val="006A780E"/>
    <w:rsid w:val="006A7853"/>
    <w:rsid w:val="006A7CE3"/>
    <w:rsid w:val="006B0A8E"/>
    <w:rsid w:val="006B157C"/>
    <w:rsid w:val="006B261B"/>
    <w:rsid w:val="006B2B18"/>
    <w:rsid w:val="006B3594"/>
    <w:rsid w:val="006B5CE9"/>
    <w:rsid w:val="006B66A0"/>
    <w:rsid w:val="006B703A"/>
    <w:rsid w:val="006B7614"/>
    <w:rsid w:val="006C0211"/>
    <w:rsid w:val="006C06C7"/>
    <w:rsid w:val="006C082C"/>
    <w:rsid w:val="006C0D1D"/>
    <w:rsid w:val="006C0FF1"/>
    <w:rsid w:val="006C159E"/>
    <w:rsid w:val="006C1D4B"/>
    <w:rsid w:val="006C252F"/>
    <w:rsid w:val="006C28FC"/>
    <w:rsid w:val="006C2F2B"/>
    <w:rsid w:val="006C3058"/>
    <w:rsid w:val="006C319C"/>
    <w:rsid w:val="006C3D2A"/>
    <w:rsid w:val="006C4124"/>
    <w:rsid w:val="006C4287"/>
    <w:rsid w:val="006C4B9E"/>
    <w:rsid w:val="006C4C61"/>
    <w:rsid w:val="006C4F7C"/>
    <w:rsid w:val="006C551D"/>
    <w:rsid w:val="006C5C98"/>
    <w:rsid w:val="006C620E"/>
    <w:rsid w:val="006C6687"/>
    <w:rsid w:val="006C73DE"/>
    <w:rsid w:val="006C73E4"/>
    <w:rsid w:val="006C76BA"/>
    <w:rsid w:val="006C7ED4"/>
    <w:rsid w:val="006D0012"/>
    <w:rsid w:val="006D068B"/>
    <w:rsid w:val="006D0781"/>
    <w:rsid w:val="006D0D2B"/>
    <w:rsid w:val="006D0FBE"/>
    <w:rsid w:val="006D1305"/>
    <w:rsid w:val="006D195C"/>
    <w:rsid w:val="006D2309"/>
    <w:rsid w:val="006D265D"/>
    <w:rsid w:val="006D2E26"/>
    <w:rsid w:val="006D3735"/>
    <w:rsid w:val="006D3FDB"/>
    <w:rsid w:val="006D440F"/>
    <w:rsid w:val="006D4F30"/>
    <w:rsid w:val="006D56F4"/>
    <w:rsid w:val="006D5E0A"/>
    <w:rsid w:val="006D6523"/>
    <w:rsid w:val="006D7B98"/>
    <w:rsid w:val="006E0D2B"/>
    <w:rsid w:val="006E15F9"/>
    <w:rsid w:val="006E1B2A"/>
    <w:rsid w:val="006E26A7"/>
    <w:rsid w:val="006E2AFA"/>
    <w:rsid w:val="006E2C22"/>
    <w:rsid w:val="006E2C7E"/>
    <w:rsid w:val="006E3827"/>
    <w:rsid w:val="006E3BA1"/>
    <w:rsid w:val="006E3FD1"/>
    <w:rsid w:val="006E49F9"/>
    <w:rsid w:val="006E5371"/>
    <w:rsid w:val="006E60A9"/>
    <w:rsid w:val="006E6200"/>
    <w:rsid w:val="006E62C0"/>
    <w:rsid w:val="006E6849"/>
    <w:rsid w:val="006E6E0B"/>
    <w:rsid w:val="006E708B"/>
    <w:rsid w:val="006E7145"/>
    <w:rsid w:val="006E74D3"/>
    <w:rsid w:val="006E77BD"/>
    <w:rsid w:val="006E7B7B"/>
    <w:rsid w:val="006E7BE8"/>
    <w:rsid w:val="006F085D"/>
    <w:rsid w:val="006F08DC"/>
    <w:rsid w:val="006F094D"/>
    <w:rsid w:val="006F0BE7"/>
    <w:rsid w:val="006F1B00"/>
    <w:rsid w:val="006F1C4E"/>
    <w:rsid w:val="006F2363"/>
    <w:rsid w:val="006F27EE"/>
    <w:rsid w:val="006F3CC0"/>
    <w:rsid w:val="006F4546"/>
    <w:rsid w:val="006F4CAF"/>
    <w:rsid w:val="006F56EF"/>
    <w:rsid w:val="006F61D4"/>
    <w:rsid w:val="006F6608"/>
    <w:rsid w:val="006F681C"/>
    <w:rsid w:val="006F6992"/>
    <w:rsid w:val="006F7218"/>
    <w:rsid w:val="006F7E5B"/>
    <w:rsid w:val="006F7E73"/>
    <w:rsid w:val="00700316"/>
    <w:rsid w:val="00700C24"/>
    <w:rsid w:val="00700DA6"/>
    <w:rsid w:val="00700FDF"/>
    <w:rsid w:val="00701D6C"/>
    <w:rsid w:val="00701F15"/>
    <w:rsid w:val="00701F58"/>
    <w:rsid w:val="007029FA"/>
    <w:rsid w:val="00702A09"/>
    <w:rsid w:val="00702B4F"/>
    <w:rsid w:val="00702CB5"/>
    <w:rsid w:val="00702D93"/>
    <w:rsid w:val="00703863"/>
    <w:rsid w:val="007038E9"/>
    <w:rsid w:val="00704440"/>
    <w:rsid w:val="00705A2E"/>
    <w:rsid w:val="00706854"/>
    <w:rsid w:val="00706CD1"/>
    <w:rsid w:val="00707438"/>
    <w:rsid w:val="00707A69"/>
    <w:rsid w:val="00710197"/>
    <w:rsid w:val="007103D3"/>
    <w:rsid w:val="007107A1"/>
    <w:rsid w:val="00710CFB"/>
    <w:rsid w:val="00711706"/>
    <w:rsid w:val="00711D8B"/>
    <w:rsid w:val="00712EF7"/>
    <w:rsid w:val="00713942"/>
    <w:rsid w:val="00713BF2"/>
    <w:rsid w:val="00713BFD"/>
    <w:rsid w:val="0071403E"/>
    <w:rsid w:val="00714EFC"/>
    <w:rsid w:val="00715B3E"/>
    <w:rsid w:val="00715CDF"/>
    <w:rsid w:val="00716029"/>
    <w:rsid w:val="00717200"/>
    <w:rsid w:val="0072031E"/>
    <w:rsid w:val="00720867"/>
    <w:rsid w:val="00720B23"/>
    <w:rsid w:val="007212FE"/>
    <w:rsid w:val="0072197B"/>
    <w:rsid w:val="007226C5"/>
    <w:rsid w:val="00722B28"/>
    <w:rsid w:val="00722E43"/>
    <w:rsid w:val="00723065"/>
    <w:rsid w:val="007232B6"/>
    <w:rsid w:val="007238B5"/>
    <w:rsid w:val="007238E8"/>
    <w:rsid w:val="00723BCB"/>
    <w:rsid w:val="007249CE"/>
    <w:rsid w:val="00724C77"/>
    <w:rsid w:val="00725451"/>
    <w:rsid w:val="00725AF1"/>
    <w:rsid w:val="007260C2"/>
    <w:rsid w:val="00726268"/>
    <w:rsid w:val="00727459"/>
    <w:rsid w:val="00727B5F"/>
    <w:rsid w:val="00727FA7"/>
    <w:rsid w:val="007308E1"/>
    <w:rsid w:val="00730D29"/>
    <w:rsid w:val="007311EB"/>
    <w:rsid w:val="00731338"/>
    <w:rsid w:val="00731AEA"/>
    <w:rsid w:val="00732016"/>
    <w:rsid w:val="0073257D"/>
    <w:rsid w:val="00732C8F"/>
    <w:rsid w:val="00732F63"/>
    <w:rsid w:val="0073337D"/>
    <w:rsid w:val="00733464"/>
    <w:rsid w:val="00733C09"/>
    <w:rsid w:val="00733D15"/>
    <w:rsid w:val="00733D99"/>
    <w:rsid w:val="007345A4"/>
    <w:rsid w:val="00734CB8"/>
    <w:rsid w:val="00734DC3"/>
    <w:rsid w:val="007355CF"/>
    <w:rsid w:val="00736484"/>
    <w:rsid w:val="00736954"/>
    <w:rsid w:val="00737064"/>
    <w:rsid w:val="00737219"/>
    <w:rsid w:val="00737542"/>
    <w:rsid w:val="0073781B"/>
    <w:rsid w:val="007378DA"/>
    <w:rsid w:val="007407BC"/>
    <w:rsid w:val="00740877"/>
    <w:rsid w:val="00740B50"/>
    <w:rsid w:val="00740E5A"/>
    <w:rsid w:val="00740F08"/>
    <w:rsid w:val="00740F0C"/>
    <w:rsid w:val="0074170F"/>
    <w:rsid w:val="0074175B"/>
    <w:rsid w:val="00741787"/>
    <w:rsid w:val="00741A5D"/>
    <w:rsid w:val="00741B2A"/>
    <w:rsid w:val="00741D2F"/>
    <w:rsid w:val="00741E3A"/>
    <w:rsid w:val="00743026"/>
    <w:rsid w:val="00743500"/>
    <w:rsid w:val="007439E0"/>
    <w:rsid w:val="00744518"/>
    <w:rsid w:val="0074459F"/>
    <w:rsid w:val="007451D2"/>
    <w:rsid w:val="00745DF1"/>
    <w:rsid w:val="00745EC5"/>
    <w:rsid w:val="007477BA"/>
    <w:rsid w:val="0074780C"/>
    <w:rsid w:val="00747B42"/>
    <w:rsid w:val="00747F69"/>
    <w:rsid w:val="00747FB4"/>
    <w:rsid w:val="0075020C"/>
    <w:rsid w:val="00750B90"/>
    <w:rsid w:val="00751864"/>
    <w:rsid w:val="00751E21"/>
    <w:rsid w:val="0075274F"/>
    <w:rsid w:val="007527E8"/>
    <w:rsid w:val="00752906"/>
    <w:rsid w:val="00752B6C"/>
    <w:rsid w:val="00752C10"/>
    <w:rsid w:val="00752F7E"/>
    <w:rsid w:val="00753113"/>
    <w:rsid w:val="007533E1"/>
    <w:rsid w:val="0075420A"/>
    <w:rsid w:val="00754FB6"/>
    <w:rsid w:val="0075574A"/>
    <w:rsid w:val="00756C13"/>
    <w:rsid w:val="00756CC1"/>
    <w:rsid w:val="00756E5C"/>
    <w:rsid w:val="007600F8"/>
    <w:rsid w:val="007606FD"/>
    <w:rsid w:val="00760C2D"/>
    <w:rsid w:val="007611D7"/>
    <w:rsid w:val="0076186E"/>
    <w:rsid w:val="007620E9"/>
    <w:rsid w:val="00762DBF"/>
    <w:rsid w:val="00762F64"/>
    <w:rsid w:val="007636F0"/>
    <w:rsid w:val="0076370C"/>
    <w:rsid w:val="00763CA5"/>
    <w:rsid w:val="00763E7F"/>
    <w:rsid w:val="007644CF"/>
    <w:rsid w:val="0076459C"/>
    <w:rsid w:val="00764B9C"/>
    <w:rsid w:val="00765CA9"/>
    <w:rsid w:val="0076635D"/>
    <w:rsid w:val="00766368"/>
    <w:rsid w:val="00767CD4"/>
    <w:rsid w:val="00770659"/>
    <w:rsid w:val="00770DC1"/>
    <w:rsid w:val="00771A2B"/>
    <w:rsid w:val="00771A68"/>
    <w:rsid w:val="00772352"/>
    <w:rsid w:val="007726EE"/>
    <w:rsid w:val="00772C20"/>
    <w:rsid w:val="00772C23"/>
    <w:rsid w:val="00772FD4"/>
    <w:rsid w:val="007732EC"/>
    <w:rsid w:val="00773D5C"/>
    <w:rsid w:val="00775005"/>
    <w:rsid w:val="0077595A"/>
    <w:rsid w:val="00775B3A"/>
    <w:rsid w:val="00776E9C"/>
    <w:rsid w:val="00780B99"/>
    <w:rsid w:val="0078258B"/>
    <w:rsid w:val="00782E7F"/>
    <w:rsid w:val="00783127"/>
    <w:rsid w:val="0078377A"/>
    <w:rsid w:val="00783CF1"/>
    <w:rsid w:val="0078463A"/>
    <w:rsid w:val="00784A31"/>
    <w:rsid w:val="00785358"/>
    <w:rsid w:val="00785D0F"/>
    <w:rsid w:val="00785DA0"/>
    <w:rsid w:val="0078611E"/>
    <w:rsid w:val="00786220"/>
    <w:rsid w:val="00787A0F"/>
    <w:rsid w:val="007905D9"/>
    <w:rsid w:val="00790CE9"/>
    <w:rsid w:val="00790ED7"/>
    <w:rsid w:val="00790F8E"/>
    <w:rsid w:val="0079107F"/>
    <w:rsid w:val="0079205D"/>
    <w:rsid w:val="007920AB"/>
    <w:rsid w:val="007923F1"/>
    <w:rsid w:val="0079341D"/>
    <w:rsid w:val="007937E4"/>
    <w:rsid w:val="0079439A"/>
    <w:rsid w:val="007947B7"/>
    <w:rsid w:val="00794872"/>
    <w:rsid w:val="00794AC7"/>
    <w:rsid w:val="00794F3A"/>
    <w:rsid w:val="00795249"/>
    <w:rsid w:val="00795317"/>
    <w:rsid w:val="00795592"/>
    <w:rsid w:val="00796363"/>
    <w:rsid w:val="00796580"/>
    <w:rsid w:val="00796750"/>
    <w:rsid w:val="00796D2E"/>
    <w:rsid w:val="00796FCD"/>
    <w:rsid w:val="00797275"/>
    <w:rsid w:val="0079773D"/>
    <w:rsid w:val="00797747"/>
    <w:rsid w:val="00797828"/>
    <w:rsid w:val="00797B5C"/>
    <w:rsid w:val="007A05D5"/>
    <w:rsid w:val="007A0619"/>
    <w:rsid w:val="007A0D4F"/>
    <w:rsid w:val="007A1EEF"/>
    <w:rsid w:val="007A2114"/>
    <w:rsid w:val="007A280B"/>
    <w:rsid w:val="007A29E8"/>
    <w:rsid w:val="007A30DF"/>
    <w:rsid w:val="007A3F57"/>
    <w:rsid w:val="007A4209"/>
    <w:rsid w:val="007A4C4A"/>
    <w:rsid w:val="007A4C78"/>
    <w:rsid w:val="007A65BB"/>
    <w:rsid w:val="007A67ED"/>
    <w:rsid w:val="007A6A32"/>
    <w:rsid w:val="007A6F3C"/>
    <w:rsid w:val="007A6F5E"/>
    <w:rsid w:val="007A735E"/>
    <w:rsid w:val="007A7734"/>
    <w:rsid w:val="007A7FFE"/>
    <w:rsid w:val="007B0CEF"/>
    <w:rsid w:val="007B0E08"/>
    <w:rsid w:val="007B168D"/>
    <w:rsid w:val="007B1A8C"/>
    <w:rsid w:val="007B22CE"/>
    <w:rsid w:val="007B2D13"/>
    <w:rsid w:val="007B4396"/>
    <w:rsid w:val="007B47A6"/>
    <w:rsid w:val="007B487E"/>
    <w:rsid w:val="007B5F58"/>
    <w:rsid w:val="007B6463"/>
    <w:rsid w:val="007B6B45"/>
    <w:rsid w:val="007B6F8F"/>
    <w:rsid w:val="007B7226"/>
    <w:rsid w:val="007B74A8"/>
    <w:rsid w:val="007B7F21"/>
    <w:rsid w:val="007C04CC"/>
    <w:rsid w:val="007C0678"/>
    <w:rsid w:val="007C09BF"/>
    <w:rsid w:val="007C18F7"/>
    <w:rsid w:val="007C2A4A"/>
    <w:rsid w:val="007C2CBE"/>
    <w:rsid w:val="007C3A20"/>
    <w:rsid w:val="007C54E9"/>
    <w:rsid w:val="007C645F"/>
    <w:rsid w:val="007C6838"/>
    <w:rsid w:val="007C694A"/>
    <w:rsid w:val="007C6B87"/>
    <w:rsid w:val="007C716E"/>
    <w:rsid w:val="007C7522"/>
    <w:rsid w:val="007D06BB"/>
    <w:rsid w:val="007D11E5"/>
    <w:rsid w:val="007D3D4C"/>
    <w:rsid w:val="007D3F5D"/>
    <w:rsid w:val="007D47C0"/>
    <w:rsid w:val="007D4E79"/>
    <w:rsid w:val="007D5C4E"/>
    <w:rsid w:val="007D5E39"/>
    <w:rsid w:val="007D658D"/>
    <w:rsid w:val="007D68AA"/>
    <w:rsid w:val="007D68E5"/>
    <w:rsid w:val="007D7C10"/>
    <w:rsid w:val="007E01B4"/>
    <w:rsid w:val="007E046C"/>
    <w:rsid w:val="007E09D2"/>
    <w:rsid w:val="007E0BED"/>
    <w:rsid w:val="007E0D1C"/>
    <w:rsid w:val="007E12AD"/>
    <w:rsid w:val="007E19AE"/>
    <w:rsid w:val="007E2FC8"/>
    <w:rsid w:val="007E3519"/>
    <w:rsid w:val="007E3736"/>
    <w:rsid w:val="007E38A8"/>
    <w:rsid w:val="007E3BF1"/>
    <w:rsid w:val="007E3E91"/>
    <w:rsid w:val="007E4038"/>
    <w:rsid w:val="007E40E3"/>
    <w:rsid w:val="007E4460"/>
    <w:rsid w:val="007E5CB3"/>
    <w:rsid w:val="007E6088"/>
    <w:rsid w:val="007E66D4"/>
    <w:rsid w:val="007E6776"/>
    <w:rsid w:val="007E69C6"/>
    <w:rsid w:val="007E6BCA"/>
    <w:rsid w:val="007E6E27"/>
    <w:rsid w:val="007E70C2"/>
    <w:rsid w:val="007E7A49"/>
    <w:rsid w:val="007F0398"/>
    <w:rsid w:val="007F0820"/>
    <w:rsid w:val="007F09D1"/>
    <w:rsid w:val="007F0CDB"/>
    <w:rsid w:val="007F0E68"/>
    <w:rsid w:val="007F106C"/>
    <w:rsid w:val="007F116E"/>
    <w:rsid w:val="007F1300"/>
    <w:rsid w:val="007F150B"/>
    <w:rsid w:val="007F15F7"/>
    <w:rsid w:val="007F19ED"/>
    <w:rsid w:val="007F1B4A"/>
    <w:rsid w:val="007F1D85"/>
    <w:rsid w:val="007F2363"/>
    <w:rsid w:val="007F2F4A"/>
    <w:rsid w:val="007F329E"/>
    <w:rsid w:val="007F3D1F"/>
    <w:rsid w:val="007F424A"/>
    <w:rsid w:val="007F42E2"/>
    <w:rsid w:val="007F45A7"/>
    <w:rsid w:val="007F460D"/>
    <w:rsid w:val="007F4671"/>
    <w:rsid w:val="007F5712"/>
    <w:rsid w:val="007F6154"/>
    <w:rsid w:val="007F68DB"/>
    <w:rsid w:val="007F6A5B"/>
    <w:rsid w:val="007F6C83"/>
    <w:rsid w:val="007F71FC"/>
    <w:rsid w:val="007F7B00"/>
    <w:rsid w:val="00800210"/>
    <w:rsid w:val="00801966"/>
    <w:rsid w:val="008019EB"/>
    <w:rsid w:val="008024DF"/>
    <w:rsid w:val="008026F3"/>
    <w:rsid w:val="0080276F"/>
    <w:rsid w:val="00802C7F"/>
    <w:rsid w:val="00803953"/>
    <w:rsid w:val="00805230"/>
    <w:rsid w:val="00805BD0"/>
    <w:rsid w:val="00805D57"/>
    <w:rsid w:val="00806580"/>
    <w:rsid w:val="00806C1C"/>
    <w:rsid w:val="00807681"/>
    <w:rsid w:val="00811B04"/>
    <w:rsid w:val="00811DFC"/>
    <w:rsid w:val="00811F33"/>
    <w:rsid w:val="00811F62"/>
    <w:rsid w:val="008122E9"/>
    <w:rsid w:val="008122FE"/>
    <w:rsid w:val="00812491"/>
    <w:rsid w:val="00812A47"/>
    <w:rsid w:val="00812FEC"/>
    <w:rsid w:val="0081354B"/>
    <w:rsid w:val="00813CFC"/>
    <w:rsid w:val="00813EE3"/>
    <w:rsid w:val="00814712"/>
    <w:rsid w:val="00814A46"/>
    <w:rsid w:val="00814B6C"/>
    <w:rsid w:val="00814DA3"/>
    <w:rsid w:val="00815372"/>
    <w:rsid w:val="0081568D"/>
    <w:rsid w:val="00815D93"/>
    <w:rsid w:val="0081731B"/>
    <w:rsid w:val="00817775"/>
    <w:rsid w:val="00817FDD"/>
    <w:rsid w:val="00820637"/>
    <w:rsid w:val="00820A42"/>
    <w:rsid w:val="00820B1D"/>
    <w:rsid w:val="00820CC2"/>
    <w:rsid w:val="00820CF1"/>
    <w:rsid w:val="00821322"/>
    <w:rsid w:val="00821FCD"/>
    <w:rsid w:val="00822244"/>
    <w:rsid w:val="00822572"/>
    <w:rsid w:val="008229C3"/>
    <w:rsid w:val="0082308D"/>
    <w:rsid w:val="0082337B"/>
    <w:rsid w:val="00823DDD"/>
    <w:rsid w:val="00823F91"/>
    <w:rsid w:val="008240C9"/>
    <w:rsid w:val="00824EDE"/>
    <w:rsid w:val="008257CA"/>
    <w:rsid w:val="008258EA"/>
    <w:rsid w:val="00825C69"/>
    <w:rsid w:val="00825F35"/>
    <w:rsid w:val="0082688F"/>
    <w:rsid w:val="00826A7F"/>
    <w:rsid w:val="00826C30"/>
    <w:rsid w:val="0082731F"/>
    <w:rsid w:val="0083007A"/>
    <w:rsid w:val="008301BA"/>
    <w:rsid w:val="00830C27"/>
    <w:rsid w:val="00831289"/>
    <w:rsid w:val="00831315"/>
    <w:rsid w:val="008321DC"/>
    <w:rsid w:val="008323C3"/>
    <w:rsid w:val="00832623"/>
    <w:rsid w:val="0083317D"/>
    <w:rsid w:val="00833731"/>
    <w:rsid w:val="00833AA5"/>
    <w:rsid w:val="00833C71"/>
    <w:rsid w:val="00833E2B"/>
    <w:rsid w:val="00833E92"/>
    <w:rsid w:val="008341EF"/>
    <w:rsid w:val="00834375"/>
    <w:rsid w:val="00835A88"/>
    <w:rsid w:val="008360CA"/>
    <w:rsid w:val="00836702"/>
    <w:rsid w:val="00836B3A"/>
    <w:rsid w:val="00837A7A"/>
    <w:rsid w:val="00837B63"/>
    <w:rsid w:val="00837E00"/>
    <w:rsid w:val="00837EBF"/>
    <w:rsid w:val="0084018B"/>
    <w:rsid w:val="00841734"/>
    <w:rsid w:val="008417E8"/>
    <w:rsid w:val="00841ED6"/>
    <w:rsid w:val="00842107"/>
    <w:rsid w:val="008433B1"/>
    <w:rsid w:val="00844459"/>
    <w:rsid w:val="008445D6"/>
    <w:rsid w:val="008452D6"/>
    <w:rsid w:val="00845720"/>
    <w:rsid w:val="00845B59"/>
    <w:rsid w:val="00845B88"/>
    <w:rsid w:val="008463CE"/>
    <w:rsid w:val="008471A8"/>
    <w:rsid w:val="008471F7"/>
    <w:rsid w:val="0084731E"/>
    <w:rsid w:val="00847381"/>
    <w:rsid w:val="0084791F"/>
    <w:rsid w:val="00847EBA"/>
    <w:rsid w:val="00850484"/>
    <w:rsid w:val="00850DB4"/>
    <w:rsid w:val="008510B4"/>
    <w:rsid w:val="00851135"/>
    <w:rsid w:val="008511EB"/>
    <w:rsid w:val="00851C7D"/>
    <w:rsid w:val="00851D4F"/>
    <w:rsid w:val="00852066"/>
    <w:rsid w:val="00852394"/>
    <w:rsid w:val="008528C9"/>
    <w:rsid w:val="00852958"/>
    <w:rsid w:val="0085302E"/>
    <w:rsid w:val="00853155"/>
    <w:rsid w:val="008537B6"/>
    <w:rsid w:val="00853C24"/>
    <w:rsid w:val="00853F4A"/>
    <w:rsid w:val="00854D61"/>
    <w:rsid w:val="00854F20"/>
    <w:rsid w:val="00855120"/>
    <w:rsid w:val="00855D48"/>
    <w:rsid w:val="00855E7B"/>
    <w:rsid w:val="008564E1"/>
    <w:rsid w:val="008565F4"/>
    <w:rsid w:val="00856704"/>
    <w:rsid w:val="00856DF4"/>
    <w:rsid w:val="00856E04"/>
    <w:rsid w:val="00857421"/>
    <w:rsid w:val="0085747E"/>
    <w:rsid w:val="00857574"/>
    <w:rsid w:val="00857A98"/>
    <w:rsid w:val="00860307"/>
    <w:rsid w:val="00860A54"/>
    <w:rsid w:val="00860CBE"/>
    <w:rsid w:val="008620CC"/>
    <w:rsid w:val="0086240D"/>
    <w:rsid w:val="008626B4"/>
    <w:rsid w:val="00862AE6"/>
    <w:rsid w:val="00862FA1"/>
    <w:rsid w:val="0086356B"/>
    <w:rsid w:val="00863AE2"/>
    <w:rsid w:val="00863B98"/>
    <w:rsid w:val="00864153"/>
    <w:rsid w:val="00864212"/>
    <w:rsid w:val="00864B6D"/>
    <w:rsid w:val="00864B8A"/>
    <w:rsid w:val="00864D9E"/>
    <w:rsid w:val="00864EF2"/>
    <w:rsid w:val="00864F79"/>
    <w:rsid w:val="0086564E"/>
    <w:rsid w:val="00865AD0"/>
    <w:rsid w:val="00865DC5"/>
    <w:rsid w:val="00865F51"/>
    <w:rsid w:val="00865F67"/>
    <w:rsid w:val="00866187"/>
    <w:rsid w:val="00866525"/>
    <w:rsid w:val="00866D0E"/>
    <w:rsid w:val="00866D41"/>
    <w:rsid w:val="00866F73"/>
    <w:rsid w:val="00867800"/>
    <w:rsid w:val="0087027C"/>
    <w:rsid w:val="00870368"/>
    <w:rsid w:val="00870AF9"/>
    <w:rsid w:val="008711AD"/>
    <w:rsid w:val="00871B01"/>
    <w:rsid w:val="00872479"/>
    <w:rsid w:val="00872A80"/>
    <w:rsid w:val="00872FE1"/>
    <w:rsid w:val="008737AC"/>
    <w:rsid w:val="00873CD1"/>
    <w:rsid w:val="00873CE4"/>
    <w:rsid w:val="008744EB"/>
    <w:rsid w:val="00874999"/>
    <w:rsid w:val="00874B78"/>
    <w:rsid w:val="00875495"/>
    <w:rsid w:val="008755B7"/>
    <w:rsid w:val="00875E8A"/>
    <w:rsid w:val="008763DF"/>
    <w:rsid w:val="008768A7"/>
    <w:rsid w:val="00876C43"/>
    <w:rsid w:val="00876F19"/>
    <w:rsid w:val="008774A2"/>
    <w:rsid w:val="008820A9"/>
    <w:rsid w:val="0088236C"/>
    <w:rsid w:val="0088372A"/>
    <w:rsid w:val="00883FD3"/>
    <w:rsid w:val="00884DA5"/>
    <w:rsid w:val="00884F81"/>
    <w:rsid w:val="0088509F"/>
    <w:rsid w:val="00885180"/>
    <w:rsid w:val="00885711"/>
    <w:rsid w:val="0088581D"/>
    <w:rsid w:val="00885AB9"/>
    <w:rsid w:val="00885BC0"/>
    <w:rsid w:val="00886E5D"/>
    <w:rsid w:val="00887698"/>
    <w:rsid w:val="00887886"/>
    <w:rsid w:val="00887FF9"/>
    <w:rsid w:val="0089006A"/>
    <w:rsid w:val="008908C8"/>
    <w:rsid w:val="00890DAF"/>
    <w:rsid w:val="00891BA4"/>
    <w:rsid w:val="00891C7F"/>
    <w:rsid w:val="00892542"/>
    <w:rsid w:val="008929C5"/>
    <w:rsid w:val="00892C13"/>
    <w:rsid w:val="008932EE"/>
    <w:rsid w:val="0089342E"/>
    <w:rsid w:val="00893C88"/>
    <w:rsid w:val="008941D2"/>
    <w:rsid w:val="008948A2"/>
    <w:rsid w:val="008952DC"/>
    <w:rsid w:val="00896379"/>
    <w:rsid w:val="00897865"/>
    <w:rsid w:val="00897967"/>
    <w:rsid w:val="00897CB1"/>
    <w:rsid w:val="00897D8F"/>
    <w:rsid w:val="008A00AA"/>
    <w:rsid w:val="008A0145"/>
    <w:rsid w:val="008A0B8A"/>
    <w:rsid w:val="008A26EF"/>
    <w:rsid w:val="008A26F5"/>
    <w:rsid w:val="008A2DBF"/>
    <w:rsid w:val="008A4094"/>
    <w:rsid w:val="008A40F2"/>
    <w:rsid w:val="008A46A6"/>
    <w:rsid w:val="008A4B91"/>
    <w:rsid w:val="008A4F09"/>
    <w:rsid w:val="008A5705"/>
    <w:rsid w:val="008A58F8"/>
    <w:rsid w:val="008A600E"/>
    <w:rsid w:val="008A652F"/>
    <w:rsid w:val="008A6B97"/>
    <w:rsid w:val="008A6C99"/>
    <w:rsid w:val="008A7052"/>
    <w:rsid w:val="008A72B0"/>
    <w:rsid w:val="008A76FC"/>
    <w:rsid w:val="008A797E"/>
    <w:rsid w:val="008A7D09"/>
    <w:rsid w:val="008B0571"/>
    <w:rsid w:val="008B05D9"/>
    <w:rsid w:val="008B082A"/>
    <w:rsid w:val="008B0DF0"/>
    <w:rsid w:val="008B14CA"/>
    <w:rsid w:val="008B1566"/>
    <w:rsid w:val="008B173D"/>
    <w:rsid w:val="008B1C45"/>
    <w:rsid w:val="008B39A0"/>
    <w:rsid w:val="008B39B8"/>
    <w:rsid w:val="008B3AA1"/>
    <w:rsid w:val="008B4158"/>
    <w:rsid w:val="008B42AF"/>
    <w:rsid w:val="008B455D"/>
    <w:rsid w:val="008B461E"/>
    <w:rsid w:val="008B464B"/>
    <w:rsid w:val="008B4934"/>
    <w:rsid w:val="008B4D64"/>
    <w:rsid w:val="008B4FA2"/>
    <w:rsid w:val="008B54FE"/>
    <w:rsid w:val="008B62FA"/>
    <w:rsid w:val="008B632D"/>
    <w:rsid w:val="008B67A1"/>
    <w:rsid w:val="008B6969"/>
    <w:rsid w:val="008B6EE9"/>
    <w:rsid w:val="008B7776"/>
    <w:rsid w:val="008B7AC2"/>
    <w:rsid w:val="008C0042"/>
    <w:rsid w:val="008C00FD"/>
    <w:rsid w:val="008C0583"/>
    <w:rsid w:val="008C06FF"/>
    <w:rsid w:val="008C0B8F"/>
    <w:rsid w:val="008C241B"/>
    <w:rsid w:val="008C2721"/>
    <w:rsid w:val="008C2F8B"/>
    <w:rsid w:val="008C3B54"/>
    <w:rsid w:val="008C3C6D"/>
    <w:rsid w:val="008C4619"/>
    <w:rsid w:val="008C53BD"/>
    <w:rsid w:val="008C5A9F"/>
    <w:rsid w:val="008C5EC1"/>
    <w:rsid w:val="008C5F33"/>
    <w:rsid w:val="008C6127"/>
    <w:rsid w:val="008C6187"/>
    <w:rsid w:val="008C62A5"/>
    <w:rsid w:val="008C6403"/>
    <w:rsid w:val="008C67F8"/>
    <w:rsid w:val="008C6C4F"/>
    <w:rsid w:val="008C6FF5"/>
    <w:rsid w:val="008C749F"/>
    <w:rsid w:val="008C7AC7"/>
    <w:rsid w:val="008D016D"/>
    <w:rsid w:val="008D02F6"/>
    <w:rsid w:val="008D05CC"/>
    <w:rsid w:val="008D0757"/>
    <w:rsid w:val="008D1657"/>
    <w:rsid w:val="008D19E4"/>
    <w:rsid w:val="008D1A0F"/>
    <w:rsid w:val="008D1B24"/>
    <w:rsid w:val="008D22C0"/>
    <w:rsid w:val="008D26B4"/>
    <w:rsid w:val="008D292F"/>
    <w:rsid w:val="008D38B5"/>
    <w:rsid w:val="008D3945"/>
    <w:rsid w:val="008D41F9"/>
    <w:rsid w:val="008D42B7"/>
    <w:rsid w:val="008D4D8D"/>
    <w:rsid w:val="008D4E84"/>
    <w:rsid w:val="008D5A08"/>
    <w:rsid w:val="008D5DE0"/>
    <w:rsid w:val="008D5EB9"/>
    <w:rsid w:val="008D774F"/>
    <w:rsid w:val="008E09B6"/>
    <w:rsid w:val="008E17AC"/>
    <w:rsid w:val="008E1BAA"/>
    <w:rsid w:val="008E1C4E"/>
    <w:rsid w:val="008E1E06"/>
    <w:rsid w:val="008E21AB"/>
    <w:rsid w:val="008E2A26"/>
    <w:rsid w:val="008E2CEE"/>
    <w:rsid w:val="008E3C8B"/>
    <w:rsid w:val="008E4372"/>
    <w:rsid w:val="008E445F"/>
    <w:rsid w:val="008E4593"/>
    <w:rsid w:val="008E54DE"/>
    <w:rsid w:val="008E55B7"/>
    <w:rsid w:val="008E5913"/>
    <w:rsid w:val="008E6150"/>
    <w:rsid w:val="008E6FF8"/>
    <w:rsid w:val="008E737E"/>
    <w:rsid w:val="008E7800"/>
    <w:rsid w:val="008E7AA9"/>
    <w:rsid w:val="008E7AF5"/>
    <w:rsid w:val="008E7C9A"/>
    <w:rsid w:val="008F1CDC"/>
    <w:rsid w:val="008F22EA"/>
    <w:rsid w:val="008F275B"/>
    <w:rsid w:val="008F2781"/>
    <w:rsid w:val="008F3111"/>
    <w:rsid w:val="008F3253"/>
    <w:rsid w:val="008F367E"/>
    <w:rsid w:val="008F3694"/>
    <w:rsid w:val="008F369D"/>
    <w:rsid w:val="008F3785"/>
    <w:rsid w:val="008F3CEF"/>
    <w:rsid w:val="008F4405"/>
    <w:rsid w:val="008F44D2"/>
    <w:rsid w:val="008F528C"/>
    <w:rsid w:val="008F5BAA"/>
    <w:rsid w:val="008F5C29"/>
    <w:rsid w:val="008F6951"/>
    <w:rsid w:val="008F6A1C"/>
    <w:rsid w:val="008F6D61"/>
    <w:rsid w:val="008F6E30"/>
    <w:rsid w:val="008F75BC"/>
    <w:rsid w:val="008F7747"/>
    <w:rsid w:val="008F7938"/>
    <w:rsid w:val="008F7DC3"/>
    <w:rsid w:val="0090013F"/>
    <w:rsid w:val="0090065B"/>
    <w:rsid w:val="009012F8"/>
    <w:rsid w:val="0090133F"/>
    <w:rsid w:val="00901E99"/>
    <w:rsid w:val="009022C5"/>
    <w:rsid w:val="009022E1"/>
    <w:rsid w:val="00902878"/>
    <w:rsid w:val="0090386F"/>
    <w:rsid w:val="00904E5C"/>
    <w:rsid w:val="0090525E"/>
    <w:rsid w:val="009058AF"/>
    <w:rsid w:val="00905BF4"/>
    <w:rsid w:val="009062EA"/>
    <w:rsid w:val="0090655B"/>
    <w:rsid w:val="00906AD4"/>
    <w:rsid w:val="00906EA5"/>
    <w:rsid w:val="00906F0E"/>
    <w:rsid w:val="0090739D"/>
    <w:rsid w:val="009077AE"/>
    <w:rsid w:val="00911538"/>
    <w:rsid w:val="00911573"/>
    <w:rsid w:val="00911633"/>
    <w:rsid w:val="00911AB7"/>
    <w:rsid w:val="00911DA1"/>
    <w:rsid w:val="00912365"/>
    <w:rsid w:val="009123F5"/>
    <w:rsid w:val="0091240C"/>
    <w:rsid w:val="0091240F"/>
    <w:rsid w:val="009124EB"/>
    <w:rsid w:val="00912C12"/>
    <w:rsid w:val="009133C7"/>
    <w:rsid w:val="00913736"/>
    <w:rsid w:val="00913AFB"/>
    <w:rsid w:val="00913BE4"/>
    <w:rsid w:val="00913EB0"/>
    <w:rsid w:val="00913F05"/>
    <w:rsid w:val="00913FCC"/>
    <w:rsid w:val="00914038"/>
    <w:rsid w:val="009144F1"/>
    <w:rsid w:val="00914AC7"/>
    <w:rsid w:val="00915129"/>
    <w:rsid w:val="00916177"/>
    <w:rsid w:val="009162C8"/>
    <w:rsid w:val="00916E00"/>
    <w:rsid w:val="00916F63"/>
    <w:rsid w:val="009173D4"/>
    <w:rsid w:val="00917655"/>
    <w:rsid w:val="00917A01"/>
    <w:rsid w:val="00917B79"/>
    <w:rsid w:val="00920A26"/>
    <w:rsid w:val="00921669"/>
    <w:rsid w:val="00921707"/>
    <w:rsid w:val="009219CA"/>
    <w:rsid w:val="00921E13"/>
    <w:rsid w:val="00921FE7"/>
    <w:rsid w:val="009220BD"/>
    <w:rsid w:val="0092233A"/>
    <w:rsid w:val="00922D41"/>
    <w:rsid w:val="00923F25"/>
    <w:rsid w:val="00924717"/>
    <w:rsid w:val="00925862"/>
    <w:rsid w:val="00926205"/>
    <w:rsid w:val="009262BD"/>
    <w:rsid w:val="00926B8A"/>
    <w:rsid w:val="00926BC1"/>
    <w:rsid w:val="00926E74"/>
    <w:rsid w:val="00926ECD"/>
    <w:rsid w:val="009274A7"/>
    <w:rsid w:val="00927991"/>
    <w:rsid w:val="00927B63"/>
    <w:rsid w:val="00927E37"/>
    <w:rsid w:val="00927E9B"/>
    <w:rsid w:val="0093185B"/>
    <w:rsid w:val="00931BEE"/>
    <w:rsid w:val="00931D63"/>
    <w:rsid w:val="009325B4"/>
    <w:rsid w:val="00932C0B"/>
    <w:rsid w:val="0093307C"/>
    <w:rsid w:val="0093325C"/>
    <w:rsid w:val="0093386C"/>
    <w:rsid w:val="00933A0F"/>
    <w:rsid w:val="00933A1F"/>
    <w:rsid w:val="00933F59"/>
    <w:rsid w:val="009344F4"/>
    <w:rsid w:val="009348B4"/>
    <w:rsid w:val="00934D99"/>
    <w:rsid w:val="009350D5"/>
    <w:rsid w:val="00935A5C"/>
    <w:rsid w:val="00935B15"/>
    <w:rsid w:val="00935C0E"/>
    <w:rsid w:val="00935D6C"/>
    <w:rsid w:val="00935E50"/>
    <w:rsid w:val="009370CB"/>
    <w:rsid w:val="009374C7"/>
    <w:rsid w:val="009376B2"/>
    <w:rsid w:val="00937E8D"/>
    <w:rsid w:val="00937F6B"/>
    <w:rsid w:val="00940922"/>
    <w:rsid w:val="00940C98"/>
    <w:rsid w:val="00940F37"/>
    <w:rsid w:val="009413A7"/>
    <w:rsid w:val="00941442"/>
    <w:rsid w:val="00941880"/>
    <w:rsid w:val="00941939"/>
    <w:rsid w:val="00941DBA"/>
    <w:rsid w:val="009429E5"/>
    <w:rsid w:val="00942AC0"/>
    <w:rsid w:val="009437E2"/>
    <w:rsid w:val="00943F98"/>
    <w:rsid w:val="00943FD2"/>
    <w:rsid w:val="00944786"/>
    <w:rsid w:val="009452D4"/>
    <w:rsid w:val="00945991"/>
    <w:rsid w:val="0094635E"/>
    <w:rsid w:val="00947551"/>
    <w:rsid w:val="00947652"/>
    <w:rsid w:val="00947BC5"/>
    <w:rsid w:val="00950A26"/>
    <w:rsid w:val="00951238"/>
    <w:rsid w:val="009524A4"/>
    <w:rsid w:val="009524E3"/>
    <w:rsid w:val="00952F83"/>
    <w:rsid w:val="00953BC4"/>
    <w:rsid w:val="00954596"/>
    <w:rsid w:val="009548DA"/>
    <w:rsid w:val="00954A83"/>
    <w:rsid w:val="00954FF6"/>
    <w:rsid w:val="0095555C"/>
    <w:rsid w:val="00955F52"/>
    <w:rsid w:val="0095620E"/>
    <w:rsid w:val="0095668E"/>
    <w:rsid w:val="00956971"/>
    <w:rsid w:val="00956E4C"/>
    <w:rsid w:val="00957342"/>
    <w:rsid w:val="00957443"/>
    <w:rsid w:val="009574EA"/>
    <w:rsid w:val="00957B0D"/>
    <w:rsid w:val="00957C52"/>
    <w:rsid w:val="00957E90"/>
    <w:rsid w:val="009608C9"/>
    <w:rsid w:val="00960C4D"/>
    <w:rsid w:val="00961004"/>
    <w:rsid w:val="0096135D"/>
    <w:rsid w:val="00961F4B"/>
    <w:rsid w:val="00961F91"/>
    <w:rsid w:val="00962071"/>
    <w:rsid w:val="00962DA5"/>
    <w:rsid w:val="009643F1"/>
    <w:rsid w:val="00964507"/>
    <w:rsid w:val="009647B5"/>
    <w:rsid w:val="00965114"/>
    <w:rsid w:val="009656E0"/>
    <w:rsid w:val="00966170"/>
    <w:rsid w:val="00966AD3"/>
    <w:rsid w:val="00966ADA"/>
    <w:rsid w:val="00967023"/>
    <w:rsid w:val="00967381"/>
    <w:rsid w:val="00967433"/>
    <w:rsid w:val="0096764B"/>
    <w:rsid w:val="00970217"/>
    <w:rsid w:val="009719BF"/>
    <w:rsid w:val="00971CB5"/>
    <w:rsid w:val="00971D5A"/>
    <w:rsid w:val="00971E2D"/>
    <w:rsid w:val="0097268E"/>
    <w:rsid w:val="00973B7B"/>
    <w:rsid w:val="00973E6B"/>
    <w:rsid w:val="00974195"/>
    <w:rsid w:val="0097473C"/>
    <w:rsid w:val="00975623"/>
    <w:rsid w:val="00975C47"/>
    <w:rsid w:val="0097602E"/>
    <w:rsid w:val="009768CF"/>
    <w:rsid w:val="00976E7B"/>
    <w:rsid w:val="00976F03"/>
    <w:rsid w:val="00977323"/>
    <w:rsid w:val="00977524"/>
    <w:rsid w:val="00977B7C"/>
    <w:rsid w:val="00977F14"/>
    <w:rsid w:val="0098110A"/>
    <w:rsid w:val="00981309"/>
    <w:rsid w:val="0098216B"/>
    <w:rsid w:val="0098233A"/>
    <w:rsid w:val="00982C5A"/>
    <w:rsid w:val="009830C5"/>
    <w:rsid w:val="0098350C"/>
    <w:rsid w:val="00983547"/>
    <w:rsid w:val="00983878"/>
    <w:rsid w:val="00983AB2"/>
    <w:rsid w:val="00983E21"/>
    <w:rsid w:val="00984711"/>
    <w:rsid w:val="00985837"/>
    <w:rsid w:val="00985F28"/>
    <w:rsid w:val="00986BB8"/>
    <w:rsid w:val="00990824"/>
    <w:rsid w:val="00990B98"/>
    <w:rsid w:val="00991815"/>
    <w:rsid w:val="00991A73"/>
    <w:rsid w:val="00991F0B"/>
    <w:rsid w:val="0099313D"/>
    <w:rsid w:val="009931B7"/>
    <w:rsid w:val="00993484"/>
    <w:rsid w:val="00993C89"/>
    <w:rsid w:val="00995E4D"/>
    <w:rsid w:val="009969D7"/>
    <w:rsid w:val="009969DF"/>
    <w:rsid w:val="009A08EC"/>
    <w:rsid w:val="009A0A98"/>
    <w:rsid w:val="009A0CAC"/>
    <w:rsid w:val="009A0D3B"/>
    <w:rsid w:val="009A1791"/>
    <w:rsid w:val="009A1822"/>
    <w:rsid w:val="009A19C3"/>
    <w:rsid w:val="009A1E81"/>
    <w:rsid w:val="009A1EC9"/>
    <w:rsid w:val="009A2162"/>
    <w:rsid w:val="009A2667"/>
    <w:rsid w:val="009A2751"/>
    <w:rsid w:val="009A34F4"/>
    <w:rsid w:val="009A35F2"/>
    <w:rsid w:val="009A36D4"/>
    <w:rsid w:val="009A3CBE"/>
    <w:rsid w:val="009A3F92"/>
    <w:rsid w:val="009A3FCE"/>
    <w:rsid w:val="009A40C7"/>
    <w:rsid w:val="009A4B07"/>
    <w:rsid w:val="009A4C77"/>
    <w:rsid w:val="009A4C80"/>
    <w:rsid w:val="009A54D0"/>
    <w:rsid w:val="009A5BEC"/>
    <w:rsid w:val="009A5D4A"/>
    <w:rsid w:val="009A6202"/>
    <w:rsid w:val="009A652C"/>
    <w:rsid w:val="009A682D"/>
    <w:rsid w:val="009A734C"/>
    <w:rsid w:val="009A73D9"/>
    <w:rsid w:val="009A7683"/>
    <w:rsid w:val="009A7923"/>
    <w:rsid w:val="009A7927"/>
    <w:rsid w:val="009A7BBB"/>
    <w:rsid w:val="009A7DB3"/>
    <w:rsid w:val="009B1374"/>
    <w:rsid w:val="009B1376"/>
    <w:rsid w:val="009B14B1"/>
    <w:rsid w:val="009B1503"/>
    <w:rsid w:val="009B211E"/>
    <w:rsid w:val="009B3CDF"/>
    <w:rsid w:val="009B401B"/>
    <w:rsid w:val="009B49E1"/>
    <w:rsid w:val="009B568F"/>
    <w:rsid w:val="009B6BCF"/>
    <w:rsid w:val="009B6D5E"/>
    <w:rsid w:val="009B6DAA"/>
    <w:rsid w:val="009B73D8"/>
    <w:rsid w:val="009B797A"/>
    <w:rsid w:val="009C0432"/>
    <w:rsid w:val="009C268E"/>
    <w:rsid w:val="009C2FCF"/>
    <w:rsid w:val="009C3E9A"/>
    <w:rsid w:val="009C3F27"/>
    <w:rsid w:val="009C3F93"/>
    <w:rsid w:val="009C4B66"/>
    <w:rsid w:val="009C52AC"/>
    <w:rsid w:val="009C5429"/>
    <w:rsid w:val="009C562F"/>
    <w:rsid w:val="009C5758"/>
    <w:rsid w:val="009C5ADF"/>
    <w:rsid w:val="009C5C3F"/>
    <w:rsid w:val="009C604A"/>
    <w:rsid w:val="009C6197"/>
    <w:rsid w:val="009C666C"/>
    <w:rsid w:val="009C66E8"/>
    <w:rsid w:val="009C6B13"/>
    <w:rsid w:val="009C74C3"/>
    <w:rsid w:val="009C7639"/>
    <w:rsid w:val="009C7E2B"/>
    <w:rsid w:val="009D04FE"/>
    <w:rsid w:val="009D10B6"/>
    <w:rsid w:val="009D10C1"/>
    <w:rsid w:val="009D1879"/>
    <w:rsid w:val="009D204D"/>
    <w:rsid w:val="009D2866"/>
    <w:rsid w:val="009D2E3A"/>
    <w:rsid w:val="009D327E"/>
    <w:rsid w:val="009D3781"/>
    <w:rsid w:val="009D385C"/>
    <w:rsid w:val="009D3925"/>
    <w:rsid w:val="009D3B7E"/>
    <w:rsid w:val="009D3FEE"/>
    <w:rsid w:val="009D4CA1"/>
    <w:rsid w:val="009D4D50"/>
    <w:rsid w:val="009D4E8E"/>
    <w:rsid w:val="009D4F1B"/>
    <w:rsid w:val="009D63D5"/>
    <w:rsid w:val="009D657A"/>
    <w:rsid w:val="009D7E24"/>
    <w:rsid w:val="009E0473"/>
    <w:rsid w:val="009E0B95"/>
    <w:rsid w:val="009E0DD2"/>
    <w:rsid w:val="009E1339"/>
    <w:rsid w:val="009E1612"/>
    <w:rsid w:val="009E17D3"/>
    <w:rsid w:val="009E1B14"/>
    <w:rsid w:val="009E1C92"/>
    <w:rsid w:val="009E1EF3"/>
    <w:rsid w:val="009E24D6"/>
    <w:rsid w:val="009E2B91"/>
    <w:rsid w:val="009E2CDB"/>
    <w:rsid w:val="009E3D9A"/>
    <w:rsid w:val="009E49FE"/>
    <w:rsid w:val="009E4D7C"/>
    <w:rsid w:val="009E5EB6"/>
    <w:rsid w:val="009E6B4C"/>
    <w:rsid w:val="009E7562"/>
    <w:rsid w:val="009E77A8"/>
    <w:rsid w:val="009E7E41"/>
    <w:rsid w:val="009F0013"/>
    <w:rsid w:val="009F068F"/>
    <w:rsid w:val="009F0D73"/>
    <w:rsid w:val="009F175E"/>
    <w:rsid w:val="009F18E6"/>
    <w:rsid w:val="009F22CF"/>
    <w:rsid w:val="009F2B5D"/>
    <w:rsid w:val="009F313A"/>
    <w:rsid w:val="009F374A"/>
    <w:rsid w:val="009F3BF0"/>
    <w:rsid w:val="009F4140"/>
    <w:rsid w:val="009F4AEC"/>
    <w:rsid w:val="009F5023"/>
    <w:rsid w:val="009F52DA"/>
    <w:rsid w:val="009F5914"/>
    <w:rsid w:val="009F59F8"/>
    <w:rsid w:val="009F5A77"/>
    <w:rsid w:val="009F5C7C"/>
    <w:rsid w:val="009F5E62"/>
    <w:rsid w:val="009F6A5F"/>
    <w:rsid w:val="009F6E9F"/>
    <w:rsid w:val="00A000B3"/>
    <w:rsid w:val="00A009D8"/>
    <w:rsid w:val="00A00F69"/>
    <w:rsid w:val="00A00FC1"/>
    <w:rsid w:val="00A017D5"/>
    <w:rsid w:val="00A01A18"/>
    <w:rsid w:val="00A01E63"/>
    <w:rsid w:val="00A0201D"/>
    <w:rsid w:val="00A024BB"/>
    <w:rsid w:val="00A02543"/>
    <w:rsid w:val="00A029B4"/>
    <w:rsid w:val="00A02CF7"/>
    <w:rsid w:val="00A02DE1"/>
    <w:rsid w:val="00A02E58"/>
    <w:rsid w:val="00A03337"/>
    <w:rsid w:val="00A03768"/>
    <w:rsid w:val="00A03BBF"/>
    <w:rsid w:val="00A043CF"/>
    <w:rsid w:val="00A05263"/>
    <w:rsid w:val="00A05325"/>
    <w:rsid w:val="00A054D9"/>
    <w:rsid w:val="00A058E9"/>
    <w:rsid w:val="00A065B7"/>
    <w:rsid w:val="00A0714D"/>
    <w:rsid w:val="00A0718F"/>
    <w:rsid w:val="00A07F7A"/>
    <w:rsid w:val="00A10CCC"/>
    <w:rsid w:val="00A10D81"/>
    <w:rsid w:val="00A112D1"/>
    <w:rsid w:val="00A11D4F"/>
    <w:rsid w:val="00A12429"/>
    <w:rsid w:val="00A1245A"/>
    <w:rsid w:val="00A1264F"/>
    <w:rsid w:val="00A1275C"/>
    <w:rsid w:val="00A13484"/>
    <w:rsid w:val="00A13A42"/>
    <w:rsid w:val="00A13D60"/>
    <w:rsid w:val="00A1414D"/>
    <w:rsid w:val="00A1461A"/>
    <w:rsid w:val="00A14D85"/>
    <w:rsid w:val="00A1551D"/>
    <w:rsid w:val="00A155D8"/>
    <w:rsid w:val="00A155EE"/>
    <w:rsid w:val="00A15CBD"/>
    <w:rsid w:val="00A16393"/>
    <w:rsid w:val="00A16E5D"/>
    <w:rsid w:val="00A1738E"/>
    <w:rsid w:val="00A1756C"/>
    <w:rsid w:val="00A20168"/>
    <w:rsid w:val="00A20326"/>
    <w:rsid w:val="00A2044D"/>
    <w:rsid w:val="00A207BE"/>
    <w:rsid w:val="00A20BA3"/>
    <w:rsid w:val="00A20DDA"/>
    <w:rsid w:val="00A21255"/>
    <w:rsid w:val="00A215A5"/>
    <w:rsid w:val="00A21B81"/>
    <w:rsid w:val="00A2357B"/>
    <w:rsid w:val="00A239A6"/>
    <w:rsid w:val="00A23E5A"/>
    <w:rsid w:val="00A24061"/>
    <w:rsid w:val="00A24490"/>
    <w:rsid w:val="00A245FD"/>
    <w:rsid w:val="00A247B7"/>
    <w:rsid w:val="00A24D09"/>
    <w:rsid w:val="00A2595A"/>
    <w:rsid w:val="00A266F1"/>
    <w:rsid w:val="00A267EC"/>
    <w:rsid w:val="00A26942"/>
    <w:rsid w:val="00A26AA9"/>
    <w:rsid w:val="00A26B80"/>
    <w:rsid w:val="00A26E43"/>
    <w:rsid w:val="00A27747"/>
    <w:rsid w:val="00A2774E"/>
    <w:rsid w:val="00A27753"/>
    <w:rsid w:val="00A27BC5"/>
    <w:rsid w:val="00A30044"/>
    <w:rsid w:val="00A30AAF"/>
    <w:rsid w:val="00A33218"/>
    <w:rsid w:val="00A332E0"/>
    <w:rsid w:val="00A3355C"/>
    <w:rsid w:val="00A33651"/>
    <w:rsid w:val="00A33727"/>
    <w:rsid w:val="00A337C6"/>
    <w:rsid w:val="00A33E2A"/>
    <w:rsid w:val="00A34027"/>
    <w:rsid w:val="00A34125"/>
    <w:rsid w:val="00A34A08"/>
    <w:rsid w:val="00A34E64"/>
    <w:rsid w:val="00A35435"/>
    <w:rsid w:val="00A35C21"/>
    <w:rsid w:val="00A37284"/>
    <w:rsid w:val="00A37493"/>
    <w:rsid w:val="00A37A7B"/>
    <w:rsid w:val="00A40748"/>
    <w:rsid w:val="00A408AA"/>
    <w:rsid w:val="00A41274"/>
    <w:rsid w:val="00A413FE"/>
    <w:rsid w:val="00A415CE"/>
    <w:rsid w:val="00A4173A"/>
    <w:rsid w:val="00A419B4"/>
    <w:rsid w:val="00A41AED"/>
    <w:rsid w:val="00A41BA2"/>
    <w:rsid w:val="00A41CD4"/>
    <w:rsid w:val="00A41DE0"/>
    <w:rsid w:val="00A422BB"/>
    <w:rsid w:val="00A424B3"/>
    <w:rsid w:val="00A429C7"/>
    <w:rsid w:val="00A43E34"/>
    <w:rsid w:val="00A44385"/>
    <w:rsid w:val="00A444FB"/>
    <w:rsid w:val="00A44693"/>
    <w:rsid w:val="00A44DED"/>
    <w:rsid w:val="00A44F5F"/>
    <w:rsid w:val="00A45418"/>
    <w:rsid w:val="00A45E34"/>
    <w:rsid w:val="00A45FFB"/>
    <w:rsid w:val="00A46473"/>
    <w:rsid w:val="00A47C3D"/>
    <w:rsid w:val="00A50460"/>
    <w:rsid w:val="00A50697"/>
    <w:rsid w:val="00A50845"/>
    <w:rsid w:val="00A50B38"/>
    <w:rsid w:val="00A50CEE"/>
    <w:rsid w:val="00A51009"/>
    <w:rsid w:val="00A5102E"/>
    <w:rsid w:val="00A5126B"/>
    <w:rsid w:val="00A51EC0"/>
    <w:rsid w:val="00A52075"/>
    <w:rsid w:val="00A524E5"/>
    <w:rsid w:val="00A5318E"/>
    <w:rsid w:val="00A53327"/>
    <w:rsid w:val="00A53498"/>
    <w:rsid w:val="00A53A71"/>
    <w:rsid w:val="00A53D7F"/>
    <w:rsid w:val="00A543B8"/>
    <w:rsid w:val="00A544AE"/>
    <w:rsid w:val="00A553BE"/>
    <w:rsid w:val="00A5574D"/>
    <w:rsid w:val="00A55B15"/>
    <w:rsid w:val="00A561C8"/>
    <w:rsid w:val="00A56812"/>
    <w:rsid w:val="00A5709E"/>
    <w:rsid w:val="00A5725D"/>
    <w:rsid w:val="00A5728D"/>
    <w:rsid w:val="00A57AA0"/>
    <w:rsid w:val="00A57B60"/>
    <w:rsid w:val="00A57FFD"/>
    <w:rsid w:val="00A606B4"/>
    <w:rsid w:val="00A60EEF"/>
    <w:rsid w:val="00A61476"/>
    <w:rsid w:val="00A61DB3"/>
    <w:rsid w:val="00A630BE"/>
    <w:rsid w:val="00A6321C"/>
    <w:rsid w:val="00A63338"/>
    <w:rsid w:val="00A63BF0"/>
    <w:rsid w:val="00A64464"/>
    <w:rsid w:val="00A6463B"/>
    <w:rsid w:val="00A64BAB"/>
    <w:rsid w:val="00A64BD6"/>
    <w:rsid w:val="00A65A84"/>
    <w:rsid w:val="00A66093"/>
    <w:rsid w:val="00A66D40"/>
    <w:rsid w:val="00A67230"/>
    <w:rsid w:val="00A67907"/>
    <w:rsid w:val="00A679E2"/>
    <w:rsid w:val="00A70028"/>
    <w:rsid w:val="00A70D9B"/>
    <w:rsid w:val="00A731E6"/>
    <w:rsid w:val="00A7323F"/>
    <w:rsid w:val="00A73240"/>
    <w:rsid w:val="00A734AC"/>
    <w:rsid w:val="00A73611"/>
    <w:rsid w:val="00A73FF5"/>
    <w:rsid w:val="00A74EF8"/>
    <w:rsid w:val="00A76698"/>
    <w:rsid w:val="00A76AEB"/>
    <w:rsid w:val="00A773AD"/>
    <w:rsid w:val="00A77653"/>
    <w:rsid w:val="00A77707"/>
    <w:rsid w:val="00A803DD"/>
    <w:rsid w:val="00A80743"/>
    <w:rsid w:val="00A80A4D"/>
    <w:rsid w:val="00A80A95"/>
    <w:rsid w:val="00A80D0D"/>
    <w:rsid w:val="00A811AB"/>
    <w:rsid w:val="00A811CC"/>
    <w:rsid w:val="00A82939"/>
    <w:rsid w:val="00A829A0"/>
    <w:rsid w:val="00A837B0"/>
    <w:rsid w:val="00A83810"/>
    <w:rsid w:val="00A838A7"/>
    <w:rsid w:val="00A83C99"/>
    <w:rsid w:val="00A84679"/>
    <w:rsid w:val="00A8475D"/>
    <w:rsid w:val="00A84D86"/>
    <w:rsid w:val="00A85DE3"/>
    <w:rsid w:val="00A86277"/>
    <w:rsid w:val="00A879FE"/>
    <w:rsid w:val="00A87FA6"/>
    <w:rsid w:val="00A90610"/>
    <w:rsid w:val="00A9149B"/>
    <w:rsid w:val="00A915A3"/>
    <w:rsid w:val="00A91B74"/>
    <w:rsid w:val="00A927E0"/>
    <w:rsid w:val="00A939A7"/>
    <w:rsid w:val="00A93A76"/>
    <w:rsid w:val="00A93FAF"/>
    <w:rsid w:val="00A941F4"/>
    <w:rsid w:val="00A942B2"/>
    <w:rsid w:val="00A95429"/>
    <w:rsid w:val="00A95947"/>
    <w:rsid w:val="00A95DC2"/>
    <w:rsid w:val="00A95DD6"/>
    <w:rsid w:val="00A96643"/>
    <w:rsid w:val="00A96BEB"/>
    <w:rsid w:val="00A96F52"/>
    <w:rsid w:val="00A97109"/>
    <w:rsid w:val="00A972B6"/>
    <w:rsid w:val="00A972FB"/>
    <w:rsid w:val="00A97409"/>
    <w:rsid w:val="00A977AF"/>
    <w:rsid w:val="00A977BD"/>
    <w:rsid w:val="00AA007E"/>
    <w:rsid w:val="00AA04A1"/>
    <w:rsid w:val="00AA07A0"/>
    <w:rsid w:val="00AA10E8"/>
    <w:rsid w:val="00AA1212"/>
    <w:rsid w:val="00AA1A0E"/>
    <w:rsid w:val="00AA1A26"/>
    <w:rsid w:val="00AA1D86"/>
    <w:rsid w:val="00AA2AEB"/>
    <w:rsid w:val="00AA2BE9"/>
    <w:rsid w:val="00AA4EF8"/>
    <w:rsid w:val="00AA5584"/>
    <w:rsid w:val="00AA5AEF"/>
    <w:rsid w:val="00AA5B98"/>
    <w:rsid w:val="00AA667A"/>
    <w:rsid w:val="00AA6D45"/>
    <w:rsid w:val="00AA6D64"/>
    <w:rsid w:val="00AA6ECF"/>
    <w:rsid w:val="00AA751D"/>
    <w:rsid w:val="00AA79B3"/>
    <w:rsid w:val="00AB0249"/>
    <w:rsid w:val="00AB029A"/>
    <w:rsid w:val="00AB046D"/>
    <w:rsid w:val="00AB0952"/>
    <w:rsid w:val="00AB0C81"/>
    <w:rsid w:val="00AB0DE2"/>
    <w:rsid w:val="00AB1228"/>
    <w:rsid w:val="00AB13E6"/>
    <w:rsid w:val="00AB15E8"/>
    <w:rsid w:val="00AB1CA9"/>
    <w:rsid w:val="00AB2124"/>
    <w:rsid w:val="00AB2EF7"/>
    <w:rsid w:val="00AB2FD2"/>
    <w:rsid w:val="00AB3710"/>
    <w:rsid w:val="00AB3CDE"/>
    <w:rsid w:val="00AB5F18"/>
    <w:rsid w:val="00AB60E5"/>
    <w:rsid w:val="00AB6444"/>
    <w:rsid w:val="00AB6676"/>
    <w:rsid w:val="00AB66AC"/>
    <w:rsid w:val="00AB749B"/>
    <w:rsid w:val="00AB75AC"/>
    <w:rsid w:val="00AB77A6"/>
    <w:rsid w:val="00AB79DB"/>
    <w:rsid w:val="00AB7C34"/>
    <w:rsid w:val="00AC10FC"/>
    <w:rsid w:val="00AC148F"/>
    <w:rsid w:val="00AC1576"/>
    <w:rsid w:val="00AC162B"/>
    <w:rsid w:val="00AC20EB"/>
    <w:rsid w:val="00AC233C"/>
    <w:rsid w:val="00AC2446"/>
    <w:rsid w:val="00AC257F"/>
    <w:rsid w:val="00AC2C1D"/>
    <w:rsid w:val="00AC2D19"/>
    <w:rsid w:val="00AC328F"/>
    <w:rsid w:val="00AC3FA3"/>
    <w:rsid w:val="00AC5647"/>
    <w:rsid w:val="00AC673F"/>
    <w:rsid w:val="00AC695F"/>
    <w:rsid w:val="00AC7A20"/>
    <w:rsid w:val="00AC7C82"/>
    <w:rsid w:val="00AC7D7D"/>
    <w:rsid w:val="00AD048C"/>
    <w:rsid w:val="00AD0E60"/>
    <w:rsid w:val="00AD1C1B"/>
    <w:rsid w:val="00AD2665"/>
    <w:rsid w:val="00AD34AE"/>
    <w:rsid w:val="00AD4738"/>
    <w:rsid w:val="00AD531D"/>
    <w:rsid w:val="00AD5AB6"/>
    <w:rsid w:val="00AD5C56"/>
    <w:rsid w:val="00AD6D4D"/>
    <w:rsid w:val="00AD7132"/>
    <w:rsid w:val="00AD7266"/>
    <w:rsid w:val="00AD7570"/>
    <w:rsid w:val="00AE01A0"/>
    <w:rsid w:val="00AE0AEB"/>
    <w:rsid w:val="00AE0BDE"/>
    <w:rsid w:val="00AE1A69"/>
    <w:rsid w:val="00AE1D0A"/>
    <w:rsid w:val="00AE2161"/>
    <w:rsid w:val="00AE27EC"/>
    <w:rsid w:val="00AE2B01"/>
    <w:rsid w:val="00AE3370"/>
    <w:rsid w:val="00AE38EF"/>
    <w:rsid w:val="00AE39FE"/>
    <w:rsid w:val="00AE3BAA"/>
    <w:rsid w:val="00AE3BCC"/>
    <w:rsid w:val="00AE4E28"/>
    <w:rsid w:val="00AE4E3D"/>
    <w:rsid w:val="00AE4F2C"/>
    <w:rsid w:val="00AE50E4"/>
    <w:rsid w:val="00AE550E"/>
    <w:rsid w:val="00AE5694"/>
    <w:rsid w:val="00AE5960"/>
    <w:rsid w:val="00AE5B0D"/>
    <w:rsid w:val="00AE6258"/>
    <w:rsid w:val="00AE626D"/>
    <w:rsid w:val="00AE7308"/>
    <w:rsid w:val="00AE76EF"/>
    <w:rsid w:val="00AE7802"/>
    <w:rsid w:val="00AE7A53"/>
    <w:rsid w:val="00AF0478"/>
    <w:rsid w:val="00AF0543"/>
    <w:rsid w:val="00AF0850"/>
    <w:rsid w:val="00AF0DB7"/>
    <w:rsid w:val="00AF139E"/>
    <w:rsid w:val="00AF21EC"/>
    <w:rsid w:val="00AF273A"/>
    <w:rsid w:val="00AF343E"/>
    <w:rsid w:val="00AF35BC"/>
    <w:rsid w:val="00AF35D0"/>
    <w:rsid w:val="00AF3646"/>
    <w:rsid w:val="00AF39E9"/>
    <w:rsid w:val="00AF3A36"/>
    <w:rsid w:val="00AF483D"/>
    <w:rsid w:val="00AF4AD4"/>
    <w:rsid w:val="00AF5089"/>
    <w:rsid w:val="00AF54BE"/>
    <w:rsid w:val="00AF5708"/>
    <w:rsid w:val="00AF5FDF"/>
    <w:rsid w:val="00AF60C6"/>
    <w:rsid w:val="00AF696F"/>
    <w:rsid w:val="00AF7167"/>
    <w:rsid w:val="00AF72F1"/>
    <w:rsid w:val="00AF7656"/>
    <w:rsid w:val="00AF7FC3"/>
    <w:rsid w:val="00B0050F"/>
    <w:rsid w:val="00B0053E"/>
    <w:rsid w:val="00B00696"/>
    <w:rsid w:val="00B01328"/>
    <w:rsid w:val="00B01C69"/>
    <w:rsid w:val="00B0214B"/>
    <w:rsid w:val="00B02542"/>
    <w:rsid w:val="00B02647"/>
    <w:rsid w:val="00B026BA"/>
    <w:rsid w:val="00B03650"/>
    <w:rsid w:val="00B03891"/>
    <w:rsid w:val="00B03E9A"/>
    <w:rsid w:val="00B046C7"/>
    <w:rsid w:val="00B0480D"/>
    <w:rsid w:val="00B04C38"/>
    <w:rsid w:val="00B04DEF"/>
    <w:rsid w:val="00B05683"/>
    <w:rsid w:val="00B0623B"/>
    <w:rsid w:val="00B071BD"/>
    <w:rsid w:val="00B07BBD"/>
    <w:rsid w:val="00B07DA5"/>
    <w:rsid w:val="00B101D2"/>
    <w:rsid w:val="00B102FF"/>
    <w:rsid w:val="00B10B69"/>
    <w:rsid w:val="00B10C44"/>
    <w:rsid w:val="00B111DA"/>
    <w:rsid w:val="00B113DF"/>
    <w:rsid w:val="00B11B42"/>
    <w:rsid w:val="00B1243A"/>
    <w:rsid w:val="00B13460"/>
    <w:rsid w:val="00B13810"/>
    <w:rsid w:val="00B13B55"/>
    <w:rsid w:val="00B13BCE"/>
    <w:rsid w:val="00B13F75"/>
    <w:rsid w:val="00B149B5"/>
    <w:rsid w:val="00B16FA8"/>
    <w:rsid w:val="00B17219"/>
    <w:rsid w:val="00B17759"/>
    <w:rsid w:val="00B17865"/>
    <w:rsid w:val="00B17C3C"/>
    <w:rsid w:val="00B17CF9"/>
    <w:rsid w:val="00B20230"/>
    <w:rsid w:val="00B21225"/>
    <w:rsid w:val="00B21293"/>
    <w:rsid w:val="00B2193B"/>
    <w:rsid w:val="00B21AAF"/>
    <w:rsid w:val="00B21B8B"/>
    <w:rsid w:val="00B221B0"/>
    <w:rsid w:val="00B222A7"/>
    <w:rsid w:val="00B2270B"/>
    <w:rsid w:val="00B227B7"/>
    <w:rsid w:val="00B22E84"/>
    <w:rsid w:val="00B23DF7"/>
    <w:rsid w:val="00B241E1"/>
    <w:rsid w:val="00B24F85"/>
    <w:rsid w:val="00B25336"/>
    <w:rsid w:val="00B255AD"/>
    <w:rsid w:val="00B25B2A"/>
    <w:rsid w:val="00B25E6F"/>
    <w:rsid w:val="00B25EC0"/>
    <w:rsid w:val="00B261B8"/>
    <w:rsid w:val="00B265FC"/>
    <w:rsid w:val="00B27793"/>
    <w:rsid w:val="00B27B67"/>
    <w:rsid w:val="00B27D07"/>
    <w:rsid w:val="00B3066E"/>
    <w:rsid w:val="00B30E7A"/>
    <w:rsid w:val="00B320C9"/>
    <w:rsid w:val="00B32D61"/>
    <w:rsid w:val="00B3394E"/>
    <w:rsid w:val="00B33D21"/>
    <w:rsid w:val="00B3404A"/>
    <w:rsid w:val="00B34425"/>
    <w:rsid w:val="00B34A21"/>
    <w:rsid w:val="00B34B85"/>
    <w:rsid w:val="00B35078"/>
    <w:rsid w:val="00B35693"/>
    <w:rsid w:val="00B36100"/>
    <w:rsid w:val="00B365B5"/>
    <w:rsid w:val="00B367B3"/>
    <w:rsid w:val="00B36EC0"/>
    <w:rsid w:val="00B3715A"/>
    <w:rsid w:val="00B374AE"/>
    <w:rsid w:val="00B37647"/>
    <w:rsid w:val="00B378DA"/>
    <w:rsid w:val="00B37C89"/>
    <w:rsid w:val="00B40572"/>
    <w:rsid w:val="00B40632"/>
    <w:rsid w:val="00B40C5D"/>
    <w:rsid w:val="00B40EF2"/>
    <w:rsid w:val="00B4131C"/>
    <w:rsid w:val="00B4186E"/>
    <w:rsid w:val="00B41963"/>
    <w:rsid w:val="00B41ADE"/>
    <w:rsid w:val="00B41B3C"/>
    <w:rsid w:val="00B41BA2"/>
    <w:rsid w:val="00B42048"/>
    <w:rsid w:val="00B4268B"/>
    <w:rsid w:val="00B42E57"/>
    <w:rsid w:val="00B432E0"/>
    <w:rsid w:val="00B43AD1"/>
    <w:rsid w:val="00B43C66"/>
    <w:rsid w:val="00B443F6"/>
    <w:rsid w:val="00B446A6"/>
    <w:rsid w:val="00B44926"/>
    <w:rsid w:val="00B44E06"/>
    <w:rsid w:val="00B454C9"/>
    <w:rsid w:val="00B45919"/>
    <w:rsid w:val="00B46015"/>
    <w:rsid w:val="00B460B3"/>
    <w:rsid w:val="00B4669B"/>
    <w:rsid w:val="00B468CA"/>
    <w:rsid w:val="00B46957"/>
    <w:rsid w:val="00B472B9"/>
    <w:rsid w:val="00B47A10"/>
    <w:rsid w:val="00B47A62"/>
    <w:rsid w:val="00B506DA"/>
    <w:rsid w:val="00B50C30"/>
    <w:rsid w:val="00B51BAA"/>
    <w:rsid w:val="00B52242"/>
    <w:rsid w:val="00B52312"/>
    <w:rsid w:val="00B52443"/>
    <w:rsid w:val="00B52B5C"/>
    <w:rsid w:val="00B52BFE"/>
    <w:rsid w:val="00B52CAF"/>
    <w:rsid w:val="00B52F85"/>
    <w:rsid w:val="00B5396F"/>
    <w:rsid w:val="00B545B3"/>
    <w:rsid w:val="00B54FC7"/>
    <w:rsid w:val="00B56599"/>
    <w:rsid w:val="00B566CB"/>
    <w:rsid w:val="00B56AD2"/>
    <w:rsid w:val="00B577EA"/>
    <w:rsid w:val="00B60026"/>
    <w:rsid w:val="00B60322"/>
    <w:rsid w:val="00B60721"/>
    <w:rsid w:val="00B6263F"/>
    <w:rsid w:val="00B62F31"/>
    <w:rsid w:val="00B6314B"/>
    <w:rsid w:val="00B64B8D"/>
    <w:rsid w:val="00B64F98"/>
    <w:rsid w:val="00B65342"/>
    <w:rsid w:val="00B67145"/>
    <w:rsid w:val="00B6714C"/>
    <w:rsid w:val="00B67AE7"/>
    <w:rsid w:val="00B67C5F"/>
    <w:rsid w:val="00B70BFF"/>
    <w:rsid w:val="00B70D6D"/>
    <w:rsid w:val="00B714DE"/>
    <w:rsid w:val="00B716F9"/>
    <w:rsid w:val="00B71883"/>
    <w:rsid w:val="00B71975"/>
    <w:rsid w:val="00B72D66"/>
    <w:rsid w:val="00B72DD2"/>
    <w:rsid w:val="00B745B2"/>
    <w:rsid w:val="00B74E20"/>
    <w:rsid w:val="00B7530C"/>
    <w:rsid w:val="00B756DB"/>
    <w:rsid w:val="00B7602C"/>
    <w:rsid w:val="00B77456"/>
    <w:rsid w:val="00B7775D"/>
    <w:rsid w:val="00B77B25"/>
    <w:rsid w:val="00B77C20"/>
    <w:rsid w:val="00B80815"/>
    <w:rsid w:val="00B80EA6"/>
    <w:rsid w:val="00B81676"/>
    <w:rsid w:val="00B81A0E"/>
    <w:rsid w:val="00B82363"/>
    <w:rsid w:val="00B82672"/>
    <w:rsid w:val="00B8276F"/>
    <w:rsid w:val="00B82CF4"/>
    <w:rsid w:val="00B83768"/>
    <w:rsid w:val="00B839B8"/>
    <w:rsid w:val="00B83DE2"/>
    <w:rsid w:val="00B84566"/>
    <w:rsid w:val="00B84C90"/>
    <w:rsid w:val="00B85917"/>
    <w:rsid w:val="00B860A5"/>
    <w:rsid w:val="00B860D9"/>
    <w:rsid w:val="00B8698E"/>
    <w:rsid w:val="00B86DEF"/>
    <w:rsid w:val="00B86E6E"/>
    <w:rsid w:val="00B87282"/>
    <w:rsid w:val="00B87292"/>
    <w:rsid w:val="00B907EF"/>
    <w:rsid w:val="00B91196"/>
    <w:rsid w:val="00B92860"/>
    <w:rsid w:val="00B9379F"/>
    <w:rsid w:val="00B93C9B"/>
    <w:rsid w:val="00B94030"/>
    <w:rsid w:val="00B94234"/>
    <w:rsid w:val="00B944A8"/>
    <w:rsid w:val="00B954DC"/>
    <w:rsid w:val="00B95BE2"/>
    <w:rsid w:val="00B95D5E"/>
    <w:rsid w:val="00B963E4"/>
    <w:rsid w:val="00B965C2"/>
    <w:rsid w:val="00B967A7"/>
    <w:rsid w:val="00B9692B"/>
    <w:rsid w:val="00B96A2B"/>
    <w:rsid w:val="00B972A2"/>
    <w:rsid w:val="00B9774A"/>
    <w:rsid w:val="00BA1458"/>
    <w:rsid w:val="00BA1E4D"/>
    <w:rsid w:val="00BA281F"/>
    <w:rsid w:val="00BA349A"/>
    <w:rsid w:val="00BA362F"/>
    <w:rsid w:val="00BA36FC"/>
    <w:rsid w:val="00BA3933"/>
    <w:rsid w:val="00BA3A6F"/>
    <w:rsid w:val="00BA467F"/>
    <w:rsid w:val="00BA4B26"/>
    <w:rsid w:val="00BA4BCF"/>
    <w:rsid w:val="00BA4E74"/>
    <w:rsid w:val="00BA5784"/>
    <w:rsid w:val="00BA5FE9"/>
    <w:rsid w:val="00BA6126"/>
    <w:rsid w:val="00BA62B7"/>
    <w:rsid w:val="00BA6416"/>
    <w:rsid w:val="00BA6667"/>
    <w:rsid w:val="00BA6814"/>
    <w:rsid w:val="00BA6F16"/>
    <w:rsid w:val="00BA776F"/>
    <w:rsid w:val="00BA79C0"/>
    <w:rsid w:val="00BB003C"/>
    <w:rsid w:val="00BB01B8"/>
    <w:rsid w:val="00BB0F50"/>
    <w:rsid w:val="00BB12FF"/>
    <w:rsid w:val="00BB1368"/>
    <w:rsid w:val="00BB16C0"/>
    <w:rsid w:val="00BB1E9A"/>
    <w:rsid w:val="00BB2517"/>
    <w:rsid w:val="00BB33FE"/>
    <w:rsid w:val="00BB3B0E"/>
    <w:rsid w:val="00BB3CBB"/>
    <w:rsid w:val="00BB409E"/>
    <w:rsid w:val="00BB4DEE"/>
    <w:rsid w:val="00BB513D"/>
    <w:rsid w:val="00BB5200"/>
    <w:rsid w:val="00BB548A"/>
    <w:rsid w:val="00BB5C00"/>
    <w:rsid w:val="00BB5DB2"/>
    <w:rsid w:val="00BB600B"/>
    <w:rsid w:val="00BB609E"/>
    <w:rsid w:val="00BB638D"/>
    <w:rsid w:val="00BB6AB5"/>
    <w:rsid w:val="00BB6E5C"/>
    <w:rsid w:val="00BB75EE"/>
    <w:rsid w:val="00BB78CC"/>
    <w:rsid w:val="00BC0239"/>
    <w:rsid w:val="00BC02BB"/>
    <w:rsid w:val="00BC0A85"/>
    <w:rsid w:val="00BC156C"/>
    <w:rsid w:val="00BC1FA1"/>
    <w:rsid w:val="00BC2945"/>
    <w:rsid w:val="00BC3B95"/>
    <w:rsid w:val="00BC3C31"/>
    <w:rsid w:val="00BC4031"/>
    <w:rsid w:val="00BC470A"/>
    <w:rsid w:val="00BC47BD"/>
    <w:rsid w:val="00BC4A64"/>
    <w:rsid w:val="00BC4B88"/>
    <w:rsid w:val="00BC6065"/>
    <w:rsid w:val="00BC644A"/>
    <w:rsid w:val="00BC6C18"/>
    <w:rsid w:val="00BC6E41"/>
    <w:rsid w:val="00BC6EB4"/>
    <w:rsid w:val="00BD0124"/>
    <w:rsid w:val="00BD0197"/>
    <w:rsid w:val="00BD022B"/>
    <w:rsid w:val="00BD0432"/>
    <w:rsid w:val="00BD04AA"/>
    <w:rsid w:val="00BD0630"/>
    <w:rsid w:val="00BD0757"/>
    <w:rsid w:val="00BD0D32"/>
    <w:rsid w:val="00BD0E03"/>
    <w:rsid w:val="00BD118C"/>
    <w:rsid w:val="00BD18F6"/>
    <w:rsid w:val="00BD1E81"/>
    <w:rsid w:val="00BD291B"/>
    <w:rsid w:val="00BD378C"/>
    <w:rsid w:val="00BD3ACF"/>
    <w:rsid w:val="00BD3AF9"/>
    <w:rsid w:val="00BD3F44"/>
    <w:rsid w:val="00BD55D2"/>
    <w:rsid w:val="00BD5673"/>
    <w:rsid w:val="00BD5790"/>
    <w:rsid w:val="00BD5B30"/>
    <w:rsid w:val="00BD6286"/>
    <w:rsid w:val="00BD6D8B"/>
    <w:rsid w:val="00BD73A3"/>
    <w:rsid w:val="00BD76AB"/>
    <w:rsid w:val="00BD7780"/>
    <w:rsid w:val="00BD794D"/>
    <w:rsid w:val="00BD7E9F"/>
    <w:rsid w:val="00BE0642"/>
    <w:rsid w:val="00BE0D46"/>
    <w:rsid w:val="00BE180C"/>
    <w:rsid w:val="00BE1872"/>
    <w:rsid w:val="00BE2555"/>
    <w:rsid w:val="00BE2ACA"/>
    <w:rsid w:val="00BE3860"/>
    <w:rsid w:val="00BE3AA6"/>
    <w:rsid w:val="00BE43A1"/>
    <w:rsid w:val="00BE4B61"/>
    <w:rsid w:val="00BE53E6"/>
    <w:rsid w:val="00BE644C"/>
    <w:rsid w:val="00BE690C"/>
    <w:rsid w:val="00BE6D81"/>
    <w:rsid w:val="00BE7074"/>
    <w:rsid w:val="00BE757B"/>
    <w:rsid w:val="00BE7C2D"/>
    <w:rsid w:val="00BE7FBE"/>
    <w:rsid w:val="00BF02E5"/>
    <w:rsid w:val="00BF094F"/>
    <w:rsid w:val="00BF0D0F"/>
    <w:rsid w:val="00BF114E"/>
    <w:rsid w:val="00BF118D"/>
    <w:rsid w:val="00BF1954"/>
    <w:rsid w:val="00BF199F"/>
    <w:rsid w:val="00BF1E5C"/>
    <w:rsid w:val="00BF213C"/>
    <w:rsid w:val="00BF25C5"/>
    <w:rsid w:val="00BF2814"/>
    <w:rsid w:val="00BF3358"/>
    <w:rsid w:val="00BF40BD"/>
    <w:rsid w:val="00BF40BE"/>
    <w:rsid w:val="00BF41A7"/>
    <w:rsid w:val="00BF425A"/>
    <w:rsid w:val="00BF4B79"/>
    <w:rsid w:val="00BF4BC0"/>
    <w:rsid w:val="00BF4FAB"/>
    <w:rsid w:val="00BF54F2"/>
    <w:rsid w:val="00BF591F"/>
    <w:rsid w:val="00BF5A46"/>
    <w:rsid w:val="00BF5BB8"/>
    <w:rsid w:val="00BF7F30"/>
    <w:rsid w:val="00C000A4"/>
    <w:rsid w:val="00C0013D"/>
    <w:rsid w:val="00C00370"/>
    <w:rsid w:val="00C0087D"/>
    <w:rsid w:val="00C00C4F"/>
    <w:rsid w:val="00C01D1F"/>
    <w:rsid w:val="00C02173"/>
    <w:rsid w:val="00C02642"/>
    <w:rsid w:val="00C02989"/>
    <w:rsid w:val="00C0316D"/>
    <w:rsid w:val="00C035D5"/>
    <w:rsid w:val="00C035F3"/>
    <w:rsid w:val="00C03C66"/>
    <w:rsid w:val="00C03CBD"/>
    <w:rsid w:val="00C03DBB"/>
    <w:rsid w:val="00C03F10"/>
    <w:rsid w:val="00C04CB6"/>
    <w:rsid w:val="00C057F4"/>
    <w:rsid w:val="00C05DEC"/>
    <w:rsid w:val="00C060EC"/>
    <w:rsid w:val="00C062C9"/>
    <w:rsid w:val="00C06B84"/>
    <w:rsid w:val="00C06B9C"/>
    <w:rsid w:val="00C06EC5"/>
    <w:rsid w:val="00C0745D"/>
    <w:rsid w:val="00C0771E"/>
    <w:rsid w:val="00C10578"/>
    <w:rsid w:val="00C11713"/>
    <w:rsid w:val="00C11CD0"/>
    <w:rsid w:val="00C11E2C"/>
    <w:rsid w:val="00C126AD"/>
    <w:rsid w:val="00C13C84"/>
    <w:rsid w:val="00C14919"/>
    <w:rsid w:val="00C14AAB"/>
    <w:rsid w:val="00C14EDB"/>
    <w:rsid w:val="00C15408"/>
    <w:rsid w:val="00C15C37"/>
    <w:rsid w:val="00C161EF"/>
    <w:rsid w:val="00C166AA"/>
    <w:rsid w:val="00C16B3D"/>
    <w:rsid w:val="00C17080"/>
    <w:rsid w:val="00C1744D"/>
    <w:rsid w:val="00C20F2F"/>
    <w:rsid w:val="00C21B42"/>
    <w:rsid w:val="00C21D9B"/>
    <w:rsid w:val="00C222CE"/>
    <w:rsid w:val="00C22D0C"/>
    <w:rsid w:val="00C22D9B"/>
    <w:rsid w:val="00C22E3A"/>
    <w:rsid w:val="00C2448D"/>
    <w:rsid w:val="00C24533"/>
    <w:rsid w:val="00C246CB"/>
    <w:rsid w:val="00C25405"/>
    <w:rsid w:val="00C25D9E"/>
    <w:rsid w:val="00C26706"/>
    <w:rsid w:val="00C27539"/>
    <w:rsid w:val="00C27ED1"/>
    <w:rsid w:val="00C30886"/>
    <w:rsid w:val="00C30A81"/>
    <w:rsid w:val="00C31020"/>
    <w:rsid w:val="00C313F9"/>
    <w:rsid w:val="00C31AFF"/>
    <w:rsid w:val="00C33434"/>
    <w:rsid w:val="00C33469"/>
    <w:rsid w:val="00C34663"/>
    <w:rsid w:val="00C34B7E"/>
    <w:rsid w:val="00C366D0"/>
    <w:rsid w:val="00C37310"/>
    <w:rsid w:val="00C3754C"/>
    <w:rsid w:val="00C3754F"/>
    <w:rsid w:val="00C37BFE"/>
    <w:rsid w:val="00C37CA9"/>
    <w:rsid w:val="00C37D3C"/>
    <w:rsid w:val="00C37E69"/>
    <w:rsid w:val="00C410FA"/>
    <w:rsid w:val="00C412D4"/>
    <w:rsid w:val="00C42527"/>
    <w:rsid w:val="00C425C5"/>
    <w:rsid w:val="00C425F7"/>
    <w:rsid w:val="00C42AD4"/>
    <w:rsid w:val="00C43A8B"/>
    <w:rsid w:val="00C43E8E"/>
    <w:rsid w:val="00C43F1B"/>
    <w:rsid w:val="00C442A9"/>
    <w:rsid w:val="00C4434C"/>
    <w:rsid w:val="00C44544"/>
    <w:rsid w:val="00C445C8"/>
    <w:rsid w:val="00C447E6"/>
    <w:rsid w:val="00C44B7B"/>
    <w:rsid w:val="00C45E02"/>
    <w:rsid w:val="00C46E15"/>
    <w:rsid w:val="00C47DDB"/>
    <w:rsid w:val="00C47E7A"/>
    <w:rsid w:val="00C47E90"/>
    <w:rsid w:val="00C50801"/>
    <w:rsid w:val="00C51226"/>
    <w:rsid w:val="00C5184D"/>
    <w:rsid w:val="00C51C0E"/>
    <w:rsid w:val="00C51FDC"/>
    <w:rsid w:val="00C520C2"/>
    <w:rsid w:val="00C52695"/>
    <w:rsid w:val="00C53938"/>
    <w:rsid w:val="00C53991"/>
    <w:rsid w:val="00C53A03"/>
    <w:rsid w:val="00C5404F"/>
    <w:rsid w:val="00C54379"/>
    <w:rsid w:val="00C543AC"/>
    <w:rsid w:val="00C546D4"/>
    <w:rsid w:val="00C553A2"/>
    <w:rsid w:val="00C55583"/>
    <w:rsid w:val="00C55B9B"/>
    <w:rsid w:val="00C55F0E"/>
    <w:rsid w:val="00C55FCE"/>
    <w:rsid w:val="00C571DC"/>
    <w:rsid w:val="00C57755"/>
    <w:rsid w:val="00C579E8"/>
    <w:rsid w:val="00C57AF4"/>
    <w:rsid w:val="00C61E8A"/>
    <w:rsid w:val="00C62288"/>
    <w:rsid w:val="00C6251D"/>
    <w:rsid w:val="00C626D6"/>
    <w:rsid w:val="00C6272F"/>
    <w:rsid w:val="00C62994"/>
    <w:rsid w:val="00C63485"/>
    <w:rsid w:val="00C6420F"/>
    <w:rsid w:val="00C64708"/>
    <w:rsid w:val="00C64BAB"/>
    <w:rsid w:val="00C6540D"/>
    <w:rsid w:val="00C65542"/>
    <w:rsid w:val="00C6670B"/>
    <w:rsid w:val="00C66827"/>
    <w:rsid w:val="00C66DB3"/>
    <w:rsid w:val="00C66F31"/>
    <w:rsid w:val="00C7007F"/>
    <w:rsid w:val="00C711FC"/>
    <w:rsid w:val="00C71995"/>
    <w:rsid w:val="00C71F02"/>
    <w:rsid w:val="00C720FC"/>
    <w:rsid w:val="00C72257"/>
    <w:rsid w:val="00C728D2"/>
    <w:rsid w:val="00C72E1F"/>
    <w:rsid w:val="00C738B2"/>
    <w:rsid w:val="00C73E3F"/>
    <w:rsid w:val="00C73EF6"/>
    <w:rsid w:val="00C73F9B"/>
    <w:rsid w:val="00C74979"/>
    <w:rsid w:val="00C7580B"/>
    <w:rsid w:val="00C7624B"/>
    <w:rsid w:val="00C76296"/>
    <w:rsid w:val="00C7633A"/>
    <w:rsid w:val="00C76541"/>
    <w:rsid w:val="00C769F3"/>
    <w:rsid w:val="00C76C9C"/>
    <w:rsid w:val="00C778B2"/>
    <w:rsid w:val="00C77E75"/>
    <w:rsid w:val="00C77F46"/>
    <w:rsid w:val="00C806F6"/>
    <w:rsid w:val="00C80A55"/>
    <w:rsid w:val="00C80E05"/>
    <w:rsid w:val="00C81042"/>
    <w:rsid w:val="00C8113D"/>
    <w:rsid w:val="00C8136D"/>
    <w:rsid w:val="00C817B9"/>
    <w:rsid w:val="00C81D01"/>
    <w:rsid w:val="00C8220C"/>
    <w:rsid w:val="00C822A2"/>
    <w:rsid w:val="00C828EB"/>
    <w:rsid w:val="00C8297A"/>
    <w:rsid w:val="00C82BAE"/>
    <w:rsid w:val="00C8340F"/>
    <w:rsid w:val="00C83939"/>
    <w:rsid w:val="00C8508B"/>
    <w:rsid w:val="00C8581D"/>
    <w:rsid w:val="00C85C0B"/>
    <w:rsid w:val="00C87B58"/>
    <w:rsid w:val="00C87F2E"/>
    <w:rsid w:val="00C90895"/>
    <w:rsid w:val="00C90971"/>
    <w:rsid w:val="00C90B34"/>
    <w:rsid w:val="00C91D58"/>
    <w:rsid w:val="00C927B8"/>
    <w:rsid w:val="00C92B89"/>
    <w:rsid w:val="00C93A9C"/>
    <w:rsid w:val="00C94051"/>
    <w:rsid w:val="00C94343"/>
    <w:rsid w:val="00C94755"/>
    <w:rsid w:val="00C9482D"/>
    <w:rsid w:val="00C94F66"/>
    <w:rsid w:val="00C95BC0"/>
    <w:rsid w:val="00C95E8A"/>
    <w:rsid w:val="00C95FAB"/>
    <w:rsid w:val="00C967D2"/>
    <w:rsid w:val="00C972B0"/>
    <w:rsid w:val="00C97354"/>
    <w:rsid w:val="00C976E1"/>
    <w:rsid w:val="00C97E8A"/>
    <w:rsid w:val="00CA04CE"/>
    <w:rsid w:val="00CA07D9"/>
    <w:rsid w:val="00CA0D13"/>
    <w:rsid w:val="00CA0DCE"/>
    <w:rsid w:val="00CA10B6"/>
    <w:rsid w:val="00CA2C92"/>
    <w:rsid w:val="00CA2F93"/>
    <w:rsid w:val="00CA37D3"/>
    <w:rsid w:val="00CA385C"/>
    <w:rsid w:val="00CA3904"/>
    <w:rsid w:val="00CA3FF9"/>
    <w:rsid w:val="00CA4FDE"/>
    <w:rsid w:val="00CA538A"/>
    <w:rsid w:val="00CA56B2"/>
    <w:rsid w:val="00CA5A5B"/>
    <w:rsid w:val="00CA5C06"/>
    <w:rsid w:val="00CA6433"/>
    <w:rsid w:val="00CA7E0A"/>
    <w:rsid w:val="00CB07F2"/>
    <w:rsid w:val="00CB1063"/>
    <w:rsid w:val="00CB10B7"/>
    <w:rsid w:val="00CB1509"/>
    <w:rsid w:val="00CB169F"/>
    <w:rsid w:val="00CB1B14"/>
    <w:rsid w:val="00CB1F20"/>
    <w:rsid w:val="00CB20DB"/>
    <w:rsid w:val="00CB2BF7"/>
    <w:rsid w:val="00CB3853"/>
    <w:rsid w:val="00CB46C1"/>
    <w:rsid w:val="00CB4882"/>
    <w:rsid w:val="00CB663A"/>
    <w:rsid w:val="00CB69FC"/>
    <w:rsid w:val="00CB7273"/>
    <w:rsid w:val="00CB7463"/>
    <w:rsid w:val="00CB7565"/>
    <w:rsid w:val="00CC00DF"/>
    <w:rsid w:val="00CC111B"/>
    <w:rsid w:val="00CC179E"/>
    <w:rsid w:val="00CC1C96"/>
    <w:rsid w:val="00CC20E4"/>
    <w:rsid w:val="00CC3119"/>
    <w:rsid w:val="00CC319D"/>
    <w:rsid w:val="00CC3318"/>
    <w:rsid w:val="00CC3423"/>
    <w:rsid w:val="00CC3711"/>
    <w:rsid w:val="00CC3D84"/>
    <w:rsid w:val="00CC3E22"/>
    <w:rsid w:val="00CC4383"/>
    <w:rsid w:val="00CC4741"/>
    <w:rsid w:val="00CC4BC1"/>
    <w:rsid w:val="00CC4DE4"/>
    <w:rsid w:val="00CC50AA"/>
    <w:rsid w:val="00CC510D"/>
    <w:rsid w:val="00CC530F"/>
    <w:rsid w:val="00CC543F"/>
    <w:rsid w:val="00CC5544"/>
    <w:rsid w:val="00CC5DB0"/>
    <w:rsid w:val="00CC5E29"/>
    <w:rsid w:val="00CC607C"/>
    <w:rsid w:val="00CC6284"/>
    <w:rsid w:val="00CC6740"/>
    <w:rsid w:val="00CC6C51"/>
    <w:rsid w:val="00CC7CBA"/>
    <w:rsid w:val="00CD06A1"/>
    <w:rsid w:val="00CD0CBD"/>
    <w:rsid w:val="00CD0D0F"/>
    <w:rsid w:val="00CD1168"/>
    <w:rsid w:val="00CD1323"/>
    <w:rsid w:val="00CD17B4"/>
    <w:rsid w:val="00CD1A66"/>
    <w:rsid w:val="00CD1DF9"/>
    <w:rsid w:val="00CD1F37"/>
    <w:rsid w:val="00CD2619"/>
    <w:rsid w:val="00CD2A88"/>
    <w:rsid w:val="00CD38B5"/>
    <w:rsid w:val="00CD4472"/>
    <w:rsid w:val="00CD4766"/>
    <w:rsid w:val="00CD495F"/>
    <w:rsid w:val="00CD4A78"/>
    <w:rsid w:val="00CD5A4F"/>
    <w:rsid w:val="00CD636E"/>
    <w:rsid w:val="00CD7C44"/>
    <w:rsid w:val="00CE0484"/>
    <w:rsid w:val="00CE048C"/>
    <w:rsid w:val="00CE04AC"/>
    <w:rsid w:val="00CE0625"/>
    <w:rsid w:val="00CE064A"/>
    <w:rsid w:val="00CE0A80"/>
    <w:rsid w:val="00CE0B8E"/>
    <w:rsid w:val="00CE0E38"/>
    <w:rsid w:val="00CE18FA"/>
    <w:rsid w:val="00CE1C47"/>
    <w:rsid w:val="00CE1FF6"/>
    <w:rsid w:val="00CE20E8"/>
    <w:rsid w:val="00CE34E1"/>
    <w:rsid w:val="00CE352A"/>
    <w:rsid w:val="00CE3A3E"/>
    <w:rsid w:val="00CE3C4E"/>
    <w:rsid w:val="00CE3E11"/>
    <w:rsid w:val="00CE4D29"/>
    <w:rsid w:val="00CE5605"/>
    <w:rsid w:val="00CE5BD8"/>
    <w:rsid w:val="00CE62EF"/>
    <w:rsid w:val="00CE6D3F"/>
    <w:rsid w:val="00CE734D"/>
    <w:rsid w:val="00CE7654"/>
    <w:rsid w:val="00CE7B32"/>
    <w:rsid w:val="00CE7DA5"/>
    <w:rsid w:val="00CE7F72"/>
    <w:rsid w:val="00CF0477"/>
    <w:rsid w:val="00CF0AD8"/>
    <w:rsid w:val="00CF14B5"/>
    <w:rsid w:val="00CF19D6"/>
    <w:rsid w:val="00CF2426"/>
    <w:rsid w:val="00CF267B"/>
    <w:rsid w:val="00CF2B8E"/>
    <w:rsid w:val="00CF2E85"/>
    <w:rsid w:val="00CF2F9C"/>
    <w:rsid w:val="00CF30B9"/>
    <w:rsid w:val="00CF31F7"/>
    <w:rsid w:val="00CF3426"/>
    <w:rsid w:val="00CF4396"/>
    <w:rsid w:val="00CF4BA0"/>
    <w:rsid w:val="00CF4D7B"/>
    <w:rsid w:val="00CF50EA"/>
    <w:rsid w:val="00CF5DCC"/>
    <w:rsid w:val="00CF626D"/>
    <w:rsid w:val="00CF63EC"/>
    <w:rsid w:val="00CF65D3"/>
    <w:rsid w:val="00CF6BCB"/>
    <w:rsid w:val="00CF7414"/>
    <w:rsid w:val="00CF770A"/>
    <w:rsid w:val="00CF7D8A"/>
    <w:rsid w:val="00CF7EDD"/>
    <w:rsid w:val="00D007DE"/>
    <w:rsid w:val="00D0124A"/>
    <w:rsid w:val="00D016C6"/>
    <w:rsid w:val="00D01945"/>
    <w:rsid w:val="00D01D16"/>
    <w:rsid w:val="00D02329"/>
    <w:rsid w:val="00D02582"/>
    <w:rsid w:val="00D02C71"/>
    <w:rsid w:val="00D03030"/>
    <w:rsid w:val="00D030B5"/>
    <w:rsid w:val="00D03172"/>
    <w:rsid w:val="00D04083"/>
    <w:rsid w:val="00D04674"/>
    <w:rsid w:val="00D0492E"/>
    <w:rsid w:val="00D0525C"/>
    <w:rsid w:val="00D05A70"/>
    <w:rsid w:val="00D065D3"/>
    <w:rsid w:val="00D0694A"/>
    <w:rsid w:val="00D07564"/>
    <w:rsid w:val="00D07AE1"/>
    <w:rsid w:val="00D10159"/>
    <w:rsid w:val="00D10B18"/>
    <w:rsid w:val="00D10DAF"/>
    <w:rsid w:val="00D11206"/>
    <w:rsid w:val="00D11699"/>
    <w:rsid w:val="00D11717"/>
    <w:rsid w:val="00D1232F"/>
    <w:rsid w:val="00D126E3"/>
    <w:rsid w:val="00D1296A"/>
    <w:rsid w:val="00D131F9"/>
    <w:rsid w:val="00D13B45"/>
    <w:rsid w:val="00D13F77"/>
    <w:rsid w:val="00D13FF9"/>
    <w:rsid w:val="00D14228"/>
    <w:rsid w:val="00D14736"/>
    <w:rsid w:val="00D148DE"/>
    <w:rsid w:val="00D14B1C"/>
    <w:rsid w:val="00D1551F"/>
    <w:rsid w:val="00D155AA"/>
    <w:rsid w:val="00D157D5"/>
    <w:rsid w:val="00D15E0A"/>
    <w:rsid w:val="00D160B1"/>
    <w:rsid w:val="00D16963"/>
    <w:rsid w:val="00D16C03"/>
    <w:rsid w:val="00D17117"/>
    <w:rsid w:val="00D17231"/>
    <w:rsid w:val="00D17974"/>
    <w:rsid w:val="00D17D4A"/>
    <w:rsid w:val="00D20A77"/>
    <w:rsid w:val="00D2103D"/>
    <w:rsid w:val="00D211EB"/>
    <w:rsid w:val="00D2171B"/>
    <w:rsid w:val="00D21A05"/>
    <w:rsid w:val="00D22205"/>
    <w:rsid w:val="00D22AF2"/>
    <w:rsid w:val="00D22C86"/>
    <w:rsid w:val="00D2398C"/>
    <w:rsid w:val="00D24CFE"/>
    <w:rsid w:val="00D256F6"/>
    <w:rsid w:val="00D260A3"/>
    <w:rsid w:val="00D2624E"/>
    <w:rsid w:val="00D2659A"/>
    <w:rsid w:val="00D267EA"/>
    <w:rsid w:val="00D269CC"/>
    <w:rsid w:val="00D2700F"/>
    <w:rsid w:val="00D2732B"/>
    <w:rsid w:val="00D27649"/>
    <w:rsid w:val="00D308C7"/>
    <w:rsid w:val="00D30AA0"/>
    <w:rsid w:val="00D31414"/>
    <w:rsid w:val="00D3172E"/>
    <w:rsid w:val="00D31B35"/>
    <w:rsid w:val="00D31C15"/>
    <w:rsid w:val="00D330FF"/>
    <w:rsid w:val="00D334DF"/>
    <w:rsid w:val="00D33B71"/>
    <w:rsid w:val="00D34675"/>
    <w:rsid w:val="00D35142"/>
    <w:rsid w:val="00D356A4"/>
    <w:rsid w:val="00D358C6"/>
    <w:rsid w:val="00D3601B"/>
    <w:rsid w:val="00D36D0B"/>
    <w:rsid w:val="00D36E19"/>
    <w:rsid w:val="00D37D0A"/>
    <w:rsid w:val="00D37F05"/>
    <w:rsid w:val="00D4004B"/>
    <w:rsid w:val="00D401F8"/>
    <w:rsid w:val="00D40419"/>
    <w:rsid w:val="00D40C36"/>
    <w:rsid w:val="00D4145D"/>
    <w:rsid w:val="00D4152A"/>
    <w:rsid w:val="00D41A17"/>
    <w:rsid w:val="00D41AAE"/>
    <w:rsid w:val="00D41CF7"/>
    <w:rsid w:val="00D43157"/>
    <w:rsid w:val="00D4412E"/>
    <w:rsid w:val="00D44A0C"/>
    <w:rsid w:val="00D44A64"/>
    <w:rsid w:val="00D44BF0"/>
    <w:rsid w:val="00D4581C"/>
    <w:rsid w:val="00D459DF"/>
    <w:rsid w:val="00D45AD0"/>
    <w:rsid w:val="00D45C49"/>
    <w:rsid w:val="00D45F6B"/>
    <w:rsid w:val="00D47A8C"/>
    <w:rsid w:val="00D47FA9"/>
    <w:rsid w:val="00D501AE"/>
    <w:rsid w:val="00D504A6"/>
    <w:rsid w:val="00D5090A"/>
    <w:rsid w:val="00D50BE2"/>
    <w:rsid w:val="00D50F18"/>
    <w:rsid w:val="00D51325"/>
    <w:rsid w:val="00D52541"/>
    <w:rsid w:val="00D527CE"/>
    <w:rsid w:val="00D52B8F"/>
    <w:rsid w:val="00D52CBE"/>
    <w:rsid w:val="00D53164"/>
    <w:rsid w:val="00D54A04"/>
    <w:rsid w:val="00D55142"/>
    <w:rsid w:val="00D570CC"/>
    <w:rsid w:val="00D570E4"/>
    <w:rsid w:val="00D571EB"/>
    <w:rsid w:val="00D57245"/>
    <w:rsid w:val="00D576E1"/>
    <w:rsid w:val="00D577C6"/>
    <w:rsid w:val="00D579EA"/>
    <w:rsid w:val="00D57AF9"/>
    <w:rsid w:val="00D625E3"/>
    <w:rsid w:val="00D625F6"/>
    <w:rsid w:val="00D62EFF"/>
    <w:rsid w:val="00D64969"/>
    <w:rsid w:val="00D64B34"/>
    <w:rsid w:val="00D65057"/>
    <w:rsid w:val="00D66420"/>
    <w:rsid w:val="00D704C1"/>
    <w:rsid w:val="00D70651"/>
    <w:rsid w:val="00D7085B"/>
    <w:rsid w:val="00D70D00"/>
    <w:rsid w:val="00D71270"/>
    <w:rsid w:val="00D72BED"/>
    <w:rsid w:val="00D72F34"/>
    <w:rsid w:val="00D72FB3"/>
    <w:rsid w:val="00D741A4"/>
    <w:rsid w:val="00D7482C"/>
    <w:rsid w:val="00D74CE2"/>
    <w:rsid w:val="00D75066"/>
    <w:rsid w:val="00D7589D"/>
    <w:rsid w:val="00D761B0"/>
    <w:rsid w:val="00D76DFB"/>
    <w:rsid w:val="00D77558"/>
    <w:rsid w:val="00D80C4D"/>
    <w:rsid w:val="00D80DF6"/>
    <w:rsid w:val="00D80E6B"/>
    <w:rsid w:val="00D8120F"/>
    <w:rsid w:val="00D816E7"/>
    <w:rsid w:val="00D81A09"/>
    <w:rsid w:val="00D8237B"/>
    <w:rsid w:val="00D82552"/>
    <w:rsid w:val="00D82711"/>
    <w:rsid w:val="00D82A0B"/>
    <w:rsid w:val="00D82A1F"/>
    <w:rsid w:val="00D82B2D"/>
    <w:rsid w:val="00D831BD"/>
    <w:rsid w:val="00D835D1"/>
    <w:rsid w:val="00D83977"/>
    <w:rsid w:val="00D83E12"/>
    <w:rsid w:val="00D84149"/>
    <w:rsid w:val="00D84B02"/>
    <w:rsid w:val="00D84E94"/>
    <w:rsid w:val="00D855B5"/>
    <w:rsid w:val="00D85C0C"/>
    <w:rsid w:val="00D85D87"/>
    <w:rsid w:val="00D86A5F"/>
    <w:rsid w:val="00D86F21"/>
    <w:rsid w:val="00D8792D"/>
    <w:rsid w:val="00D8794C"/>
    <w:rsid w:val="00D87998"/>
    <w:rsid w:val="00D90191"/>
    <w:rsid w:val="00D91436"/>
    <w:rsid w:val="00D916C5"/>
    <w:rsid w:val="00D92164"/>
    <w:rsid w:val="00D922F9"/>
    <w:rsid w:val="00D924ED"/>
    <w:rsid w:val="00D92AF4"/>
    <w:rsid w:val="00D9381A"/>
    <w:rsid w:val="00D940A9"/>
    <w:rsid w:val="00D94226"/>
    <w:rsid w:val="00D94683"/>
    <w:rsid w:val="00D95982"/>
    <w:rsid w:val="00D95B6A"/>
    <w:rsid w:val="00D9625A"/>
    <w:rsid w:val="00D9665F"/>
    <w:rsid w:val="00D96950"/>
    <w:rsid w:val="00D97308"/>
    <w:rsid w:val="00D9765E"/>
    <w:rsid w:val="00D97684"/>
    <w:rsid w:val="00D97800"/>
    <w:rsid w:val="00D97EAF"/>
    <w:rsid w:val="00DA0ADC"/>
    <w:rsid w:val="00DA0E89"/>
    <w:rsid w:val="00DA16F9"/>
    <w:rsid w:val="00DA1D90"/>
    <w:rsid w:val="00DA253E"/>
    <w:rsid w:val="00DA2B6C"/>
    <w:rsid w:val="00DA2FFB"/>
    <w:rsid w:val="00DA3070"/>
    <w:rsid w:val="00DA3622"/>
    <w:rsid w:val="00DA380A"/>
    <w:rsid w:val="00DA3E2F"/>
    <w:rsid w:val="00DA3EDB"/>
    <w:rsid w:val="00DA41E3"/>
    <w:rsid w:val="00DA4D50"/>
    <w:rsid w:val="00DA4DAB"/>
    <w:rsid w:val="00DA65C3"/>
    <w:rsid w:val="00DA69D1"/>
    <w:rsid w:val="00DA70D0"/>
    <w:rsid w:val="00DA7C19"/>
    <w:rsid w:val="00DA7CC5"/>
    <w:rsid w:val="00DA7FDC"/>
    <w:rsid w:val="00DB021E"/>
    <w:rsid w:val="00DB03E0"/>
    <w:rsid w:val="00DB1296"/>
    <w:rsid w:val="00DB1D5A"/>
    <w:rsid w:val="00DB1D68"/>
    <w:rsid w:val="00DB204B"/>
    <w:rsid w:val="00DB21B6"/>
    <w:rsid w:val="00DB2DE7"/>
    <w:rsid w:val="00DB3AFB"/>
    <w:rsid w:val="00DB3C1D"/>
    <w:rsid w:val="00DB3DC4"/>
    <w:rsid w:val="00DB41D5"/>
    <w:rsid w:val="00DB4B8B"/>
    <w:rsid w:val="00DB4C86"/>
    <w:rsid w:val="00DB4DCF"/>
    <w:rsid w:val="00DB4E5B"/>
    <w:rsid w:val="00DB604D"/>
    <w:rsid w:val="00DB68D4"/>
    <w:rsid w:val="00DB68DA"/>
    <w:rsid w:val="00DB6A34"/>
    <w:rsid w:val="00DB6D5F"/>
    <w:rsid w:val="00DB74FC"/>
    <w:rsid w:val="00DB77EA"/>
    <w:rsid w:val="00DB7AEE"/>
    <w:rsid w:val="00DC027C"/>
    <w:rsid w:val="00DC2212"/>
    <w:rsid w:val="00DC2912"/>
    <w:rsid w:val="00DC2A5B"/>
    <w:rsid w:val="00DC309E"/>
    <w:rsid w:val="00DC3584"/>
    <w:rsid w:val="00DC3B74"/>
    <w:rsid w:val="00DC424B"/>
    <w:rsid w:val="00DC4732"/>
    <w:rsid w:val="00DC4C35"/>
    <w:rsid w:val="00DC4E2F"/>
    <w:rsid w:val="00DC5427"/>
    <w:rsid w:val="00DC6284"/>
    <w:rsid w:val="00DC6333"/>
    <w:rsid w:val="00DC6485"/>
    <w:rsid w:val="00DC6925"/>
    <w:rsid w:val="00DC6C4E"/>
    <w:rsid w:val="00DC6D78"/>
    <w:rsid w:val="00DC7383"/>
    <w:rsid w:val="00DC740B"/>
    <w:rsid w:val="00DD02B7"/>
    <w:rsid w:val="00DD077D"/>
    <w:rsid w:val="00DD143E"/>
    <w:rsid w:val="00DD16F0"/>
    <w:rsid w:val="00DD1D5D"/>
    <w:rsid w:val="00DD1DF9"/>
    <w:rsid w:val="00DD3E2C"/>
    <w:rsid w:val="00DD40A1"/>
    <w:rsid w:val="00DD4320"/>
    <w:rsid w:val="00DD4461"/>
    <w:rsid w:val="00DD6434"/>
    <w:rsid w:val="00DD6AA5"/>
    <w:rsid w:val="00DD6EF2"/>
    <w:rsid w:val="00DD724A"/>
    <w:rsid w:val="00DD7B43"/>
    <w:rsid w:val="00DE0056"/>
    <w:rsid w:val="00DE00DE"/>
    <w:rsid w:val="00DE092A"/>
    <w:rsid w:val="00DE10C9"/>
    <w:rsid w:val="00DE12D2"/>
    <w:rsid w:val="00DE1404"/>
    <w:rsid w:val="00DE148A"/>
    <w:rsid w:val="00DE1FF5"/>
    <w:rsid w:val="00DE2090"/>
    <w:rsid w:val="00DE2093"/>
    <w:rsid w:val="00DE2AF7"/>
    <w:rsid w:val="00DE32C8"/>
    <w:rsid w:val="00DE4F60"/>
    <w:rsid w:val="00DE636A"/>
    <w:rsid w:val="00DE6692"/>
    <w:rsid w:val="00DE68F1"/>
    <w:rsid w:val="00DE6ECF"/>
    <w:rsid w:val="00DE70E4"/>
    <w:rsid w:val="00DE79F3"/>
    <w:rsid w:val="00DE7A9D"/>
    <w:rsid w:val="00DE7DC7"/>
    <w:rsid w:val="00DF00BC"/>
    <w:rsid w:val="00DF00F0"/>
    <w:rsid w:val="00DF129D"/>
    <w:rsid w:val="00DF12C1"/>
    <w:rsid w:val="00DF1537"/>
    <w:rsid w:val="00DF1F72"/>
    <w:rsid w:val="00DF21B5"/>
    <w:rsid w:val="00DF2900"/>
    <w:rsid w:val="00DF2C87"/>
    <w:rsid w:val="00DF2CC6"/>
    <w:rsid w:val="00DF2FE8"/>
    <w:rsid w:val="00DF3609"/>
    <w:rsid w:val="00DF3910"/>
    <w:rsid w:val="00DF3B03"/>
    <w:rsid w:val="00DF3C0C"/>
    <w:rsid w:val="00DF43EE"/>
    <w:rsid w:val="00DF47EA"/>
    <w:rsid w:val="00DF4CE5"/>
    <w:rsid w:val="00DF4FC1"/>
    <w:rsid w:val="00DF4FDA"/>
    <w:rsid w:val="00DF5047"/>
    <w:rsid w:val="00DF5404"/>
    <w:rsid w:val="00DF557F"/>
    <w:rsid w:val="00DF6220"/>
    <w:rsid w:val="00DF6494"/>
    <w:rsid w:val="00DF6A05"/>
    <w:rsid w:val="00DF6D41"/>
    <w:rsid w:val="00DF6F12"/>
    <w:rsid w:val="00DF6FB9"/>
    <w:rsid w:val="00DF741E"/>
    <w:rsid w:val="00DF747B"/>
    <w:rsid w:val="00DF795B"/>
    <w:rsid w:val="00DF7D0D"/>
    <w:rsid w:val="00E00D4D"/>
    <w:rsid w:val="00E00E37"/>
    <w:rsid w:val="00E01214"/>
    <w:rsid w:val="00E01217"/>
    <w:rsid w:val="00E01495"/>
    <w:rsid w:val="00E016F5"/>
    <w:rsid w:val="00E01717"/>
    <w:rsid w:val="00E01899"/>
    <w:rsid w:val="00E02706"/>
    <w:rsid w:val="00E0299B"/>
    <w:rsid w:val="00E02E58"/>
    <w:rsid w:val="00E034C5"/>
    <w:rsid w:val="00E046C9"/>
    <w:rsid w:val="00E05762"/>
    <w:rsid w:val="00E05986"/>
    <w:rsid w:val="00E05F94"/>
    <w:rsid w:val="00E066E3"/>
    <w:rsid w:val="00E0719B"/>
    <w:rsid w:val="00E10031"/>
    <w:rsid w:val="00E10043"/>
    <w:rsid w:val="00E100DD"/>
    <w:rsid w:val="00E10280"/>
    <w:rsid w:val="00E102DC"/>
    <w:rsid w:val="00E1134C"/>
    <w:rsid w:val="00E1140C"/>
    <w:rsid w:val="00E117A1"/>
    <w:rsid w:val="00E1184D"/>
    <w:rsid w:val="00E11AA8"/>
    <w:rsid w:val="00E11C9C"/>
    <w:rsid w:val="00E1386E"/>
    <w:rsid w:val="00E13A9E"/>
    <w:rsid w:val="00E13EA6"/>
    <w:rsid w:val="00E1454C"/>
    <w:rsid w:val="00E14FA7"/>
    <w:rsid w:val="00E15F8E"/>
    <w:rsid w:val="00E16279"/>
    <w:rsid w:val="00E16293"/>
    <w:rsid w:val="00E16321"/>
    <w:rsid w:val="00E1635C"/>
    <w:rsid w:val="00E21377"/>
    <w:rsid w:val="00E214A7"/>
    <w:rsid w:val="00E21C2C"/>
    <w:rsid w:val="00E223F1"/>
    <w:rsid w:val="00E22B7D"/>
    <w:rsid w:val="00E22C35"/>
    <w:rsid w:val="00E22FA8"/>
    <w:rsid w:val="00E2318D"/>
    <w:rsid w:val="00E232BD"/>
    <w:rsid w:val="00E23A67"/>
    <w:rsid w:val="00E23ED8"/>
    <w:rsid w:val="00E24FC0"/>
    <w:rsid w:val="00E25D73"/>
    <w:rsid w:val="00E26640"/>
    <w:rsid w:val="00E26673"/>
    <w:rsid w:val="00E26778"/>
    <w:rsid w:val="00E269B6"/>
    <w:rsid w:val="00E26DBB"/>
    <w:rsid w:val="00E26DC6"/>
    <w:rsid w:val="00E271A8"/>
    <w:rsid w:val="00E2748E"/>
    <w:rsid w:val="00E27692"/>
    <w:rsid w:val="00E27C9B"/>
    <w:rsid w:val="00E27FC1"/>
    <w:rsid w:val="00E30023"/>
    <w:rsid w:val="00E30133"/>
    <w:rsid w:val="00E306A7"/>
    <w:rsid w:val="00E3096C"/>
    <w:rsid w:val="00E3097B"/>
    <w:rsid w:val="00E3129C"/>
    <w:rsid w:val="00E322DC"/>
    <w:rsid w:val="00E32470"/>
    <w:rsid w:val="00E33DD5"/>
    <w:rsid w:val="00E340DA"/>
    <w:rsid w:val="00E34A0F"/>
    <w:rsid w:val="00E34A69"/>
    <w:rsid w:val="00E35E1B"/>
    <w:rsid w:val="00E3656B"/>
    <w:rsid w:val="00E3697A"/>
    <w:rsid w:val="00E4000A"/>
    <w:rsid w:val="00E403F2"/>
    <w:rsid w:val="00E4095F"/>
    <w:rsid w:val="00E40A0B"/>
    <w:rsid w:val="00E41292"/>
    <w:rsid w:val="00E413AD"/>
    <w:rsid w:val="00E41DCD"/>
    <w:rsid w:val="00E4246E"/>
    <w:rsid w:val="00E424D6"/>
    <w:rsid w:val="00E42767"/>
    <w:rsid w:val="00E42C21"/>
    <w:rsid w:val="00E42E79"/>
    <w:rsid w:val="00E43674"/>
    <w:rsid w:val="00E436A0"/>
    <w:rsid w:val="00E444D5"/>
    <w:rsid w:val="00E44ADB"/>
    <w:rsid w:val="00E45CEC"/>
    <w:rsid w:val="00E46408"/>
    <w:rsid w:val="00E46A5A"/>
    <w:rsid w:val="00E474F0"/>
    <w:rsid w:val="00E506C8"/>
    <w:rsid w:val="00E5124B"/>
    <w:rsid w:val="00E52689"/>
    <w:rsid w:val="00E529B0"/>
    <w:rsid w:val="00E52B43"/>
    <w:rsid w:val="00E52BFA"/>
    <w:rsid w:val="00E539DB"/>
    <w:rsid w:val="00E53B7D"/>
    <w:rsid w:val="00E5419B"/>
    <w:rsid w:val="00E54550"/>
    <w:rsid w:val="00E545FE"/>
    <w:rsid w:val="00E5498A"/>
    <w:rsid w:val="00E54D4E"/>
    <w:rsid w:val="00E54E56"/>
    <w:rsid w:val="00E55163"/>
    <w:rsid w:val="00E55DEB"/>
    <w:rsid w:val="00E56069"/>
    <w:rsid w:val="00E56308"/>
    <w:rsid w:val="00E5677B"/>
    <w:rsid w:val="00E56AC7"/>
    <w:rsid w:val="00E56B02"/>
    <w:rsid w:val="00E56D88"/>
    <w:rsid w:val="00E56E9F"/>
    <w:rsid w:val="00E570A0"/>
    <w:rsid w:val="00E57114"/>
    <w:rsid w:val="00E574A6"/>
    <w:rsid w:val="00E5786E"/>
    <w:rsid w:val="00E60808"/>
    <w:rsid w:val="00E60ACD"/>
    <w:rsid w:val="00E61663"/>
    <w:rsid w:val="00E61784"/>
    <w:rsid w:val="00E61D88"/>
    <w:rsid w:val="00E628B0"/>
    <w:rsid w:val="00E63497"/>
    <w:rsid w:val="00E63725"/>
    <w:rsid w:val="00E63B6A"/>
    <w:rsid w:val="00E63E29"/>
    <w:rsid w:val="00E63F25"/>
    <w:rsid w:val="00E6409A"/>
    <w:rsid w:val="00E6429C"/>
    <w:rsid w:val="00E64571"/>
    <w:rsid w:val="00E646A0"/>
    <w:rsid w:val="00E64742"/>
    <w:rsid w:val="00E656B8"/>
    <w:rsid w:val="00E65DCD"/>
    <w:rsid w:val="00E66478"/>
    <w:rsid w:val="00E66A6F"/>
    <w:rsid w:val="00E66DA0"/>
    <w:rsid w:val="00E675DC"/>
    <w:rsid w:val="00E67824"/>
    <w:rsid w:val="00E67B91"/>
    <w:rsid w:val="00E67CFD"/>
    <w:rsid w:val="00E70203"/>
    <w:rsid w:val="00E70533"/>
    <w:rsid w:val="00E70871"/>
    <w:rsid w:val="00E71143"/>
    <w:rsid w:val="00E715BB"/>
    <w:rsid w:val="00E71797"/>
    <w:rsid w:val="00E71B8A"/>
    <w:rsid w:val="00E71B92"/>
    <w:rsid w:val="00E72048"/>
    <w:rsid w:val="00E72554"/>
    <w:rsid w:val="00E72C1F"/>
    <w:rsid w:val="00E735E8"/>
    <w:rsid w:val="00E748E0"/>
    <w:rsid w:val="00E748E9"/>
    <w:rsid w:val="00E74C25"/>
    <w:rsid w:val="00E7568A"/>
    <w:rsid w:val="00E7673B"/>
    <w:rsid w:val="00E77EE5"/>
    <w:rsid w:val="00E80132"/>
    <w:rsid w:val="00E8042A"/>
    <w:rsid w:val="00E8065B"/>
    <w:rsid w:val="00E80AC6"/>
    <w:rsid w:val="00E8145D"/>
    <w:rsid w:val="00E81766"/>
    <w:rsid w:val="00E81AD7"/>
    <w:rsid w:val="00E81BD7"/>
    <w:rsid w:val="00E821A8"/>
    <w:rsid w:val="00E82C0F"/>
    <w:rsid w:val="00E82EED"/>
    <w:rsid w:val="00E8324C"/>
    <w:rsid w:val="00E833B8"/>
    <w:rsid w:val="00E8396D"/>
    <w:rsid w:val="00E83C58"/>
    <w:rsid w:val="00E83FB6"/>
    <w:rsid w:val="00E8477E"/>
    <w:rsid w:val="00E85760"/>
    <w:rsid w:val="00E85D68"/>
    <w:rsid w:val="00E85F36"/>
    <w:rsid w:val="00E8601C"/>
    <w:rsid w:val="00E872E6"/>
    <w:rsid w:val="00E876C1"/>
    <w:rsid w:val="00E877DF"/>
    <w:rsid w:val="00E87CFC"/>
    <w:rsid w:val="00E90008"/>
    <w:rsid w:val="00E90382"/>
    <w:rsid w:val="00E91316"/>
    <w:rsid w:val="00E91536"/>
    <w:rsid w:val="00E91755"/>
    <w:rsid w:val="00E91870"/>
    <w:rsid w:val="00E9192F"/>
    <w:rsid w:val="00E91BF9"/>
    <w:rsid w:val="00E92ECE"/>
    <w:rsid w:val="00E93169"/>
    <w:rsid w:val="00E9422F"/>
    <w:rsid w:val="00E94277"/>
    <w:rsid w:val="00E944BB"/>
    <w:rsid w:val="00E94773"/>
    <w:rsid w:val="00E94C84"/>
    <w:rsid w:val="00E94F5B"/>
    <w:rsid w:val="00E954EA"/>
    <w:rsid w:val="00E96411"/>
    <w:rsid w:val="00E96618"/>
    <w:rsid w:val="00E96778"/>
    <w:rsid w:val="00E967AB"/>
    <w:rsid w:val="00E96AED"/>
    <w:rsid w:val="00EA001C"/>
    <w:rsid w:val="00EA0216"/>
    <w:rsid w:val="00EA0710"/>
    <w:rsid w:val="00EA07EB"/>
    <w:rsid w:val="00EA0B0A"/>
    <w:rsid w:val="00EA16A9"/>
    <w:rsid w:val="00EA170E"/>
    <w:rsid w:val="00EA18EE"/>
    <w:rsid w:val="00EA1BBF"/>
    <w:rsid w:val="00EA2024"/>
    <w:rsid w:val="00EA23AB"/>
    <w:rsid w:val="00EA3470"/>
    <w:rsid w:val="00EA35FA"/>
    <w:rsid w:val="00EA3F73"/>
    <w:rsid w:val="00EA41FD"/>
    <w:rsid w:val="00EA47A7"/>
    <w:rsid w:val="00EA5181"/>
    <w:rsid w:val="00EA5B15"/>
    <w:rsid w:val="00EA6181"/>
    <w:rsid w:val="00EA626A"/>
    <w:rsid w:val="00EA6448"/>
    <w:rsid w:val="00EB04B6"/>
    <w:rsid w:val="00EB1FA3"/>
    <w:rsid w:val="00EB24BA"/>
    <w:rsid w:val="00EB26B7"/>
    <w:rsid w:val="00EB2A10"/>
    <w:rsid w:val="00EB2A78"/>
    <w:rsid w:val="00EB2ADD"/>
    <w:rsid w:val="00EB33F9"/>
    <w:rsid w:val="00EB3BF7"/>
    <w:rsid w:val="00EB4CB1"/>
    <w:rsid w:val="00EB5C2B"/>
    <w:rsid w:val="00EB66B8"/>
    <w:rsid w:val="00EB6E4A"/>
    <w:rsid w:val="00EB7216"/>
    <w:rsid w:val="00EB7960"/>
    <w:rsid w:val="00EB7BD5"/>
    <w:rsid w:val="00EB7EF4"/>
    <w:rsid w:val="00EC0C0E"/>
    <w:rsid w:val="00EC14FB"/>
    <w:rsid w:val="00EC1A18"/>
    <w:rsid w:val="00EC1CB7"/>
    <w:rsid w:val="00EC232D"/>
    <w:rsid w:val="00EC23BB"/>
    <w:rsid w:val="00EC2564"/>
    <w:rsid w:val="00EC2762"/>
    <w:rsid w:val="00EC2D52"/>
    <w:rsid w:val="00EC3099"/>
    <w:rsid w:val="00EC374D"/>
    <w:rsid w:val="00EC596D"/>
    <w:rsid w:val="00EC642E"/>
    <w:rsid w:val="00EC6B4F"/>
    <w:rsid w:val="00EC769A"/>
    <w:rsid w:val="00EC7E04"/>
    <w:rsid w:val="00ED0761"/>
    <w:rsid w:val="00ED0B16"/>
    <w:rsid w:val="00ED0F3D"/>
    <w:rsid w:val="00ED0F69"/>
    <w:rsid w:val="00ED0FBE"/>
    <w:rsid w:val="00ED1370"/>
    <w:rsid w:val="00ED1508"/>
    <w:rsid w:val="00ED17AA"/>
    <w:rsid w:val="00ED287A"/>
    <w:rsid w:val="00ED29E1"/>
    <w:rsid w:val="00ED2B8C"/>
    <w:rsid w:val="00ED3517"/>
    <w:rsid w:val="00ED3EA7"/>
    <w:rsid w:val="00ED41C6"/>
    <w:rsid w:val="00ED4B74"/>
    <w:rsid w:val="00ED5303"/>
    <w:rsid w:val="00ED552E"/>
    <w:rsid w:val="00ED6190"/>
    <w:rsid w:val="00ED62F0"/>
    <w:rsid w:val="00ED63E3"/>
    <w:rsid w:val="00ED63EB"/>
    <w:rsid w:val="00ED6439"/>
    <w:rsid w:val="00ED6658"/>
    <w:rsid w:val="00ED68A1"/>
    <w:rsid w:val="00ED6B4F"/>
    <w:rsid w:val="00ED75FE"/>
    <w:rsid w:val="00EE0280"/>
    <w:rsid w:val="00EE11F2"/>
    <w:rsid w:val="00EE2257"/>
    <w:rsid w:val="00EE243B"/>
    <w:rsid w:val="00EE27E5"/>
    <w:rsid w:val="00EE29D4"/>
    <w:rsid w:val="00EE319C"/>
    <w:rsid w:val="00EE3671"/>
    <w:rsid w:val="00EE3F41"/>
    <w:rsid w:val="00EE4C1D"/>
    <w:rsid w:val="00EE5086"/>
    <w:rsid w:val="00EE5114"/>
    <w:rsid w:val="00EE5335"/>
    <w:rsid w:val="00EE546A"/>
    <w:rsid w:val="00EE5534"/>
    <w:rsid w:val="00EE56FE"/>
    <w:rsid w:val="00EE5B09"/>
    <w:rsid w:val="00EE63DA"/>
    <w:rsid w:val="00EE6C1C"/>
    <w:rsid w:val="00EE70FE"/>
    <w:rsid w:val="00EE71D5"/>
    <w:rsid w:val="00EE7476"/>
    <w:rsid w:val="00EE7610"/>
    <w:rsid w:val="00EF00E7"/>
    <w:rsid w:val="00EF0F7E"/>
    <w:rsid w:val="00EF10BE"/>
    <w:rsid w:val="00EF1420"/>
    <w:rsid w:val="00EF14D2"/>
    <w:rsid w:val="00EF1857"/>
    <w:rsid w:val="00EF293D"/>
    <w:rsid w:val="00EF2B46"/>
    <w:rsid w:val="00EF2D6E"/>
    <w:rsid w:val="00EF3905"/>
    <w:rsid w:val="00EF3C11"/>
    <w:rsid w:val="00EF49F2"/>
    <w:rsid w:val="00EF52E4"/>
    <w:rsid w:val="00EF5721"/>
    <w:rsid w:val="00EF5802"/>
    <w:rsid w:val="00EF6B6B"/>
    <w:rsid w:val="00EF72A4"/>
    <w:rsid w:val="00EF77DF"/>
    <w:rsid w:val="00EF7AF6"/>
    <w:rsid w:val="00F00349"/>
    <w:rsid w:val="00F00706"/>
    <w:rsid w:val="00F00D41"/>
    <w:rsid w:val="00F01F1F"/>
    <w:rsid w:val="00F021A6"/>
    <w:rsid w:val="00F02242"/>
    <w:rsid w:val="00F023CF"/>
    <w:rsid w:val="00F03006"/>
    <w:rsid w:val="00F03193"/>
    <w:rsid w:val="00F0360C"/>
    <w:rsid w:val="00F036C9"/>
    <w:rsid w:val="00F03717"/>
    <w:rsid w:val="00F03B7B"/>
    <w:rsid w:val="00F046A0"/>
    <w:rsid w:val="00F0490C"/>
    <w:rsid w:val="00F04932"/>
    <w:rsid w:val="00F04BFB"/>
    <w:rsid w:val="00F04CE0"/>
    <w:rsid w:val="00F04FE1"/>
    <w:rsid w:val="00F0516B"/>
    <w:rsid w:val="00F05288"/>
    <w:rsid w:val="00F0591A"/>
    <w:rsid w:val="00F06299"/>
    <w:rsid w:val="00F06510"/>
    <w:rsid w:val="00F0651F"/>
    <w:rsid w:val="00F0670C"/>
    <w:rsid w:val="00F06D19"/>
    <w:rsid w:val="00F074F0"/>
    <w:rsid w:val="00F07AF6"/>
    <w:rsid w:val="00F11222"/>
    <w:rsid w:val="00F11E61"/>
    <w:rsid w:val="00F11F56"/>
    <w:rsid w:val="00F12559"/>
    <w:rsid w:val="00F1299B"/>
    <w:rsid w:val="00F12C8D"/>
    <w:rsid w:val="00F13A85"/>
    <w:rsid w:val="00F145B8"/>
    <w:rsid w:val="00F14D58"/>
    <w:rsid w:val="00F15754"/>
    <w:rsid w:val="00F1593C"/>
    <w:rsid w:val="00F15E86"/>
    <w:rsid w:val="00F1640D"/>
    <w:rsid w:val="00F16679"/>
    <w:rsid w:val="00F167F6"/>
    <w:rsid w:val="00F1691E"/>
    <w:rsid w:val="00F1751F"/>
    <w:rsid w:val="00F2031F"/>
    <w:rsid w:val="00F20DB8"/>
    <w:rsid w:val="00F21223"/>
    <w:rsid w:val="00F21A41"/>
    <w:rsid w:val="00F21AE5"/>
    <w:rsid w:val="00F22A88"/>
    <w:rsid w:val="00F23412"/>
    <w:rsid w:val="00F2405A"/>
    <w:rsid w:val="00F2419B"/>
    <w:rsid w:val="00F245AC"/>
    <w:rsid w:val="00F249BA"/>
    <w:rsid w:val="00F24C12"/>
    <w:rsid w:val="00F2538A"/>
    <w:rsid w:val="00F257C1"/>
    <w:rsid w:val="00F25921"/>
    <w:rsid w:val="00F265A0"/>
    <w:rsid w:val="00F267B5"/>
    <w:rsid w:val="00F26F05"/>
    <w:rsid w:val="00F276AD"/>
    <w:rsid w:val="00F27F0C"/>
    <w:rsid w:val="00F3033F"/>
    <w:rsid w:val="00F30603"/>
    <w:rsid w:val="00F30F3E"/>
    <w:rsid w:val="00F317E6"/>
    <w:rsid w:val="00F31E28"/>
    <w:rsid w:val="00F31EDA"/>
    <w:rsid w:val="00F32877"/>
    <w:rsid w:val="00F32A91"/>
    <w:rsid w:val="00F32B4F"/>
    <w:rsid w:val="00F32B6F"/>
    <w:rsid w:val="00F32CD2"/>
    <w:rsid w:val="00F32E9D"/>
    <w:rsid w:val="00F331C9"/>
    <w:rsid w:val="00F336E7"/>
    <w:rsid w:val="00F33C59"/>
    <w:rsid w:val="00F33E4C"/>
    <w:rsid w:val="00F349A2"/>
    <w:rsid w:val="00F34AE6"/>
    <w:rsid w:val="00F34C9A"/>
    <w:rsid w:val="00F34E3B"/>
    <w:rsid w:val="00F34F25"/>
    <w:rsid w:val="00F35595"/>
    <w:rsid w:val="00F35853"/>
    <w:rsid w:val="00F36139"/>
    <w:rsid w:val="00F364AE"/>
    <w:rsid w:val="00F36A1E"/>
    <w:rsid w:val="00F37232"/>
    <w:rsid w:val="00F40060"/>
    <w:rsid w:val="00F400F8"/>
    <w:rsid w:val="00F40645"/>
    <w:rsid w:val="00F4073F"/>
    <w:rsid w:val="00F407D9"/>
    <w:rsid w:val="00F408F4"/>
    <w:rsid w:val="00F41230"/>
    <w:rsid w:val="00F41A4A"/>
    <w:rsid w:val="00F41DB4"/>
    <w:rsid w:val="00F421C0"/>
    <w:rsid w:val="00F422B0"/>
    <w:rsid w:val="00F431C7"/>
    <w:rsid w:val="00F43AB1"/>
    <w:rsid w:val="00F44428"/>
    <w:rsid w:val="00F44782"/>
    <w:rsid w:val="00F45ACA"/>
    <w:rsid w:val="00F45EF8"/>
    <w:rsid w:val="00F460D8"/>
    <w:rsid w:val="00F46149"/>
    <w:rsid w:val="00F46D4B"/>
    <w:rsid w:val="00F46F44"/>
    <w:rsid w:val="00F47F81"/>
    <w:rsid w:val="00F502F9"/>
    <w:rsid w:val="00F5054D"/>
    <w:rsid w:val="00F5084D"/>
    <w:rsid w:val="00F5092F"/>
    <w:rsid w:val="00F50A27"/>
    <w:rsid w:val="00F50A76"/>
    <w:rsid w:val="00F50AD3"/>
    <w:rsid w:val="00F50B34"/>
    <w:rsid w:val="00F50B84"/>
    <w:rsid w:val="00F514DF"/>
    <w:rsid w:val="00F5186F"/>
    <w:rsid w:val="00F522AD"/>
    <w:rsid w:val="00F52610"/>
    <w:rsid w:val="00F526A3"/>
    <w:rsid w:val="00F5274C"/>
    <w:rsid w:val="00F52DDB"/>
    <w:rsid w:val="00F535B1"/>
    <w:rsid w:val="00F53979"/>
    <w:rsid w:val="00F53A88"/>
    <w:rsid w:val="00F54082"/>
    <w:rsid w:val="00F54297"/>
    <w:rsid w:val="00F54F47"/>
    <w:rsid w:val="00F5547A"/>
    <w:rsid w:val="00F5604C"/>
    <w:rsid w:val="00F56582"/>
    <w:rsid w:val="00F566C5"/>
    <w:rsid w:val="00F56D05"/>
    <w:rsid w:val="00F570FF"/>
    <w:rsid w:val="00F572FA"/>
    <w:rsid w:val="00F574C2"/>
    <w:rsid w:val="00F57B20"/>
    <w:rsid w:val="00F57CA2"/>
    <w:rsid w:val="00F57D41"/>
    <w:rsid w:val="00F60548"/>
    <w:rsid w:val="00F60599"/>
    <w:rsid w:val="00F6070F"/>
    <w:rsid w:val="00F60777"/>
    <w:rsid w:val="00F60D8A"/>
    <w:rsid w:val="00F60F46"/>
    <w:rsid w:val="00F613C5"/>
    <w:rsid w:val="00F6171E"/>
    <w:rsid w:val="00F61913"/>
    <w:rsid w:val="00F619F2"/>
    <w:rsid w:val="00F61AB8"/>
    <w:rsid w:val="00F63392"/>
    <w:rsid w:val="00F634F5"/>
    <w:rsid w:val="00F64BFE"/>
    <w:rsid w:val="00F6523B"/>
    <w:rsid w:val="00F66401"/>
    <w:rsid w:val="00F6649E"/>
    <w:rsid w:val="00F666AF"/>
    <w:rsid w:val="00F669C5"/>
    <w:rsid w:val="00F66C15"/>
    <w:rsid w:val="00F670BC"/>
    <w:rsid w:val="00F67918"/>
    <w:rsid w:val="00F67D6C"/>
    <w:rsid w:val="00F700CC"/>
    <w:rsid w:val="00F702F6"/>
    <w:rsid w:val="00F711A3"/>
    <w:rsid w:val="00F714A7"/>
    <w:rsid w:val="00F721FC"/>
    <w:rsid w:val="00F7275F"/>
    <w:rsid w:val="00F727BB"/>
    <w:rsid w:val="00F72ACD"/>
    <w:rsid w:val="00F72D18"/>
    <w:rsid w:val="00F72F29"/>
    <w:rsid w:val="00F72F9D"/>
    <w:rsid w:val="00F734AD"/>
    <w:rsid w:val="00F735B9"/>
    <w:rsid w:val="00F736E0"/>
    <w:rsid w:val="00F7397F"/>
    <w:rsid w:val="00F73B88"/>
    <w:rsid w:val="00F73D5F"/>
    <w:rsid w:val="00F73D68"/>
    <w:rsid w:val="00F74026"/>
    <w:rsid w:val="00F74138"/>
    <w:rsid w:val="00F74222"/>
    <w:rsid w:val="00F7424D"/>
    <w:rsid w:val="00F74A50"/>
    <w:rsid w:val="00F75364"/>
    <w:rsid w:val="00F75B5B"/>
    <w:rsid w:val="00F75BE9"/>
    <w:rsid w:val="00F76269"/>
    <w:rsid w:val="00F7671D"/>
    <w:rsid w:val="00F7674C"/>
    <w:rsid w:val="00F7795C"/>
    <w:rsid w:val="00F77AD9"/>
    <w:rsid w:val="00F77B01"/>
    <w:rsid w:val="00F80368"/>
    <w:rsid w:val="00F80B23"/>
    <w:rsid w:val="00F810E0"/>
    <w:rsid w:val="00F82001"/>
    <w:rsid w:val="00F8245E"/>
    <w:rsid w:val="00F827D8"/>
    <w:rsid w:val="00F83561"/>
    <w:rsid w:val="00F841A0"/>
    <w:rsid w:val="00F84437"/>
    <w:rsid w:val="00F84A97"/>
    <w:rsid w:val="00F853E7"/>
    <w:rsid w:val="00F85624"/>
    <w:rsid w:val="00F856F7"/>
    <w:rsid w:val="00F85816"/>
    <w:rsid w:val="00F85BE3"/>
    <w:rsid w:val="00F85F33"/>
    <w:rsid w:val="00F86833"/>
    <w:rsid w:val="00F86F8C"/>
    <w:rsid w:val="00F876F4"/>
    <w:rsid w:val="00F87C04"/>
    <w:rsid w:val="00F9007B"/>
    <w:rsid w:val="00F90311"/>
    <w:rsid w:val="00F90554"/>
    <w:rsid w:val="00F90905"/>
    <w:rsid w:val="00F90990"/>
    <w:rsid w:val="00F909BD"/>
    <w:rsid w:val="00F90C39"/>
    <w:rsid w:val="00F915A0"/>
    <w:rsid w:val="00F91645"/>
    <w:rsid w:val="00F91F85"/>
    <w:rsid w:val="00F92298"/>
    <w:rsid w:val="00F9254C"/>
    <w:rsid w:val="00F92643"/>
    <w:rsid w:val="00F92799"/>
    <w:rsid w:val="00F92F5F"/>
    <w:rsid w:val="00F93A82"/>
    <w:rsid w:val="00F93E66"/>
    <w:rsid w:val="00F93EE3"/>
    <w:rsid w:val="00F94820"/>
    <w:rsid w:val="00F959D6"/>
    <w:rsid w:val="00F95C63"/>
    <w:rsid w:val="00F95D6D"/>
    <w:rsid w:val="00F95F63"/>
    <w:rsid w:val="00F96D9E"/>
    <w:rsid w:val="00F97235"/>
    <w:rsid w:val="00F97FB8"/>
    <w:rsid w:val="00FA036D"/>
    <w:rsid w:val="00FA05EB"/>
    <w:rsid w:val="00FA1765"/>
    <w:rsid w:val="00FA3099"/>
    <w:rsid w:val="00FA3247"/>
    <w:rsid w:val="00FA3B5B"/>
    <w:rsid w:val="00FA3CBE"/>
    <w:rsid w:val="00FA3E4C"/>
    <w:rsid w:val="00FA3FA3"/>
    <w:rsid w:val="00FA4288"/>
    <w:rsid w:val="00FA4534"/>
    <w:rsid w:val="00FA4B2F"/>
    <w:rsid w:val="00FA53B5"/>
    <w:rsid w:val="00FA5A9F"/>
    <w:rsid w:val="00FA67AB"/>
    <w:rsid w:val="00FA67C6"/>
    <w:rsid w:val="00FA6CA8"/>
    <w:rsid w:val="00FA70A4"/>
    <w:rsid w:val="00FA7513"/>
    <w:rsid w:val="00FA7BBA"/>
    <w:rsid w:val="00FA7C2C"/>
    <w:rsid w:val="00FA7EBB"/>
    <w:rsid w:val="00FB10E9"/>
    <w:rsid w:val="00FB126B"/>
    <w:rsid w:val="00FB2182"/>
    <w:rsid w:val="00FB2A81"/>
    <w:rsid w:val="00FB2C1A"/>
    <w:rsid w:val="00FB3126"/>
    <w:rsid w:val="00FB3273"/>
    <w:rsid w:val="00FB3418"/>
    <w:rsid w:val="00FB44E8"/>
    <w:rsid w:val="00FB484C"/>
    <w:rsid w:val="00FB4A84"/>
    <w:rsid w:val="00FB4D5A"/>
    <w:rsid w:val="00FB5342"/>
    <w:rsid w:val="00FB5781"/>
    <w:rsid w:val="00FB58B0"/>
    <w:rsid w:val="00FB702A"/>
    <w:rsid w:val="00FC17CB"/>
    <w:rsid w:val="00FC3137"/>
    <w:rsid w:val="00FC4582"/>
    <w:rsid w:val="00FC4BA4"/>
    <w:rsid w:val="00FC4C20"/>
    <w:rsid w:val="00FC4F1D"/>
    <w:rsid w:val="00FC5137"/>
    <w:rsid w:val="00FC5763"/>
    <w:rsid w:val="00FC5795"/>
    <w:rsid w:val="00FC5991"/>
    <w:rsid w:val="00FC59DA"/>
    <w:rsid w:val="00FC5ABC"/>
    <w:rsid w:val="00FC643C"/>
    <w:rsid w:val="00FC6A42"/>
    <w:rsid w:val="00FC6C11"/>
    <w:rsid w:val="00FC7317"/>
    <w:rsid w:val="00FC75DE"/>
    <w:rsid w:val="00FC79AF"/>
    <w:rsid w:val="00FC7B15"/>
    <w:rsid w:val="00FC7FFD"/>
    <w:rsid w:val="00FD045E"/>
    <w:rsid w:val="00FD0CBE"/>
    <w:rsid w:val="00FD0CC9"/>
    <w:rsid w:val="00FD0EF8"/>
    <w:rsid w:val="00FD1F6B"/>
    <w:rsid w:val="00FD2232"/>
    <w:rsid w:val="00FD23AD"/>
    <w:rsid w:val="00FD2763"/>
    <w:rsid w:val="00FD3A4C"/>
    <w:rsid w:val="00FD3EFA"/>
    <w:rsid w:val="00FD487B"/>
    <w:rsid w:val="00FD4BDE"/>
    <w:rsid w:val="00FD4D60"/>
    <w:rsid w:val="00FD4DDA"/>
    <w:rsid w:val="00FD52FC"/>
    <w:rsid w:val="00FD5326"/>
    <w:rsid w:val="00FD57A8"/>
    <w:rsid w:val="00FD5A2B"/>
    <w:rsid w:val="00FD5D54"/>
    <w:rsid w:val="00FD5F6A"/>
    <w:rsid w:val="00FD5FB8"/>
    <w:rsid w:val="00FD635B"/>
    <w:rsid w:val="00FD656A"/>
    <w:rsid w:val="00FD6B69"/>
    <w:rsid w:val="00FD710E"/>
    <w:rsid w:val="00FE01F8"/>
    <w:rsid w:val="00FE0801"/>
    <w:rsid w:val="00FE0840"/>
    <w:rsid w:val="00FE0A64"/>
    <w:rsid w:val="00FE1435"/>
    <w:rsid w:val="00FE17AA"/>
    <w:rsid w:val="00FE1A89"/>
    <w:rsid w:val="00FE1D42"/>
    <w:rsid w:val="00FE202C"/>
    <w:rsid w:val="00FE275D"/>
    <w:rsid w:val="00FE2905"/>
    <w:rsid w:val="00FE2C6E"/>
    <w:rsid w:val="00FE32BC"/>
    <w:rsid w:val="00FE3336"/>
    <w:rsid w:val="00FE3A37"/>
    <w:rsid w:val="00FE40FB"/>
    <w:rsid w:val="00FE48B4"/>
    <w:rsid w:val="00FE4C82"/>
    <w:rsid w:val="00FE4E14"/>
    <w:rsid w:val="00FE4FA7"/>
    <w:rsid w:val="00FE53BB"/>
    <w:rsid w:val="00FE5467"/>
    <w:rsid w:val="00FE5E04"/>
    <w:rsid w:val="00FE6543"/>
    <w:rsid w:val="00FE6AAB"/>
    <w:rsid w:val="00FE6DD2"/>
    <w:rsid w:val="00FE6E7C"/>
    <w:rsid w:val="00FE7593"/>
    <w:rsid w:val="00FE7BA5"/>
    <w:rsid w:val="00FE7C12"/>
    <w:rsid w:val="00FE7C87"/>
    <w:rsid w:val="00FF120C"/>
    <w:rsid w:val="00FF2693"/>
    <w:rsid w:val="00FF351C"/>
    <w:rsid w:val="00FF375C"/>
    <w:rsid w:val="00FF47B6"/>
    <w:rsid w:val="00FF57A2"/>
    <w:rsid w:val="00FF57BF"/>
    <w:rsid w:val="00FF5ABE"/>
    <w:rsid w:val="00FF5D62"/>
    <w:rsid w:val="00FF5DCF"/>
    <w:rsid w:val="00FF5EFA"/>
    <w:rsid w:val="00FF69B0"/>
    <w:rsid w:val="00FF7B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89AA82"/>
  <w15:docId w15:val="{BFDC3106-0462-442B-946E-96B0A5B6D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6971"/>
    <w:pPr>
      <w:spacing w:before="120" w:after="120" w:line="288" w:lineRule="auto"/>
    </w:pPr>
    <w:rPr>
      <w:rFonts w:ascii="Arial" w:hAnsi="Arial"/>
      <w:szCs w:val="24"/>
    </w:rPr>
  </w:style>
  <w:style w:type="paragraph" w:styleId="Heading1">
    <w:name w:val="heading 1"/>
    <w:aliases w:val="Cover Heading"/>
    <w:basedOn w:val="Normal"/>
    <w:next w:val="Normal"/>
    <w:link w:val="Heading1Char"/>
    <w:qFormat/>
    <w:rsid w:val="00EF6B6B"/>
    <w:pPr>
      <w:keepNext/>
      <w:pageBreakBefore/>
      <w:numPr>
        <w:numId w:val="2"/>
      </w:numPr>
      <w:spacing w:before="60" w:after="240"/>
      <w:ind w:left="0"/>
      <w:outlineLvl w:val="0"/>
    </w:pPr>
    <w:rPr>
      <w:rFonts w:ascii="Lucida Sans" w:hAnsi="Lucida Sans" w:cs="Arial"/>
      <w:b/>
      <w:bCs/>
      <w:color w:val="008000"/>
      <w:kern w:val="32"/>
      <w:sz w:val="32"/>
      <w:szCs w:val="32"/>
    </w:rPr>
  </w:style>
  <w:style w:type="paragraph" w:styleId="Heading2">
    <w:name w:val="heading 2"/>
    <w:basedOn w:val="Normal"/>
    <w:next w:val="Normal"/>
    <w:link w:val="Heading2Char"/>
    <w:qFormat/>
    <w:rsid w:val="00A34E64"/>
    <w:pPr>
      <w:keepNext/>
      <w:numPr>
        <w:ilvl w:val="1"/>
        <w:numId w:val="2"/>
      </w:numPr>
      <w:spacing w:before="60"/>
      <w:outlineLvl w:val="1"/>
    </w:pPr>
    <w:rPr>
      <w:rFonts w:cs="Arial"/>
      <w:b/>
      <w:bCs/>
      <w:iCs/>
      <w:color w:val="008000"/>
      <w:sz w:val="24"/>
      <w:szCs w:val="28"/>
    </w:rPr>
  </w:style>
  <w:style w:type="paragraph" w:styleId="Heading3">
    <w:name w:val="heading 3"/>
    <w:basedOn w:val="Normal"/>
    <w:next w:val="Normal"/>
    <w:link w:val="Heading3Char"/>
    <w:qFormat/>
    <w:rsid w:val="000A31AF"/>
    <w:pPr>
      <w:keepNext/>
      <w:numPr>
        <w:ilvl w:val="2"/>
        <w:numId w:val="2"/>
      </w:numPr>
      <w:spacing w:before="240"/>
      <w:outlineLvl w:val="2"/>
    </w:pPr>
    <w:rPr>
      <w:rFonts w:cs="Arial"/>
      <w:b/>
      <w:bCs/>
      <w:color w:val="000000"/>
      <w:sz w:val="22"/>
      <w:szCs w:val="26"/>
    </w:rPr>
  </w:style>
  <w:style w:type="paragraph" w:styleId="Heading4">
    <w:name w:val="heading 4"/>
    <w:basedOn w:val="Normal"/>
    <w:next w:val="Normal"/>
    <w:link w:val="Heading4Char"/>
    <w:qFormat/>
    <w:rsid w:val="000A31AF"/>
    <w:pPr>
      <w:keepNext/>
      <w:numPr>
        <w:ilvl w:val="3"/>
        <w:numId w:val="2"/>
      </w:numPr>
      <w:spacing w:before="240" w:after="60"/>
      <w:outlineLvl w:val="3"/>
    </w:pPr>
    <w:rPr>
      <w:b/>
      <w:bCs/>
      <w:color w:val="000000"/>
      <w:szCs w:val="28"/>
    </w:rPr>
  </w:style>
  <w:style w:type="paragraph" w:styleId="Heading5">
    <w:name w:val="heading 5"/>
    <w:basedOn w:val="Normal"/>
    <w:next w:val="Normal"/>
    <w:link w:val="Heading5Char"/>
    <w:qFormat/>
    <w:rsid w:val="00664F33"/>
    <w:pPr>
      <w:keepNext/>
      <w:spacing w:before="240" w:after="60" w:line="240" w:lineRule="auto"/>
      <w:outlineLvl w:val="4"/>
    </w:pPr>
    <w:rPr>
      <w:b/>
      <w:bCs/>
      <w:iCs/>
      <w:sz w:val="18"/>
      <w:lang w:eastAsia="zh-CN"/>
    </w:rPr>
  </w:style>
  <w:style w:type="paragraph" w:styleId="Heading6">
    <w:name w:val="heading 6"/>
    <w:basedOn w:val="Normal"/>
    <w:next w:val="Normal"/>
    <w:link w:val="Heading6Char"/>
    <w:qFormat/>
    <w:rsid w:val="00A76AEB"/>
    <w:pPr>
      <w:spacing w:before="240" w:after="60" w:line="240" w:lineRule="auto"/>
      <w:ind w:left="1152" w:hanging="1152"/>
      <w:outlineLvl w:val="5"/>
    </w:pPr>
    <w:rPr>
      <w:rFonts w:ascii="Calibri" w:hAnsi="Calibri"/>
      <w:b/>
      <w:bCs/>
      <w:sz w:val="22"/>
      <w:szCs w:val="22"/>
      <w:lang w:eastAsia="zh-CN"/>
    </w:rPr>
  </w:style>
  <w:style w:type="paragraph" w:styleId="Heading7">
    <w:name w:val="heading 7"/>
    <w:basedOn w:val="Normal"/>
    <w:next w:val="Normal"/>
    <w:link w:val="Heading7Char"/>
    <w:qFormat/>
    <w:rsid w:val="00A76AEB"/>
    <w:pPr>
      <w:spacing w:before="240" w:after="60" w:line="240" w:lineRule="auto"/>
      <w:ind w:left="1296" w:hanging="1296"/>
      <w:outlineLvl w:val="6"/>
    </w:pPr>
    <w:rPr>
      <w:rFonts w:ascii="Calibri" w:hAnsi="Calibri"/>
      <w:sz w:val="24"/>
      <w:lang w:eastAsia="zh-CN"/>
    </w:rPr>
  </w:style>
  <w:style w:type="paragraph" w:styleId="Heading8">
    <w:name w:val="heading 8"/>
    <w:basedOn w:val="Normal"/>
    <w:next w:val="Normal"/>
    <w:link w:val="Heading8Char"/>
    <w:qFormat/>
    <w:rsid w:val="00A76AEB"/>
    <w:pPr>
      <w:spacing w:before="240" w:after="60" w:line="240" w:lineRule="auto"/>
      <w:ind w:left="1440" w:hanging="1440"/>
      <w:outlineLvl w:val="7"/>
    </w:pPr>
    <w:rPr>
      <w:rFonts w:ascii="Calibri" w:hAnsi="Calibri"/>
      <w:i/>
      <w:iCs/>
      <w:sz w:val="24"/>
      <w:lang w:eastAsia="zh-CN"/>
    </w:rPr>
  </w:style>
  <w:style w:type="paragraph" w:styleId="Heading9">
    <w:name w:val="heading 9"/>
    <w:basedOn w:val="Normal"/>
    <w:next w:val="Normal"/>
    <w:link w:val="Heading9Char"/>
    <w:qFormat/>
    <w:rsid w:val="00A76AEB"/>
    <w:pPr>
      <w:spacing w:before="240" w:after="60" w:line="240" w:lineRule="auto"/>
      <w:ind w:left="1584" w:hanging="1584"/>
      <w:outlineLvl w:val="8"/>
    </w:pPr>
    <w:rPr>
      <w:rFonts w:ascii="Cambria" w:hAnsi="Cambria"/>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1"/>
    <w:basedOn w:val="Normal"/>
    <w:link w:val="HeaderChar"/>
    <w:rsid w:val="00C06B9C"/>
    <w:pPr>
      <w:tabs>
        <w:tab w:val="center" w:pos="4153"/>
        <w:tab w:val="right" w:pos="8306"/>
      </w:tabs>
    </w:pPr>
  </w:style>
  <w:style w:type="paragraph" w:styleId="Footer">
    <w:name w:val="footer"/>
    <w:basedOn w:val="Normal"/>
    <w:link w:val="FooterChar"/>
    <w:uiPriority w:val="99"/>
    <w:rsid w:val="00282211"/>
    <w:pPr>
      <w:tabs>
        <w:tab w:val="center" w:pos="4153"/>
        <w:tab w:val="right" w:pos="8306"/>
      </w:tabs>
      <w:spacing w:before="0" w:after="60"/>
    </w:pPr>
    <w:rPr>
      <w:color w:val="000000"/>
      <w:sz w:val="16"/>
    </w:rPr>
  </w:style>
  <w:style w:type="paragraph" w:customStyle="1" w:styleId="CoverSubheading">
    <w:name w:val="Cover Subheading"/>
    <w:basedOn w:val="Normal"/>
    <w:next w:val="Normal"/>
    <w:rsid w:val="00182BC1"/>
    <w:pPr>
      <w:spacing w:before="60" w:after="60"/>
    </w:pPr>
    <w:rPr>
      <w:rFonts w:ascii="Lucida Sans" w:hAnsi="Lucida Sans"/>
      <w:color w:val="008000"/>
      <w:sz w:val="24"/>
    </w:rPr>
  </w:style>
  <w:style w:type="character" w:styleId="Hyperlink">
    <w:name w:val="Hyperlink"/>
    <w:basedOn w:val="DefaultParagraphFont"/>
    <w:uiPriority w:val="99"/>
    <w:rsid w:val="00FF375C"/>
    <w:rPr>
      <w:color w:val="008000"/>
      <w:u w:val="single"/>
    </w:rPr>
  </w:style>
  <w:style w:type="table" w:customStyle="1" w:styleId="BlueDocumentInfoTableStyle">
    <w:name w:val="Blue Document Info Table Style"/>
    <w:basedOn w:val="TableNormal"/>
    <w:rsid w:val="00DC2A5B"/>
    <w:rPr>
      <w:rFonts w:ascii="Arial" w:hAnsi="Arial"/>
      <w:color w:val="000000"/>
      <w:sz w:val="16"/>
    </w:rPr>
    <w:tblPr>
      <w:tblBorders>
        <w:top w:val="single" w:sz="4" w:space="0" w:color="B5DDDC"/>
        <w:left w:val="single" w:sz="4" w:space="0" w:color="B5DDDC"/>
        <w:bottom w:val="single" w:sz="4" w:space="0" w:color="B5DDDC"/>
        <w:right w:val="single" w:sz="4" w:space="0" w:color="B5DDDC"/>
        <w:insideH w:val="single" w:sz="4" w:space="0" w:color="B5DDDC"/>
        <w:insideV w:val="single" w:sz="4" w:space="0" w:color="B5DDDC"/>
      </w:tblBorders>
    </w:tblPr>
    <w:tblStylePr w:type="firstRow">
      <w:pPr>
        <w:jc w:val="left"/>
      </w:pPr>
      <w:rPr>
        <w:rFonts w:ascii="Arial" w:hAnsi="Arial"/>
        <w:b/>
        <w:color w:val="008000"/>
        <w:sz w:val="16"/>
      </w:rPr>
      <w:tblPr/>
      <w:tcPr>
        <w:shd w:val="clear" w:color="auto" w:fill="B5DDDC"/>
        <w:vAlign w:val="center"/>
      </w:tcPr>
    </w:tblStylePr>
  </w:style>
  <w:style w:type="table" w:customStyle="1" w:styleId="PlainDocumentInfoTableStyle">
    <w:name w:val="Plain Document Info Table Style"/>
    <w:basedOn w:val="TableNormal"/>
    <w:rsid w:val="00282211"/>
    <w:rPr>
      <w:rFonts w:ascii="Arial" w:hAnsi="Arial"/>
      <w:color w:val="000000"/>
      <w:sz w:val="16"/>
    </w:rPr>
    <w:tblPr/>
    <w:tblStylePr w:type="firstCol">
      <w:rPr>
        <w:b/>
      </w:rPr>
    </w:tblStylePr>
  </w:style>
  <w:style w:type="character" w:styleId="PageNumber">
    <w:name w:val="page number"/>
    <w:basedOn w:val="DefaultParagraphFont"/>
    <w:rsid w:val="00282211"/>
    <w:rPr>
      <w:rFonts w:ascii="Arial" w:hAnsi="Arial"/>
      <w:sz w:val="16"/>
    </w:rPr>
  </w:style>
  <w:style w:type="paragraph" w:customStyle="1" w:styleId="CoverNumber">
    <w:name w:val="Cover Number"/>
    <w:basedOn w:val="Normal"/>
    <w:next w:val="Normal"/>
    <w:rsid w:val="005D5F6C"/>
    <w:pPr>
      <w:jc w:val="right"/>
    </w:pPr>
    <w:rPr>
      <w:rFonts w:ascii="Lucida Sans" w:hAnsi="Lucida Sans"/>
      <w:color w:val="008000"/>
      <w:sz w:val="600"/>
    </w:rPr>
  </w:style>
  <w:style w:type="paragraph" w:customStyle="1" w:styleId="CoverHeadings">
    <w:name w:val="Cover Headings"/>
    <w:basedOn w:val="Normal"/>
    <w:next w:val="Normal"/>
    <w:autoRedefine/>
    <w:rsid w:val="005F554B"/>
    <w:pPr>
      <w:spacing w:before="0" w:after="0"/>
    </w:pPr>
    <w:rPr>
      <w:rFonts w:ascii="Lucida Sans" w:hAnsi="Lucida Sans"/>
      <w:color w:val="008000"/>
      <w:sz w:val="42"/>
    </w:rPr>
  </w:style>
  <w:style w:type="paragraph" w:customStyle="1" w:styleId="Non-numberedHeading1">
    <w:name w:val="Non-numbered Heading 1"/>
    <w:basedOn w:val="Normal"/>
    <w:next w:val="Normal"/>
    <w:link w:val="Non-numberedHeading1Char"/>
    <w:rsid w:val="005976B3"/>
    <w:pPr>
      <w:pageBreakBefore/>
      <w:spacing w:before="60" w:after="240"/>
    </w:pPr>
    <w:rPr>
      <w:rFonts w:ascii="Lucida Sans" w:hAnsi="Lucida Sans"/>
      <w:b/>
      <w:color w:val="008000"/>
      <w:sz w:val="32"/>
    </w:rPr>
  </w:style>
  <w:style w:type="paragraph" w:styleId="TOC1">
    <w:name w:val="toc 1"/>
    <w:basedOn w:val="Normal"/>
    <w:next w:val="Normal"/>
    <w:autoRedefine/>
    <w:uiPriority w:val="39"/>
    <w:rsid w:val="00F021A6"/>
    <w:pPr>
      <w:tabs>
        <w:tab w:val="left" w:pos="400"/>
        <w:tab w:val="right" w:leader="dot" w:pos="7643"/>
      </w:tabs>
    </w:pPr>
  </w:style>
  <w:style w:type="paragraph" w:styleId="TOC2">
    <w:name w:val="toc 2"/>
    <w:basedOn w:val="Normal"/>
    <w:next w:val="Normal"/>
    <w:autoRedefine/>
    <w:uiPriority w:val="39"/>
    <w:rsid w:val="00D269CC"/>
    <w:pPr>
      <w:ind w:left="200"/>
    </w:pPr>
  </w:style>
  <w:style w:type="paragraph" w:styleId="TOC3">
    <w:name w:val="toc 3"/>
    <w:basedOn w:val="Normal"/>
    <w:next w:val="Normal"/>
    <w:autoRedefine/>
    <w:uiPriority w:val="39"/>
    <w:rsid w:val="00D269CC"/>
    <w:pPr>
      <w:ind w:left="400"/>
    </w:pPr>
  </w:style>
  <w:style w:type="paragraph" w:styleId="TOC4">
    <w:name w:val="toc 4"/>
    <w:basedOn w:val="Normal"/>
    <w:next w:val="Normal"/>
    <w:autoRedefine/>
    <w:uiPriority w:val="39"/>
    <w:rsid w:val="00AE2161"/>
    <w:pPr>
      <w:ind w:left="600"/>
    </w:pPr>
  </w:style>
  <w:style w:type="table" w:customStyle="1" w:styleId="EcosleftTableStyle">
    <w:name w:val="Ecos_left Table Style"/>
    <w:basedOn w:val="TableNormal"/>
    <w:rsid w:val="009437E2"/>
    <w:rPr>
      <w:rFonts w:ascii="Arial" w:hAnsi="Arial"/>
      <w:sz w:val="16"/>
    </w:rPr>
    <w:tblPr>
      <w:tblBorders>
        <w:top w:val="single" w:sz="4" w:space="0" w:color="B5DDDC"/>
        <w:left w:val="single" w:sz="4" w:space="0" w:color="B5DDDC"/>
        <w:bottom w:val="single" w:sz="4" w:space="0" w:color="B5DDDC"/>
        <w:right w:val="single" w:sz="4" w:space="0" w:color="B5DDDC"/>
        <w:insideH w:val="single" w:sz="4" w:space="0" w:color="B5DDDC"/>
        <w:insideV w:val="single" w:sz="4" w:space="0" w:color="B5DDDC"/>
      </w:tblBorders>
    </w:tblPr>
    <w:tcPr>
      <w:vAlign w:val="center"/>
    </w:tcPr>
    <w:tblStylePr w:type="firstRow">
      <w:pPr>
        <w:jc w:val="left"/>
      </w:pPr>
      <w:rPr>
        <w:b/>
        <w:color w:val="008000"/>
      </w:rPr>
      <w:tblPr/>
      <w:tcPr>
        <w:shd w:val="clear" w:color="auto" w:fill="B5DDDC"/>
      </w:tcPr>
    </w:tblStylePr>
    <w:tblStylePr w:type="firstCol">
      <w:pPr>
        <w:jc w:val="left"/>
      </w:pPr>
      <w:tblPr/>
      <w:tcPr>
        <w:shd w:val="clear" w:color="auto" w:fill="D6EAEB"/>
      </w:tcPr>
    </w:tblStylePr>
  </w:style>
  <w:style w:type="numbering" w:customStyle="1" w:styleId="ListStyle">
    <w:name w:val="List Style"/>
    <w:basedOn w:val="NoList"/>
    <w:rsid w:val="005926B8"/>
    <w:pPr>
      <w:numPr>
        <w:numId w:val="1"/>
      </w:numPr>
    </w:pPr>
  </w:style>
  <w:style w:type="paragraph" w:customStyle="1" w:styleId="NormalParagraphText">
    <w:name w:val="Normal Paragraph Text"/>
    <w:basedOn w:val="Normal"/>
    <w:rsid w:val="000358F8"/>
    <w:pPr>
      <w:spacing w:after="240"/>
    </w:pPr>
    <w:rPr>
      <w:color w:val="000000"/>
    </w:rPr>
  </w:style>
  <w:style w:type="paragraph" w:styleId="Caption">
    <w:name w:val="caption"/>
    <w:aliases w:val="AWT Caption,Caption Char Char,Caption Char1,Figure,Item,TABLE"/>
    <w:basedOn w:val="Normal"/>
    <w:next w:val="Normal"/>
    <w:link w:val="CaptionChar"/>
    <w:uiPriority w:val="35"/>
    <w:qFormat/>
    <w:rsid w:val="004510F5"/>
    <w:rPr>
      <w:i/>
      <w:sz w:val="18"/>
    </w:rPr>
  </w:style>
  <w:style w:type="paragraph" w:customStyle="1" w:styleId="StyleHeading1">
    <w:name w:val="Style Heading 1"/>
    <w:basedOn w:val="Heading1"/>
    <w:rsid w:val="00BF4FAB"/>
    <w:pPr>
      <w:numPr>
        <w:numId w:val="0"/>
      </w:numPr>
      <w:spacing w:before="240"/>
    </w:pPr>
    <w:rPr>
      <w:rFonts w:cs="Times New Roman"/>
      <w:szCs w:val="20"/>
    </w:rPr>
  </w:style>
  <w:style w:type="character" w:customStyle="1" w:styleId="Heading5Char">
    <w:name w:val="Heading 5 Char"/>
    <w:basedOn w:val="DefaultParagraphFont"/>
    <w:link w:val="Heading5"/>
    <w:rsid w:val="00664F33"/>
    <w:rPr>
      <w:rFonts w:ascii="Arial" w:hAnsi="Arial"/>
      <w:b/>
      <w:bCs/>
      <w:iCs/>
      <w:sz w:val="18"/>
      <w:szCs w:val="24"/>
      <w:lang w:eastAsia="zh-CN"/>
    </w:rPr>
  </w:style>
  <w:style w:type="character" w:customStyle="1" w:styleId="Heading6Char">
    <w:name w:val="Heading 6 Char"/>
    <w:basedOn w:val="DefaultParagraphFont"/>
    <w:link w:val="Heading6"/>
    <w:rsid w:val="00A76AEB"/>
    <w:rPr>
      <w:rFonts w:ascii="Calibri" w:hAnsi="Calibri"/>
      <w:b/>
      <w:bCs/>
      <w:sz w:val="22"/>
      <w:szCs w:val="22"/>
      <w:lang w:eastAsia="zh-CN"/>
    </w:rPr>
  </w:style>
  <w:style w:type="character" w:customStyle="1" w:styleId="Heading7Char">
    <w:name w:val="Heading 7 Char"/>
    <w:basedOn w:val="DefaultParagraphFont"/>
    <w:link w:val="Heading7"/>
    <w:rsid w:val="00A76AEB"/>
    <w:rPr>
      <w:rFonts w:ascii="Calibri" w:hAnsi="Calibri"/>
      <w:sz w:val="24"/>
      <w:szCs w:val="24"/>
      <w:lang w:eastAsia="zh-CN"/>
    </w:rPr>
  </w:style>
  <w:style w:type="character" w:customStyle="1" w:styleId="Heading8Char">
    <w:name w:val="Heading 8 Char"/>
    <w:basedOn w:val="DefaultParagraphFont"/>
    <w:link w:val="Heading8"/>
    <w:rsid w:val="00A76AEB"/>
    <w:rPr>
      <w:rFonts w:ascii="Calibri" w:hAnsi="Calibri"/>
      <w:i/>
      <w:iCs/>
      <w:sz w:val="24"/>
      <w:szCs w:val="24"/>
      <w:lang w:eastAsia="zh-CN"/>
    </w:rPr>
  </w:style>
  <w:style w:type="character" w:customStyle="1" w:styleId="Heading9Char">
    <w:name w:val="Heading 9 Char"/>
    <w:basedOn w:val="DefaultParagraphFont"/>
    <w:link w:val="Heading9"/>
    <w:rsid w:val="00A76AEB"/>
    <w:rPr>
      <w:rFonts w:ascii="Cambria" w:hAnsi="Cambria"/>
      <w:sz w:val="22"/>
      <w:szCs w:val="22"/>
      <w:lang w:eastAsia="zh-CN"/>
    </w:rPr>
  </w:style>
  <w:style w:type="character" w:customStyle="1" w:styleId="Heading1Char">
    <w:name w:val="Heading 1 Char"/>
    <w:aliases w:val="Cover Heading Char"/>
    <w:basedOn w:val="DefaultParagraphFont"/>
    <w:link w:val="Heading1"/>
    <w:rsid w:val="00EF6B6B"/>
    <w:rPr>
      <w:rFonts w:ascii="Lucida Sans" w:hAnsi="Lucida Sans" w:cs="Arial"/>
      <w:b/>
      <w:bCs/>
      <w:color w:val="008000"/>
      <w:kern w:val="32"/>
      <w:sz w:val="32"/>
      <w:szCs w:val="32"/>
    </w:rPr>
  </w:style>
  <w:style w:type="character" w:customStyle="1" w:styleId="Heading2Char">
    <w:name w:val="Heading 2 Char"/>
    <w:basedOn w:val="DefaultParagraphFont"/>
    <w:link w:val="Heading2"/>
    <w:rsid w:val="00A34E64"/>
    <w:rPr>
      <w:rFonts w:ascii="Arial" w:hAnsi="Arial" w:cs="Arial"/>
      <w:b/>
      <w:bCs/>
      <w:iCs/>
      <w:color w:val="008000"/>
      <w:sz w:val="24"/>
      <w:szCs w:val="28"/>
    </w:rPr>
  </w:style>
  <w:style w:type="character" w:customStyle="1" w:styleId="Heading3Char">
    <w:name w:val="Heading 3 Char"/>
    <w:basedOn w:val="DefaultParagraphFont"/>
    <w:link w:val="Heading3"/>
    <w:rsid w:val="000A31AF"/>
    <w:rPr>
      <w:rFonts w:ascii="Arial" w:hAnsi="Arial" w:cs="Arial"/>
      <w:b/>
      <w:bCs/>
      <w:color w:val="000000"/>
      <w:sz w:val="22"/>
      <w:szCs w:val="26"/>
    </w:rPr>
  </w:style>
  <w:style w:type="character" w:customStyle="1" w:styleId="Heading4Char">
    <w:name w:val="Heading 4 Char"/>
    <w:basedOn w:val="DefaultParagraphFont"/>
    <w:link w:val="Heading4"/>
    <w:rsid w:val="000A31AF"/>
    <w:rPr>
      <w:rFonts w:ascii="Arial" w:hAnsi="Arial"/>
      <w:b/>
      <w:bCs/>
      <w:color w:val="000000"/>
      <w:szCs w:val="28"/>
    </w:rPr>
  </w:style>
  <w:style w:type="paragraph" w:styleId="NoSpacing">
    <w:name w:val="No Spacing"/>
    <w:link w:val="NoSpacingChar"/>
    <w:uiPriority w:val="1"/>
    <w:qFormat/>
    <w:rsid w:val="00A76AEB"/>
    <w:rPr>
      <w:rFonts w:ascii="Calibri" w:eastAsia="SimSun" w:hAnsi="Calibri"/>
      <w:sz w:val="22"/>
      <w:szCs w:val="22"/>
      <w:lang w:eastAsia="zh-CN"/>
    </w:rPr>
  </w:style>
  <w:style w:type="character" w:customStyle="1" w:styleId="NoSpacingChar">
    <w:name w:val="No Spacing Char"/>
    <w:basedOn w:val="DefaultParagraphFont"/>
    <w:link w:val="NoSpacing"/>
    <w:uiPriority w:val="1"/>
    <w:rsid w:val="00A76AEB"/>
    <w:rPr>
      <w:rFonts w:ascii="Calibri" w:eastAsia="SimSun" w:hAnsi="Calibri"/>
      <w:sz w:val="22"/>
      <w:szCs w:val="22"/>
      <w:lang w:eastAsia="zh-CN"/>
    </w:rPr>
  </w:style>
  <w:style w:type="character" w:styleId="IntenseEmphasis">
    <w:name w:val="Intense Emphasis"/>
    <w:basedOn w:val="DefaultParagraphFont"/>
    <w:uiPriority w:val="21"/>
    <w:qFormat/>
    <w:rsid w:val="00A76AEB"/>
    <w:rPr>
      <w:b/>
      <w:bCs/>
      <w:i/>
      <w:iCs/>
      <w:color w:val="4F81BD"/>
    </w:rPr>
  </w:style>
  <w:style w:type="character" w:customStyle="1" w:styleId="HeaderChar">
    <w:name w:val="Header Char"/>
    <w:aliases w:val="Header1 Char"/>
    <w:basedOn w:val="DefaultParagraphFont"/>
    <w:link w:val="Header"/>
    <w:rsid w:val="00A76AEB"/>
    <w:rPr>
      <w:rFonts w:ascii="Arial" w:hAnsi="Arial"/>
      <w:szCs w:val="24"/>
    </w:rPr>
  </w:style>
  <w:style w:type="character" w:customStyle="1" w:styleId="FooterChar">
    <w:name w:val="Footer Char"/>
    <w:basedOn w:val="DefaultParagraphFont"/>
    <w:link w:val="Footer"/>
    <w:uiPriority w:val="99"/>
    <w:rsid w:val="00A76AEB"/>
    <w:rPr>
      <w:rFonts w:ascii="Arial" w:hAnsi="Arial"/>
      <w:color w:val="000000"/>
      <w:sz w:val="16"/>
      <w:szCs w:val="24"/>
    </w:rPr>
  </w:style>
  <w:style w:type="paragraph" w:styleId="BalloonText">
    <w:name w:val="Balloon Text"/>
    <w:basedOn w:val="Normal"/>
    <w:link w:val="BalloonTextChar"/>
    <w:unhideWhenUsed/>
    <w:rsid w:val="00A76AEB"/>
    <w:pPr>
      <w:spacing w:before="0" w:after="0" w:line="240" w:lineRule="auto"/>
    </w:pPr>
    <w:rPr>
      <w:rFonts w:ascii="Tahoma" w:eastAsia="SimSun" w:hAnsi="Tahoma" w:cs="Tahoma"/>
      <w:sz w:val="16"/>
      <w:szCs w:val="16"/>
      <w:lang w:eastAsia="zh-CN"/>
    </w:rPr>
  </w:style>
  <w:style w:type="character" w:customStyle="1" w:styleId="BalloonTextChar">
    <w:name w:val="Balloon Text Char"/>
    <w:basedOn w:val="DefaultParagraphFont"/>
    <w:link w:val="BalloonText"/>
    <w:rsid w:val="00A76AEB"/>
    <w:rPr>
      <w:rFonts w:ascii="Tahoma" w:eastAsia="SimSun" w:hAnsi="Tahoma" w:cs="Tahoma"/>
      <w:sz w:val="16"/>
      <w:szCs w:val="16"/>
      <w:lang w:eastAsia="zh-CN"/>
    </w:rPr>
  </w:style>
  <w:style w:type="paragraph" w:styleId="Title">
    <w:name w:val="Title"/>
    <w:basedOn w:val="NoSpacing"/>
    <w:next w:val="Normal"/>
    <w:link w:val="TitleChar"/>
    <w:qFormat/>
    <w:rsid w:val="00A76AEB"/>
    <w:pPr>
      <w:framePr w:hSpace="187" w:wrap="around" w:vAnchor="page" w:hAnchor="page" w:xAlign="center" w:yAlign="center"/>
    </w:pPr>
    <w:rPr>
      <w:rFonts w:ascii="Cambria" w:hAnsi="Cambria"/>
      <w:sz w:val="76"/>
      <w:szCs w:val="72"/>
    </w:rPr>
  </w:style>
  <w:style w:type="character" w:customStyle="1" w:styleId="TitleChar">
    <w:name w:val="Title Char"/>
    <w:basedOn w:val="DefaultParagraphFont"/>
    <w:link w:val="Title"/>
    <w:rsid w:val="00A76AEB"/>
    <w:rPr>
      <w:rFonts w:ascii="Cambria" w:eastAsia="SimSun" w:hAnsi="Cambria"/>
      <w:sz w:val="76"/>
      <w:szCs w:val="72"/>
      <w:lang w:eastAsia="zh-CN"/>
    </w:rPr>
  </w:style>
  <w:style w:type="paragraph" w:styleId="Subtitle">
    <w:name w:val="Subtitle"/>
    <w:basedOn w:val="NoSpacing"/>
    <w:next w:val="Normal"/>
    <w:link w:val="SubtitleChar"/>
    <w:qFormat/>
    <w:rsid w:val="00A76AEB"/>
    <w:pPr>
      <w:framePr w:hSpace="187" w:wrap="around" w:vAnchor="page" w:hAnchor="page" w:xAlign="center" w:yAlign="center"/>
    </w:pPr>
    <w:rPr>
      <w:rFonts w:ascii="Cambria" w:hAnsi="Cambria"/>
      <w:sz w:val="36"/>
      <w:szCs w:val="36"/>
    </w:rPr>
  </w:style>
  <w:style w:type="character" w:customStyle="1" w:styleId="SubtitleChar">
    <w:name w:val="Subtitle Char"/>
    <w:basedOn w:val="DefaultParagraphFont"/>
    <w:link w:val="Subtitle"/>
    <w:rsid w:val="00A76AEB"/>
    <w:rPr>
      <w:rFonts w:ascii="Cambria" w:eastAsia="SimSun" w:hAnsi="Cambria"/>
      <w:sz w:val="36"/>
      <w:szCs w:val="36"/>
      <w:lang w:eastAsia="zh-CN"/>
    </w:rPr>
  </w:style>
  <w:style w:type="paragraph" w:styleId="DocumentMap">
    <w:name w:val="Document Map"/>
    <w:basedOn w:val="Normal"/>
    <w:link w:val="DocumentMapChar"/>
    <w:unhideWhenUsed/>
    <w:rsid w:val="00A76AEB"/>
    <w:pPr>
      <w:spacing w:before="0" w:after="0" w:line="240" w:lineRule="auto"/>
    </w:pPr>
    <w:rPr>
      <w:rFonts w:ascii="Tahoma" w:eastAsia="SimSun" w:hAnsi="Tahoma" w:cs="Tahoma"/>
      <w:sz w:val="16"/>
      <w:szCs w:val="16"/>
      <w:lang w:eastAsia="zh-CN"/>
    </w:rPr>
  </w:style>
  <w:style w:type="character" w:customStyle="1" w:styleId="DocumentMapChar">
    <w:name w:val="Document Map Char"/>
    <w:basedOn w:val="DefaultParagraphFont"/>
    <w:link w:val="DocumentMap"/>
    <w:rsid w:val="00A76AEB"/>
    <w:rPr>
      <w:rFonts w:ascii="Tahoma" w:eastAsia="SimSun" w:hAnsi="Tahoma" w:cs="Tahoma"/>
      <w:sz w:val="16"/>
      <w:szCs w:val="16"/>
      <w:lang w:eastAsia="zh-CN"/>
    </w:rPr>
  </w:style>
  <w:style w:type="character" w:styleId="SubtleReference">
    <w:name w:val="Subtle Reference"/>
    <w:basedOn w:val="DefaultParagraphFont"/>
    <w:uiPriority w:val="31"/>
    <w:qFormat/>
    <w:rsid w:val="00A76AEB"/>
    <w:rPr>
      <w:smallCaps/>
      <w:color w:val="C0504D"/>
      <w:u w:val="single"/>
    </w:rPr>
  </w:style>
  <w:style w:type="character" w:styleId="SubtleEmphasis">
    <w:name w:val="Subtle Emphasis"/>
    <w:basedOn w:val="DefaultParagraphFont"/>
    <w:uiPriority w:val="19"/>
    <w:qFormat/>
    <w:rsid w:val="00A76AEB"/>
    <w:rPr>
      <w:i/>
      <w:iCs/>
      <w:color w:val="808080"/>
    </w:rPr>
  </w:style>
  <w:style w:type="paragraph" w:styleId="Date">
    <w:name w:val="Date"/>
    <w:basedOn w:val="Normal"/>
    <w:next w:val="Normal"/>
    <w:link w:val="DateChar"/>
    <w:uiPriority w:val="99"/>
    <w:unhideWhenUsed/>
    <w:rsid w:val="00A76AEB"/>
    <w:pPr>
      <w:spacing w:before="0" w:after="160" w:line="240" w:lineRule="auto"/>
    </w:pPr>
    <w:rPr>
      <w:rFonts w:ascii="Calibri" w:eastAsia="SimSun" w:hAnsi="Calibri"/>
      <w:sz w:val="22"/>
      <w:szCs w:val="22"/>
      <w:lang w:eastAsia="zh-CN"/>
    </w:rPr>
  </w:style>
  <w:style w:type="character" w:customStyle="1" w:styleId="DateChar">
    <w:name w:val="Date Char"/>
    <w:basedOn w:val="DefaultParagraphFont"/>
    <w:link w:val="Date"/>
    <w:uiPriority w:val="99"/>
    <w:rsid w:val="00A76AEB"/>
    <w:rPr>
      <w:rFonts w:ascii="Calibri" w:eastAsia="SimSun" w:hAnsi="Calibri"/>
      <w:sz w:val="22"/>
      <w:szCs w:val="22"/>
      <w:lang w:eastAsia="zh-CN"/>
    </w:rPr>
  </w:style>
  <w:style w:type="paragraph" w:styleId="TOCHeading">
    <w:name w:val="TOC Heading"/>
    <w:basedOn w:val="Heading1"/>
    <w:next w:val="Normal"/>
    <w:uiPriority w:val="39"/>
    <w:qFormat/>
    <w:rsid w:val="00A76AEB"/>
    <w:pPr>
      <w:keepLines/>
      <w:numPr>
        <w:numId w:val="0"/>
      </w:numPr>
      <w:tabs>
        <w:tab w:val="num" w:pos="360"/>
      </w:tabs>
      <w:spacing w:before="480" w:line="276" w:lineRule="auto"/>
      <w:ind w:left="432" w:hanging="432"/>
      <w:outlineLvl w:val="9"/>
    </w:pPr>
    <w:rPr>
      <w:rFonts w:ascii="Cambria" w:eastAsia="SimSun" w:hAnsi="Cambria" w:cs="Times New Roman"/>
      <w:color w:val="365F91"/>
      <w:kern w:val="0"/>
      <w:sz w:val="28"/>
      <w:szCs w:val="28"/>
      <w:lang w:val="en-US" w:eastAsia="en-US"/>
    </w:rPr>
  </w:style>
  <w:style w:type="paragraph" w:customStyle="1" w:styleId="TableText">
    <w:name w:val="Table Text"/>
    <w:basedOn w:val="Normal"/>
    <w:link w:val="TableTextChar"/>
    <w:qFormat/>
    <w:rsid w:val="00A76AEB"/>
    <w:pPr>
      <w:spacing w:before="20" w:after="0" w:line="240" w:lineRule="auto"/>
    </w:pPr>
    <w:rPr>
      <w:rFonts w:ascii="Arial Narrow" w:hAnsi="Arial Narrow"/>
      <w:sz w:val="18"/>
      <w:szCs w:val="20"/>
      <w:lang w:val="en-GB" w:eastAsia="en-US"/>
    </w:rPr>
  </w:style>
  <w:style w:type="character" w:customStyle="1" w:styleId="TableTextChar">
    <w:name w:val="Table Text Char"/>
    <w:basedOn w:val="DefaultParagraphFont"/>
    <w:link w:val="TableText"/>
    <w:rsid w:val="00A76AEB"/>
    <w:rPr>
      <w:rFonts w:ascii="Arial Narrow" w:hAnsi="Arial Narrow"/>
      <w:sz w:val="18"/>
      <w:lang w:val="en-GB" w:eastAsia="en-US"/>
    </w:rPr>
  </w:style>
  <w:style w:type="character" w:customStyle="1" w:styleId="BookTitle1">
    <w:name w:val="Book Title1"/>
    <w:aliases w:val="Book Title2,Title Contents"/>
    <w:basedOn w:val="DefaultParagraphFont"/>
    <w:uiPriority w:val="33"/>
    <w:qFormat/>
    <w:rsid w:val="00A76AEB"/>
    <w:rPr>
      <w:b/>
      <w:bCs/>
      <w:smallCaps/>
      <w:spacing w:val="5"/>
    </w:rPr>
  </w:style>
  <w:style w:type="table" w:styleId="TableGrid">
    <w:name w:val="Table Grid"/>
    <w:basedOn w:val="TableNormal"/>
    <w:rsid w:val="00A76AEB"/>
    <w:rPr>
      <w:rFonts w:ascii="Arial Narrow" w:hAnsi="Arial Narrow"/>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28" w:type="dxa"/>
        <w:right w:w="28" w:type="dxa"/>
      </w:tcMar>
    </w:tcPr>
  </w:style>
  <w:style w:type="character" w:styleId="Strong">
    <w:name w:val="Strong"/>
    <w:basedOn w:val="DefaultParagraphFont"/>
    <w:uiPriority w:val="22"/>
    <w:qFormat/>
    <w:rsid w:val="00A76AEB"/>
    <w:rPr>
      <w:b/>
      <w:bCs/>
    </w:rPr>
  </w:style>
  <w:style w:type="paragraph" w:customStyle="1" w:styleId="Caption-">
    <w:name w:val="Caption-"/>
    <w:basedOn w:val="Caption"/>
    <w:autoRedefine/>
    <w:rsid w:val="00A76AEB"/>
    <w:pPr>
      <w:keepNext/>
      <w:spacing w:before="0" w:after="0" w:line="240" w:lineRule="auto"/>
      <w:ind w:left="1276" w:hanging="1276"/>
    </w:pPr>
    <w:rPr>
      <w:rFonts w:ascii="Verdana" w:hAnsi="Verdana"/>
      <w:b/>
      <w:bCs/>
      <w:i w:val="0"/>
      <w:sz w:val="20"/>
      <w:szCs w:val="20"/>
      <w:lang w:val="en-GB" w:eastAsia="en-US"/>
    </w:rPr>
  </w:style>
  <w:style w:type="paragraph" w:customStyle="1" w:styleId="caption-0">
    <w:name w:val="caption-"/>
    <w:basedOn w:val="Caption"/>
    <w:autoRedefine/>
    <w:rsid w:val="00A76AEB"/>
    <w:pPr>
      <w:keepNext/>
      <w:spacing w:before="0" w:after="0" w:line="240" w:lineRule="auto"/>
      <w:ind w:left="1276" w:hanging="1276"/>
    </w:pPr>
    <w:rPr>
      <w:rFonts w:ascii="Verdana" w:hAnsi="Verdana"/>
      <w:b/>
      <w:bCs/>
      <w:i w:val="0"/>
      <w:sz w:val="20"/>
      <w:szCs w:val="20"/>
      <w:lang w:val="en-GB" w:eastAsia="en-US"/>
    </w:rPr>
  </w:style>
  <w:style w:type="paragraph" w:styleId="NormalWeb">
    <w:name w:val="Normal (Web)"/>
    <w:basedOn w:val="Normal"/>
    <w:uiPriority w:val="99"/>
    <w:rsid w:val="00A76AEB"/>
    <w:pPr>
      <w:spacing w:before="100" w:beforeAutospacing="1" w:after="100" w:afterAutospacing="1" w:line="240" w:lineRule="auto"/>
    </w:pPr>
    <w:rPr>
      <w:rFonts w:ascii="Verdana" w:hAnsi="Verdana"/>
      <w:sz w:val="22"/>
      <w:lang w:val="en-US" w:eastAsia="en-US"/>
    </w:rPr>
  </w:style>
  <w:style w:type="character" w:styleId="Emphasis">
    <w:name w:val="Emphasis"/>
    <w:basedOn w:val="DefaultParagraphFont"/>
    <w:qFormat/>
    <w:rsid w:val="00A76AEB"/>
    <w:rPr>
      <w:i/>
      <w:iCs/>
    </w:rPr>
  </w:style>
  <w:style w:type="paragraph" w:styleId="ListParagraph">
    <w:name w:val="List Paragraph"/>
    <w:basedOn w:val="Normal"/>
    <w:link w:val="ListParagraphChar"/>
    <w:uiPriority w:val="34"/>
    <w:qFormat/>
    <w:rsid w:val="00A76AEB"/>
    <w:pPr>
      <w:spacing w:before="0"/>
      <w:ind w:left="720"/>
    </w:pPr>
    <w:rPr>
      <w:lang w:val="en-GB" w:eastAsia="en-US"/>
    </w:rPr>
  </w:style>
  <w:style w:type="paragraph" w:styleId="FootnoteText">
    <w:name w:val="footnote text"/>
    <w:basedOn w:val="Normal"/>
    <w:link w:val="FootnoteTextChar1"/>
    <w:rsid w:val="00A76AEB"/>
    <w:pPr>
      <w:spacing w:before="0" w:after="0" w:line="240" w:lineRule="auto"/>
    </w:pPr>
    <w:rPr>
      <w:rFonts w:ascii="Verdana" w:hAnsi="Verdana"/>
      <w:szCs w:val="20"/>
      <w:lang w:val="en-GB" w:eastAsia="en-US"/>
    </w:rPr>
  </w:style>
  <w:style w:type="character" w:customStyle="1" w:styleId="FootnoteTextChar">
    <w:name w:val="Footnote Text Char"/>
    <w:basedOn w:val="DefaultParagraphFont"/>
    <w:rsid w:val="00A76AEB"/>
    <w:rPr>
      <w:rFonts w:ascii="Arial" w:hAnsi="Arial"/>
    </w:rPr>
  </w:style>
  <w:style w:type="character" w:customStyle="1" w:styleId="FootnoteTextChar1">
    <w:name w:val="Footnote Text Char1"/>
    <w:basedOn w:val="DefaultParagraphFont"/>
    <w:link w:val="FootnoteText"/>
    <w:rsid w:val="00A76AEB"/>
    <w:rPr>
      <w:rFonts w:ascii="Verdana" w:hAnsi="Verdana"/>
      <w:lang w:val="en-GB" w:eastAsia="en-US"/>
    </w:rPr>
  </w:style>
  <w:style w:type="character" w:styleId="FootnoteReference">
    <w:name w:val="footnote reference"/>
    <w:basedOn w:val="DefaultParagraphFont"/>
    <w:rsid w:val="00A76AEB"/>
    <w:rPr>
      <w:vertAlign w:val="superscript"/>
    </w:rPr>
  </w:style>
  <w:style w:type="paragraph" w:customStyle="1" w:styleId="ajhleadstatement">
    <w:name w:val="ajh lead statement"/>
    <w:basedOn w:val="Heading2"/>
    <w:rsid w:val="00A76AEB"/>
    <w:pPr>
      <w:numPr>
        <w:ilvl w:val="0"/>
        <w:numId w:val="0"/>
      </w:numPr>
      <w:tabs>
        <w:tab w:val="left" w:pos="284"/>
        <w:tab w:val="num" w:pos="720"/>
        <w:tab w:val="num" w:pos="1080"/>
        <w:tab w:val="left" w:pos="2127"/>
      </w:tabs>
      <w:spacing w:before="360" w:after="0" w:line="320" w:lineRule="atLeast"/>
      <w:ind w:left="1080" w:hanging="720"/>
    </w:pPr>
    <w:rPr>
      <w:rFonts w:eastAsia="MS Mincho" w:cs="Times New Roman"/>
      <w:b w:val="0"/>
      <w:bCs w:val="0"/>
      <w:iCs w:val="0"/>
      <w:caps/>
      <w:color w:val="auto"/>
      <w:sz w:val="22"/>
      <w:szCs w:val="32"/>
    </w:rPr>
  </w:style>
  <w:style w:type="paragraph" w:customStyle="1" w:styleId="Normalbullets">
    <w:name w:val="Normal bullets"/>
    <w:basedOn w:val="Normal"/>
    <w:rsid w:val="00A76AEB"/>
    <w:pPr>
      <w:tabs>
        <w:tab w:val="num" w:pos="2835"/>
      </w:tabs>
      <w:suppressAutoHyphens/>
      <w:spacing w:before="0"/>
      <w:ind w:left="2835" w:hanging="284"/>
      <w:jc w:val="both"/>
    </w:pPr>
    <w:rPr>
      <w:szCs w:val="20"/>
      <w:lang w:eastAsia="en-US"/>
    </w:rPr>
  </w:style>
  <w:style w:type="paragraph" w:customStyle="1" w:styleId="TableBullet">
    <w:name w:val="TableBullet"/>
    <w:basedOn w:val="Normal"/>
    <w:rsid w:val="00A76AEB"/>
    <w:pPr>
      <w:keepNext/>
      <w:tabs>
        <w:tab w:val="left" w:pos="216"/>
        <w:tab w:val="num" w:pos="720"/>
      </w:tabs>
      <w:spacing w:before="20" w:after="20" w:line="240" w:lineRule="auto"/>
      <w:ind w:left="720" w:hanging="360"/>
    </w:pPr>
    <w:rPr>
      <w:rFonts w:ascii="Arial Narrow" w:hAnsi="Arial Narrow"/>
      <w:szCs w:val="20"/>
      <w:lang w:eastAsia="en-US"/>
    </w:rPr>
  </w:style>
  <w:style w:type="paragraph" w:customStyle="1" w:styleId="TableNotes">
    <w:name w:val="TableNotes"/>
    <w:basedOn w:val="Normal"/>
    <w:rsid w:val="00A76AEB"/>
    <w:pPr>
      <w:keepLines/>
      <w:spacing w:before="60" w:after="0" w:line="240" w:lineRule="auto"/>
    </w:pPr>
    <w:rPr>
      <w:sz w:val="16"/>
      <w:szCs w:val="20"/>
      <w:lang w:eastAsia="en-US"/>
    </w:rPr>
  </w:style>
  <w:style w:type="paragraph" w:customStyle="1" w:styleId="TableText0">
    <w:name w:val="TableText"/>
    <w:basedOn w:val="Normal"/>
    <w:qFormat/>
    <w:rsid w:val="0058655C"/>
    <w:pPr>
      <w:widowControl w:val="0"/>
      <w:spacing w:before="20" w:after="20" w:line="240" w:lineRule="auto"/>
    </w:pPr>
    <w:rPr>
      <w:rFonts w:ascii="Arial Narrow" w:hAnsi="Arial Narrow"/>
      <w:sz w:val="18"/>
      <w:szCs w:val="16"/>
      <w:lang w:val="en-US" w:eastAsia="en-US"/>
    </w:rPr>
  </w:style>
  <w:style w:type="paragraph" w:styleId="CommentText">
    <w:name w:val="annotation text"/>
    <w:basedOn w:val="Normal"/>
    <w:link w:val="CommentTextChar"/>
    <w:rsid w:val="00A76AEB"/>
    <w:rPr>
      <w:szCs w:val="20"/>
    </w:rPr>
  </w:style>
  <w:style w:type="character" w:customStyle="1" w:styleId="CommentTextChar">
    <w:name w:val="Comment Text Char"/>
    <w:basedOn w:val="DefaultParagraphFont"/>
    <w:link w:val="CommentText"/>
    <w:rsid w:val="00A76AEB"/>
    <w:rPr>
      <w:rFonts w:ascii="Arial" w:hAnsi="Arial"/>
    </w:rPr>
  </w:style>
  <w:style w:type="paragraph" w:styleId="CommentSubject">
    <w:name w:val="annotation subject"/>
    <w:basedOn w:val="CommentText"/>
    <w:next w:val="CommentText"/>
    <w:link w:val="CommentSubjectChar"/>
    <w:rsid w:val="00A76AEB"/>
    <w:pPr>
      <w:numPr>
        <w:numId w:val="3"/>
      </w:numPr>
      <w:tabs>
        <w:tab w:val="clear" w:pos="360"/>
      </w:tabs>
      <w:spacing w:before="0" w:line="240" w:lineRule="auto"/>
      <w:ind w:left="0" w:firstLine="0"/>
    </w:pPr>
    <w:rPr>
      <w:b/>
      <w:bCs/>
      <w:lang w:eastAsia="en-US"/>
    </w:rPr>
  </w:style>
  <w:style w:type="character" w:customStyle="1" w:styleId="CommentSubjectChar">
    <w:name w:val="Comment Subject Char"/>
    <w:basedOn w:val="CommentTextChar"/>
    <w:link w:val="CommentSubject"/>
    <w:rsid w:val="00A76AEB"/>
    <w:rPr>
      <w:rFonts w:ascii="Arial" w:hAnsi="Arial"/>
      <w:b/>
      <w:bCs/>
      <w:lang w:eastAsia="en-US"/>
    </w:rPr>
  </w:style>
  <w:style w:type="paragraph" w:customStyle="1" w:styleId="TableDashChar">
    <w:name w:val="TableDash Char"/>
    <w:basedOn w:val="Normal"/>
    <w:rsid w:val="00A76AEB"/>
    <w:pPr>
      <w:keepNext/>
      <w:tabs>
        <w:tab w:val="num" w:pos="720"/>
      </w:tabs>
      <w:spacing w:before="20" w:after="20" w:line="240" w:lineRule="auto"/>
      <w:ind w:left="430" w:hanging="215"/>
    </w:pPr>
    <w:rPr>
      <w:szCs w:val="20"/>
      <w:lang w:eastAsia="en-US"/>
    </w:rPr>
  </w:style>
  <w:style w:type="paragraph" w:customStyle="1" w:styleId="TableHeading">
    <w:name w:val="TableHeading"/>
    <w:basedOn w:val="Normal"/>
    <w:link w:val="TableHeadingChar"/>
    <w:rsid w:val="00A76AEB"/>
    <w:pPr>
      <w:keepNext/>
      <w:spacing w:before="20" w:after="20" w:line="240" w:lineRule="auto"/>
    </w:pPr>
    <w:rPr>
      <w:b/>
      <w:sz w:val="18"/>
      <w:szCs w:val="20"/>
      <w:lang w:eastAsia="en-US"/>
    </w:rPr>
  </w:style>
  <w:style w:type="character" w:customStyle="1" w:styleId="TableHeadingChar">
    <w:name w:val="TableHeading Char"/>
    <w:basedOn w:val="DefaultParagraphFont"/>
    <w:link w:val="TableHeading"/>
    <w:rsid w:val="00A76AEB"/>
    <w:rPr>
      <w:rFonts w:ascii="Arial" w:hAnsi="Arial"/>
      <w:b/>
      <w:sz w:val="18"/>
      <w:lang w:eastAsia="en-US"/>
    </w:rPr>
  </w:style>
  <w:style w:type="character" w:customStyle="1" w:styleId="Tablesource">
    <w:name w:val="Table source"/>
    <w:rsid w:val="00A76AEB"/>
    <w:rPr>
      <w:sz w:val="16"/>
    </w:rPr>
  </w:style>
  <w:style w:type="paragraph" w:customStyle="1" w:styleId="BoxBullet">
    <w:name w:val="BoxBullet"/>
    <w:basedOn w:val="Normal"/>
    <w:rsid w:val="00A76AEB"/>
    <w:pPr>
      <w:numPr>
        <w:numId w:val="4"/>
      </w:numPr>
      <w:tabs>
        <w:tab w:val="clear" w:pos="576"/>
        <w:tab w:val="num" w:pos="360"/>
      </w:tabs>
      <w:spacing w:before="0" w:line="240" w:lineRule="auto"/>
      <w:ind w:left="360" w:hanging="360"/>
    </w:pPr>
    <w:rPr>
      <w:lang w:eastAsia="en-US"/>
    </w:rPr>
  </w:style>
  <w:style w:type="paragraph" w:customStyle="1" w:styleId="TableHeading-Centered">
    <w:name w:val="TableHeading-Centered"/>
    <w:basedOn w:val="TableHeading"/>
    <w:rsid w:val="00A76AEB"/>
  </w:style>
  <w:style w:type="paragraph" w:customStyle="1" w:styleId="Default">
    <w:name w:val="Default"/>
    <w:rsid w:val="00A76AEB"/>
    <w:pPr>
      <w:autoSpaceDE w:val="0"/>
      <w:autoSpaceDN w:val="0"/>
      <w:adjustRightInd w:val="0"/>
    </w:pPr>
    <w:rPr>
      <w:rFonts w:ascii="Meta Plus Normal" w:hAnsi="Meta Plus Normal" w:cs="Meta Plus Normal"/>
      <w:color w:val="000000"/>
      <w:sz w:val="24"/>
      <w:szCs w:val="24"/>
      <w:lang w:val="en-US" w:eastAsia="en-US"/>
    </w:rPr>
  </w:style>
  <w:style w:type="paragraph" w:customStyle="1" w:styleId="Pa6">
    <w:name w:val="Pa6"/>
    <w:basedOn w:val="Default"/>
    <w:next w:val="Default"/>
    <w:rsid w:val="00A76AEB"/>
    <w:pPr>
      <w:spacing w:after="100" w:line="191" w:lineRule="atLeast"/>
    </w:pPr>
    <w:rPr>
      <w:rFonts w:cs="Times New Roman"/>
      <w:color w:val="auto"/>
    </w:rPr>
  </w:style>
  <w:style w:type="paragraph" w:customStyle="1" w:styleId="DefinitionAbbreviation">
    <w:name w:val="DefinitionAbbreviation"/>
    <w:basedOn w:val="Normal"/>
    <w:rsid w:val="00A76AEB"/>
    <w:pPr>
      <w:ind w:left="2160" w:hanging="2160"/>
    </w:pPr>
    <w:rPr>
      <w:szCs w:val="20"/>
    </w:rPr>
  </w:style>
  <w:style w:type="character" w:styleId="FollowedHyperlink">
    <w:name w:val="FollowedHyperlink"/>
    <w:basedOn w:val="DefaultParagraphFont"/>
    <w:uiPriority w:val="99"/>
    <w:rsid w:val="00A76AEB"/>
    <w:rPr>
      <w:color w:val="800080"/>
      <w:u w:val="single"/>
    </w:rPr>
  </w:style>
  <w:style w:type="paragraph" w:customStyle="1" w:styleId="pagetop">
    <w:name w:val="pagetop"/>
    <w:basedOn w:val="Normal"/>
    <w:rsid w:val="00A76AEB"/>
    <w:pPr>
      <w:spacing w:before="100" w:beforeAutospacing="1" w:after="100" w:afterAutospacing="1" w:line="240" w:lineRule="auto"/>
    </w:pPr>
    <w:rPr>
      <w:rFonts w:ascii="Times New Roman" w:hAnsi="Times New Roman"/>
      <w:sz w:val="24"/>
      <w:lang w:val="en-US" w:eastAsia="en-US"/>
    </w:rPr>
  </w:style>
  <w:style w:type="paragraph" w:customStyle="1" w:styleId="Stan">
    <w:name w:val="Stan"/>
    <w:basedOn w:val="Normal"/>
    <w:rsid w:val="00A76AEB"/>
    <w:pPr>
      <w:spacing w:before="0" w:after="0" w:line="240" w:lineRule="auto"/>
      <w:jc w:val="both"/>
    </w:pPr>
    <w:rPr>
      <w:rFonts w:ascii="Script" w:hAnsi="Script"/>
      <w:szCs w:val="20"/>
      <w:lang w:val="en-GB" w:eastAsia="en-US"/>
    </w:rPr>
  </w:style>
  <w:style w:type="paragraph" w:customStyle="1" w:styleId="BulletDPS">
    <w:name w:val="Bullet DPS"/>
    <w:basedOn w:val="Normal"/>
    <w:qFormat/>
    <w:rsid w:val="00A76AEB"/>
    <w:pPr>
      <w:spacing w:before="0" w:after="160" w:line="240" w:lineRule="auto"/>
      <w:ind w:left="720" w:hanging="360"/>
    </w:pPr>
    <w:rPr>
      <w:rFonts w:ascii="Calibri" w:eastAsia="SimSun" w:hAnsi="Calibri"/>
      <w:sz w:val="22"/>
      <w:szCs w:val="22"/>
      <w:lang w:eastAsia="zh-CN"/>
    </w:rPr>
  </w:style>
  <w:style w:type="paragraph" w:styleId="TOC5">
    <w:name w:val="toc 5"/>
    <w:basedOn w:val="Normal"/>
    <w:next w:val="Normal"/>
    <w:autoRedefine/>
    <w:uiPriority w:val="39"/>
    <w:unhideWhenUsed/>
    <w:rsid w:val="00A76AEB"/>
    <w:pPr>
      <w:spacing w:before="0" w:after="100" w:line="276" w:lineRule="auto"/>
      <w:ind w:left="880"/>
    </w:pPr>
    <w:rPr>
      <w:rFonts w:ascii="Calibri" w:hAnsi="Calibri"/>
      <w:sz w:val="22"/>
      <w:szCs w:val="22"/>
    </w:rPr>
  </w:style>
  <w:style w:type="paragraph" w:styleId="TOC6">
    <w:name w:val="toc 6"/>
    <w:basedOn w:val="Normal"/>
    <w:next w:val="Normal"/>
    <w:autoRedefine/>
    <w:uiPriority w:val="39"/>
    <w:unhideWhenUsed/>
    <w:rsid w:val="00A76AEB"/>
    <w:pPr>
      <w:spacing w:before="0"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A76AEB"/>
    <w:pPr>
      <w:spacing w:before="0"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A76AEB"/>
    <w:pPr>
      <w:spacing w:before="0"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A76AEB"/>
    <w:pPr>
      <w:spacing w:before="0" w:after="100" w:line="276" w:lineRule="auto"/>
      <w:ind w:left="1760"/>
    </w:pPr>
    <w:rPr>
      <w:rFonts w:ascii="Calibri" w:hAnsi="Calibri"/>
      <w:sz w:val="22"/>
      <w:szCs w:val="22"/>
    </w:rPr>
  </w:style>
  <w:style w:type="paragraph" w:customStyle="1" w:styleId="TableName">
    <w:name w:val="TableName"/>
    <w:basedOn w:val="Normal"/>
    <w:rsid w:val="00A76AEB"/>
    <w:pPr>
      <w:keepNext/>
      <w:spacing w:line="240" w:lineRule="auto"/>
      <w:ind w:left="1340" w:hanging="1340"/>
    </w:pPr>
    <w:rPr>
      <w:rFonts w:ascii="Times New Roman" w:hAnsi="Times New Roman"/>
      <w:b/>
      <w:sz w:val="24"/>
      <w:szCs w:val="20"/>
      <w:lang w:eastAsia="en-US"/>
    </w:rPr>
  </w:style>
  <w:style w:type="paragraph" w:customStyle="1" w:styleId="TableNotes18">
    <w:name w:val="TableNotes+18"/>
    <w:basedOn w:val="TableText0"/>
    <w:rsid w:val="00A76AEB"/>
    <w:pPr>
      <w:keepLines/>
      <w:widowControl/>
      <w:spacing w:before="0" w:after="360"/>
    </w:pPr>
    <w:rPr>
      <w:rFonts w:ascii="Times New Roman" w:hAnsi="Times New Roman"/>
      <w:szCs w:val="20"/>
      <w:lang w:val="en-AU"/>
    </w:rPr>
  </w:style>
  <w:style w:type="character" w:styleId="CommentReference">
    <w:name w:val="annotation reference"/>
    <w:basedOn w:val="DefaultParagraphFont"/>
    <w:uiPriority w:val="99"/>
    <w:rsid w:val="00A76AEB"/>
    <w:rPr>
      <w:sz w:val="16"/>
      <w:szCs w:val="16"/>
    </w:rPr>
  </w:style>
  <w:style w:type="paragraph" w:styleId="Revision">
    <w:name w:val="Revision"/>
    <w:hidden/>
    <w:uiPriority w:val="99"/>
    <w:semiHidden/>
    <w:rsid w:val="00A76AEB"/>
    <w:rPr>
      <w:rFonts w:ascii="Arial" w:hAnsi="Arial"/>
      <w:szCs w:val="24"/>
    </w:rPr>
  </w:style>
  <w:style w:type="paragraph" w:styleId="EndnoteText">
    <w:name w:val="endnote text"/>
    <w:basedOn w:val="Normal"/>
    <w:link w:val="EndnoteTextChar"/>
    <w:rsid w:val="00A76AEB"/>
    <w:pPr>
      <w:spacing w:before="0" w:after="0" w:line="240" w:lineRule="auto"/>
    </w:pPr>
    <w:rPr>
      <w:szCs w:val="20"/>
    </w:rPr>
  </w:style>
  <w:style w:type="character" w:customStyle="1" w:styleId="EndnoteTextChar">
    <w:name w:val="Endnote Text Char"/>
    <w:basedOn w:val="DefaultParagraphFont"/>
    <w:link w:val="EndnoteText"/>
    <w:rsid w:val="00A76AEB"/>
    <w:rPr>
      <w:rFonts w:ascii="Arial" w:hAnsi="Arial"/>
    </w:rPr>
  </w:style>
  <w:style w:type="character" w:styleId="EndnoteReference">
    <w:name w:val="endnote reference"/>
    <w:basedOn w:val="DefaultParagraphFont"/>
    <w:rsid w:val="00A76AEB"/>
    <w:rPr>
      <w:vertAlign w:val="superscript"/>
    </w:rPr>
  </w:style>
  <w:style w:type="paragraph" w:styleId="BodyTextIndent3">
    <w:name w:val="Body Text Indent 3"/>
    <w:basedOn w:val="Normal"/>
    <w:link w:val="BodyTextIndent3Char"/>
    <w:rsid w:val="00F909BD"/>
    <w:pPr>
      <w:spacing w:line="240" w:lineRule="auto"/>
      <w:ind w:left="851"/>
      <w:jc w:val="both"/>
    </w:pPr>
    <w:rPr>
      <w:rFonts w:eastAsia="SimSun"/>
      <w:szCs w:val="20"/>
      <w:lang w:val="en-US" w:eastAsia="en-US"/>
    </w:rPr>
  </w:style>
  <w:style w:type="character" w:customStyle="1" w:styleId="BodyTextIndent3Char">
    <w:name w:val="Body Text Indent 3 Char"/>
    <w:basedOn w:val="DefaultParagraphFont"/>
    <w:link w:val="BodyTextIndent3"/>
    <w:rsid w:val="00F909BD"/>
    <w:rPr>
      <w:rFonts w:ascii="Arial" w:eastAsia="SimSun" w:hAnsi="Arial"/>
      <w:lang w:val="en-US" w:eastAsia="en-US"/>
    </w:rPr>
  </w:style>
  <w:style w:type="paragraph" w:customStyle="1" w:styleId="BulletDPS1">
    <w:name w:val="Bullet DPS1"/>
    <w:basedOn w:val="ListParagraph"/>
    <w:link w:val="BulletDPS1Char"/>
    <w:qFormat/>
    <w:rsid w:val="00112E7F"/>
    <w:pPr>
      <w:numPr>
        <w:numId w:val="5"/>
      </w:numPr>
      <w:spacing w:before="120" w:line="240" w:lineRule="auto"/>
    </w:pPr>
    <w:rPr>
      <w:rFonts w:eastAsia="SimSun" w:cs="Arial"/>
      <w:szCs w:val="20"/>
    </w:rPr>
  </w:style>
  <w:style w:type="character" w:customStyle="1" w:styleId="BulletDPS1Char">
    <w:name w:val="Bullet DPS1 Char"/>
    <w:basedOn w:val="DefaultParagraphFont"/>
    <w:link w:val="BulletDPS1"/>
    <w:rsid w:val="00112E7F"/>
    <w:rPr>
      <w:rFonts w:ascii="Arial" w:eastAsia="SimSun" w:hAnsi="Arial" w:cs="Arial"/>
      <w:lang w:val="en-GB" w:eastAsia="en-US"/>
    </w:rPr>
  </w:style>
  <w:style w:type="paragraph" w:customStyle="1" w:styleId="xl63">
    <w:name w:val="xl63"/>
    <w:basedOn w:val="Normal"/>
    <w:rsid w:val="0047442D"/>
    <w:pPr>
      <w:pBdr>
        <w:top w:val="single" w:sz="4" w:space="0" w:color="B5DDDC"/>
        <w:left w:val="single" w:sz="4" w:space="0" w:color="B5DDDC"/>
        <w:bottom w:val="single" w:sz="4" w:space="0" w:color="B5DDDC"/>
        <w:right w:val="single" w:sz="4" w:space="0" w:color="B5DDDC"/>
      </w:pBdr>
      <w:shd w:val="clear" w:color="000000" w:fill="B5DDDC"/>
      <w:spacing w:before="100" w:beforeAutospacing="1" w:after="100" w:afterAutospacing="1" w:line="240" w:lineRule="auto"/>
    </w:pPr>
    <w:rPr>
      <w:rFonts w:ascii="Arial Narrow" w:hAnsi="Arial Narrow"/>
      <w:i/>
      <w:iCs/>
      <w:color w:val="008000"/>
      <w:sz w:val="16"/>
      <w:szCs w:val="16"/>
    </w:rPr>
  </w:style>
  <w:style w:type="paragraph" w:customStyle="1" w:styleId="xl64">
    <w:name w:val="xl64"/>
    <w:basedOn w:val="Normal"/>
    <w:rsid w:val="0047442D"/>
    <w:pPr>
      <w:pBdr>
        <w:top w:val="single" w:sz="4" w:space="0" w:color="B5DDDC"/>
        <w:left w:val="single" w:sz="4" w:space="0" w:color="B5DDDC"/>
        <w:bottom w:val="single" w:sz="4" w:space="0" w:color="B5DDDC"/>
        <w:right w:val="single" w:sz="4" w:space="0" w:color="B5DDDC"/>
      </w:pBdr>
      <w:shd w:val="clear" w:color="000000" w:fill="B5DDDC"/>
      <w:spacing w:before="100" w:beforeAutospacing="1" w:after="100" w:afterAutospacing="1" w:line="240" w:lineRule="auto"/>
      <w:jc w:val="center"/>
    </w:pPr>
    <w:rPr>
      <w:rFonts w:ascii="Arial Narrow" w:hAnsi="Arial Narrow"/>
      <w:i/>
      <w:iCs/>
      <w:color w:val="008000"/>
      <w:sz w:val="16"/>
      <w:szCs w:val="16"/>
    </w:rPr>
  </w:style>
  <w:style w:type="paragraph" w:customStyle="1" w:styleId="xl65">
    <w:name w:val="xl65"/>
    <w:basedOn w:val="Normal"/>
    <w:rsid w:val="0047442D"/>
    <w:pPr>
      <w:pBdr>
        <w:top w:val="single" w:sz="4" w:space="0" w:color="B5DDDC"/>
        <w:left w:val="single" w:sz="4" w:space="0" w:color="B5DDDC"/>
        <w:bottom w:val="single" w:sz="4" w:space="0" w:color="B5DDDC"/>
        <w:right w:val="single" w:sz="4" w:space="0" w:color="B5DDDC"/>
      </w:pBdr>
      <w:shd w:val="clear" w:color="000000" w:fill="B5DDDC"/>
      <w:spacing w:before="100" w:beforeAutospacing="1" w:after="100" w:afterAutospacing="1" w:line="240" w:lineRule="auto"/>
    </w:pPr>
    <w:rPr>
      <w:rFonts w:ascii="Times New Roman" w:hAnsi="Times New Roman"/>
      <w:sz w:val="24"/>
    </w:rPr>
  </w:style>
  <w:style w:type="paragraph" w:customStyle="1" w:styleId="xl66">
    <w:name w:val="xl66"/>
    <w:basedOn w:val="Normal"/>
    <w:rsid w:val="0047442D"/>
    <w:pPr>
      <w:pBdr>
        <w:top w:val="single" w:sz="4" w:space="0" w:color="B5DDDC"/>
        <w:left w:val="single" w:sz="4" w:space="0" w:color="B5DDDC"/>
        <w:bottom w:val="single" w:sz="4" w:space="0" w:color="B5DDDC"/>
        <w:right w:val="single" w:sz="4" w:space="0" w:color="B5DDDC"/>
      </w:pBdr>
      <w:spacing w:before="100" w:beforeAutospacing="1" w:after="100" w:afterAutospacing="1" w:line="240" w:lineRule="auto"/>
    </w:pPr>
    <w:rPr>
      <w:rFonts w:ascii="Arial Narrow" w:hAnsi="Arial Narrow"/>
      <w:color w:val="000000"/>
      <w:sz w:val="16"/>
      <w:szCs w:val="16"/>
    </w:rPr>
  </w:style>
  <w:style w:type="paragraph" w:customStyle="1" w:styleId="xl67">
    <w:name w:val="xl67"/>
    <w:basedOn w:val="Normal"/>
    <w:rsid w:val="0047442D"/>
    <w:pPr>
      <w:pBdr>
        <w:top w:val="single" w:sz="4" w:space="0" w:color="B5DDDC"/>
        <w:left w:val="single" w:sz="4" w:space="5" w:color="B5DDDC"/>
        <w:bottom w:val="single" w:sz="4" w:space="0" w:color="B5DDDC"/>
        <w:right w:val="single" w:sz="4" w:space="0" w:color="B5DDDC"/>
      </w:pBdr>
      <w:spacing w:before="100" w:beforeAutospacing="1" w:after="100" w:afterAutospacing="1" w:line="240" w:lineRule="auto"/>
      <w:ind w:firstLineChars="100" w:firstLine="100"/>
    </w:pPr>
    <w:rPr>
      <w:rFonts w:ascii="Arial Narrow" w:hAnsi="Arial Narrow"/>
      <w:color w:val="000000"/>
      <w:sz w:val="16"/>
      <w:szCs w:val="16"/>
    </w:rPr>
  </w:style>
  <w:style w:type="paragraph" w:customStyle="1" w:styleId="xl68">
    <w:name w:val="xl68"/>
    <w:basedOn w:val="Normal"/>
    <w:rsid w:val="0047442D"/>
    <w:pPr>
      <w:pBdr>
        <w:top w:val="single" w:sz="4" w:space="0" w:color="B5DDDC"/>
        <w:left w:val="single" w:sz="4" w:space="0" w:color="B5DDDC"/>
        <w:bottom w:val="single" w:sz="4" w:space="0" w:color="B5DDDC"/>
        <w:right w:val="single" w:sz="4" w:space="0" w:color="B5DDDC"/>
      </w:pBdr>
      <w:spacing w:before="100" w:beforeAutospacing="1" w:after="100" w:afterAutospacing="1" w:line="240" w:lineRule="auto"/>
      <w:jc w:val="center"/>
    </w:pPr>
    <w:rPr>
      <w:rFonts w:ascii="Arial Narrow" w:hAnsi="Arial Narrow"/>
      <w:color w:val="000000"/>
      <w:sz w:val="16"/>
      <w:szCs w:val="16"/>
    </w:rPr>
  </w:style>
  <w:style w:type="paragraph" w:customStyle="1" w:styleId="xl69">
    <w:name w:val="xl69"/>
    <w:basedOn w:val="Normal"/>
    <w:rsid w:val="0047442D"/>
    <w:pPr>
      <w:pBdr>
        <w:top w:val="single" w:sz="4" w:space="0" w:color="B5DDDC"/>
        <w:left w:val="single" w:sz="4" w:space="0" w:color="B5DDDC"/>
        <w:bottom w:val="single" w:sz="4" w:space="0" w:color="B5DDDC"/>
        <w:right w:val="single" w:sz="4" w:space="0" w:color="B5DDDC"/>
      </w:pBdr>
      <w:spacing w:before="100" w:beforeAutospacing="1" w:after="100" w:afterAutospacing="1" w:line="240" w:lineRule="auto"/>
    </w:pPr>
    <w:rPr>
      <w:rFonts w:ascii="Times New Roman" w:hAnsi="Times New Roman"/>
      <w:sz w:val="24"/>
    </w:rPr>
  </w:style>
  <w:style w:type="paragraph" w:customStyle="1" w:styleId="xl70">
    <w:name w:val="xl70"/>
    <w:basedOn w:val="Normal"/>
    <w:rsid w:val="0047442D"/>
    <w:pPr>
      <w:pBdr>
        <w:top w:val="single" w:sz="4" w:space="0" w:color="B5DDDC"/>
        <w:left w:val="single" w:sz="4" w:space="0" w:color="B5DDDC"/>
        <w:bottom w:val="single" w:sz="4" w:space="0" w:color="B5DDDC"/>
        <w:right w:val="single" w:sz="4" w:space="0" w:color="B5DDDC"/>
      </w:pBdr>
      <w:spacing w:before="100" w:beforeAutospacing="1" w:after="100" w:afterAutospacing="1" w:line="240" w:lineRule="auto"/>
    </w:pPr>
    <w:rPr>
      <w:rFonts w:ascii="Times New Roman" w:hAnsi="Times New Roman"/>
      <w:szCs w:val="20"/>
    </w:rPr>
  </w:style>
  <w:style w:type="paragraph" w:customStyle="1" w:styleId="Appendix">
    <w:name w:val="Appendix_"/>
    <w:basedOn w:val="Heading1"/>
    <w:link w:val="AppendixChar"/>
    <w:qFormat/>
    <w:rsid w:val="005976B3"/>
    <w:pPr>
      <w:numPr>
        <w:numId w:val="0"/>
      </w:numPr>
    </w:pPr>
  </w:style>
  <w:style w:type="paragraph" w:customStyle="1" w:styleId="xl71">
    <w:name w:val="xl71"/>
    <w:basedOn w:val="Normal"/>
    <w:rsid w:val="00A34A08"/>
    <w:pPr>
      <w:pBdr>
        <w:top w:val="single" w:sz="4" w:space="0" w:color="B5DDDC"/>
        <w:left w:val="single" w:sz="4" w:space="0" w:color="B5DDDC"/>
        <w:bottom w:val="single" w:sz="4" w:space="0" w:color="B5DDDC"/>
        <w:right w:val="single" w:sz="4" w:space="0" w:color="B5DDDC"/>
      </w:pBdr>
      <w:shd w:val="clear" w:color="000000" w:fill="B5DDDC"/>
      <w:spacing w:before="100" w:beforeAutospacing="1" w:after="100" w:afterAutospacing="1" w:line="240" w:lineRule="auto"/>
    </w:pPr>
    <w:rPr>
      <w:rFonts w:ascii="Times New Roman" w:hAnsi="Times New Roman"/>
      <w:b/>
      <w:bCs/>
      <w:color w:val="008000"/>
      <w:sz w:val="24"/>
    </w:rPr>
  </w:style>
  <w:style w:type="character" w:customStyle="1" w:styleId="Non-numberedHeading1Char">
    <w:name w:val="Non-numbered Heading 1 Char"/>
    <w:basedOn w:val="DefaultParagraphFont"/>
    <w:link w:val="Non-numberedHeading1"/>
    <w:rsid w:val="005976B3"/>
    <w:rPr>
      <w:rFonts w:ascii="Lucida Sans" w:hAnsi="Lucida Sans"/>
      <w:b/>
      <w:color w:val="008000"/>
      <w:sz w:val="32"/>
      <w:szCs w:val="24"/>
    </w:rPr>
  </w:style>
  <w:style w:type="character" w:customStyle="1" w:styleId="AppendixChar">
    <w:name w:val="Appendix_ Char"/>
    <w:basedOn w:val="Non-numberedHeading1Char"/>
    <w:link w:val="Appendix"/>
    <w:rsid w:val="005976B3"/>
    <w:rPr>
      <w:rFonts w:ascii="Lucida Sans" w:hAnsi="Lucida Sans"/>
      <w:b/>
      <w:color w:val="008000"/>
      <w:sz w:val="32"/>
      <w:szCs w:val="24"/>
    </w:rPr>
  </w:style>
  <w:style w:type="paragraph" w:customStyle="1" w:styleId="xl72">
    <w:name w:val="xl72"/>
    <w:basedOn w:val="Normal"/>
    <w:rsid w:val="00A34A08"/>
    <w:pPr>
      <w:pBdr>
        <w:top w:val="single" w:sz="4" w:space="0" w:color="B5DDDC"/>
        <w:left w:val="single" w:sz="4" w:space="0" w:color="B5DDDC"/>
        <w:bottom w:val="single" w:sz="4" w:space="0" w:color="B5DDDC"/>
        <w:right w:val="single" w:sz="4" w:space="0" w:color="B5DDDC"/>
      </w:pBdr>
      <w:shd w:val="clear" w:color="000000" w:fill="B5DDDC"/>
      <w:spacing w:before="100" w:beforeAutospacing="1" w:after="100" w:afterAutospacing="1" w:line="240" w:lineRule="auto"/>
    </w:pPr>
    <w:rPr>
      <w:rFonts w:ascii="Times New Roman" w:hAnsi="Times New Roman"/>
      <w:b/>
      <w:bCs/>
      <w:color w:val="008000"/>
      <w:sz w:val="24"/>
    </w:rPr>
  </w:style>
  <w:style w:type="paragraph" w:customStyle="1" w:styleId="xl73">
    <w:name w:val="xl73"/>
    <w:basedOn w:val="Normal"/>
    <w:rsid w:val="00A34A08"/>
    <w:pPr>
      <w:pBdr>
        <w:top w:val="single" w:sz="4" w:space="0" w:color="B5DDDC"/>
        <w:left w:val="single" w:sz="4" w:space="0" w:color="B5DDDC"/>
        <w:bottom w:val="single" w:sz="4" w:space="0" w:color="B5DDDC"/>
        <w:right w:val="single" w:sz="4" w:space="0" w:color="B5DDDC"/>
      </w:pBdr>
      <w:shd w:val="clear" w:color="000000" w:fill="B5DDDC"/>
      <w:spacing w:before="100" w:beforeAutospacing="1" w:after="100" w:afterAutospacing="1" w:line="240" w:lineRule="auto"/>
    </w:pPr>
    <w:rPr>
      <w:rFonts w:ascii="Times New Roman" w:hAnsi="Times New Roman"/>
      <w:color w:val="008000"/>
      <w:sz w:val="24"/>
    </w:rPr>
  </w:style>
  <w:style w:type="paragraph" w:customStyle="1" w:styleId="xl74">
    <w:name w:val="xl74"/>
    <w:basedOn w:val="Normal"/>
    <w:rsid w:val="00A34A08"/>
    <w:pPr>
      <w:pBdr>
        <w:top w:val="single" w:sz="4" w:space="0" w:color="B5DDDC"/>
        <w:left w:val="single" w:sz="4" w:space="0" w:color="B5DDDC"/>
        <w:bottom w:val="single" w:sz="4" w:space="0" w:color="B5DDDC"/>
        <w:right w:val="single" w:sz="4" w:space="0" w:color="B5DDDC"/>
      </w:pBdr>
      <w:shd w:val="clear" w:color="000000" w:fill="B5DDDC"/>
      <w:spacing w:before="100" w:beforeAutospacing="1" w:after="100" w:afterAutospacing="1" w:line="240" w:lineRule="auto"/>
    </w:pPr>
    <w:rPr>
      <w:rFonts w:ascii="Times New Roman" w:hAnsi="Times New Roman"/>
      <w:color w:val="008000"/>
      <w:sz w:val="24"/>
    </w:rPr>
  </w:style>
  <w:style w:type="paragraph" w:customStyle="1" w:styleId="xl75">
    <w:name w:val="xl75"/>
    <w:basedOn w:val="Normal"/>
    <w:rsid w:val="00A34A08"/>
    <w:pPr>
      <w:pBdr>
        <w:top w:val="single" w:sz="4" w:space="0" w:color="B5DDDC"/>
        <w:left w:val="single" w:sz="4" w:space="0" w:color="B5DDDC"/>
        <w:bottom w:val="single" w:sz="4" w:space="0" w:color="B5DDDC"/>
        <w:right w:val="single" w:sz="4" w:space="0" w:color="B5DDDC"/>
      </w:pBdr>
      <w:shd w:val="clear" w:color="000000" w:fill="B5DDDC"/>
      <w:spacing w:before="100" w:beforeAutospacing="1" w:after="100" w:afterAutospacing="1" w:line="240" w:lineRule="auto"/>
    </w:pPr>
    <w:rPr>
      <w:rFonts w:ascii="Times New Roman" w:hAnsi="Times New Roman"/>
      <w:color w:val="008000"/>
      <w:sz w:val="24"/>
    </w:rPr>
  </w:style>
  <w:style w:type="paragraph" w:customStyle="1" w:styleId="xl76">
    <w:name w:val="xl76"/>
    <w:basedOn w:val="Normal"/>
    <w:rsid w:val="00A34A08"/>
    <w:pPr>
      <w:pBdr>
        <w:top w:val="single" w:sz="4" w:space="0" w:color="B5DDDC"/>
        <w:left w:val="single" w:sz="4" w:space="0" w:color="B5DDDC"/>
        <w:bottom w:val="single" w:sz="4" w:space="0" w:color="B5DDDC"/>
        <w:right w:val="single" w:sz="4" w:space="0" w:color="B5DDDC"/>
      </w:pBdr>
      <w:shd w:val="clear" w:color="000000" w:fill="B5DDDC"/>
      <w:spacing w:before="100" w:beforeAutospacing="1" w:after="100" w:afterAutospacing="1" w:line="240" w:lineRule="auto"/>
    </w:pPr>
    <w:rPr>
      <w:rFonts w:ascii="Times New Roman" w:hAnsi="Times New Roman"/>
      <w:color w:val="008000"/>
      <w:sz w:val="24"/>
    </w:rPr>
  </w:style>
  <w:style w:type="paragraph" w:customStyle="1" w:styleId="xl77">
    <w:name w:val="xl77"/>
    <w:basedOn w:val="Normal"/>
    <w:rsid w:val="00A34A08"/>
    <w:pPr>
      <w:pBdr>
        <w:top w:val="single" w:sz="4" w:space="0" w:color="B5DDDC"/>
        <w:left w:val="single" w:sz="4" w:space="0" w:color="B5DDDC"/>
        <w:bottom w:val="single" w:sz="4" w:space="0" w:color="B5DDDC"/>
        <w:right w:val="single" w:sz="4" w:space="0" w:color="B5DDDC"/>
      </w:pBdr>
      <w:shd w:val="clear" w:color="000000" w:fill="B5DDDC"/>
      <w:spacing w:before="100" w:beforeAutospacing="1" w:after="100" w:afterAutospacing="1" w:line="240" w:lineRule="auto"/>
    </w:pPr>
    <w:rPr>
      <w:rFonts w:ascii="Times New Roman" w:hAnsi="Times New Roman"/>
      <w:color w:val="008000"/>
      <w:sz w:val="24"/>
    </w:rPr>
  </w:style>
  <w:style w:type="paragraph" w:customStyle="1" w:styleId="xl78">
    <w:name w:val="xl78"/>
    <w:basedOn w:val="Normal"/>
    <w:rsid w:val="00A34A08"/>
    <w:pPr>
      <w:pBdr>
        <w:top w:val="single" w:sz="4" w:space="0" w:color="B5DDDC"/>
        <w:left w:val="single" w:sz="4" w:space="0" w:color="B5DDDC"/>
        <w:bottom w:val="single" w:sz="4" w:space="0" w:color="B5DDDC"/>
        <w:right w:val="single" w:sz="4" w:space="0" w:color="B5DDDC"/>
      </w:pBdr>
      <w:shd w:val="clear" w:color="000000" w:fill="B5DDDC"/>
      <w:spacing w:before="100" w:beforeAutospacing="1" w:after="100" w:afterAutospacing="1" w:line="240" w:lineRule="auto"/>
    </w:pPr>
    <w:rPr>
      <w:rFonts w:ascii="Times New Roman" w:hAnsi="Times New Roman"/>
      <w:i/>
      <w:iCs/>
      <w:color w:val="008000"/>
      <w:sz w:val="24"/>
    </w:rPr>
  </w:style>
  <w:style w:type="paragraph" w:customStyle="1" w:styleId="xl79">
    <w:name w:val="xl79"/>
    <w:basedOn w:val="Normal"/>
    <w:rsid w:val="00A34A08"/>
    <w:pPr>
      <w:pBdr>
        <w:top w:val="single" w:sz="4" w:space="0" w:color="B5DDDC"/>
        <w:left w:val="single" w:sz="4" w:space="0" w:color="B5DDDC"/>
        <w:bottom w:val="single" w:sz="4" w:space="0" w:color="B5DDDC"/>
      </w:pBdr>
      <w:shd w:val="clear" w:color="000000" w:fill="B5DDDC"/>
      <w:spacing w:before="100" w:beforeAutospacing="1" w:after="100" w:afterAutospacing="1" w:line="240" w:lineRule="auto"/>
      <w:jc w:val="center"/>
    </w:pPr>
    <w:rPr>
      <w:rFonts w:ascii="Times New Roman" w:hAnsi="Times New Roman"/>
      <w:b/>
      <w:bCs/>
      <w:i/>
      <w:iCs/>
      <w:color w:val="008000"/>
      <w:sz w:val="24"/>
    </w:rPr>
  </w:style>
  <w:style w:type="paragraph" w:customStyle="1" w:styleId="xl80">
    <w:name w:val="xl80"/>
    <w:basedOn w:val="Normal"/>
    <w:rsid w:val="00A34A08"/>
    <w:pPr>
      <w:pBdr>
        <w:top w:val="single" w:sz="4" w:space="0" w:color="B5DDDC"/>
        <w:bottom w:val="single" w:sz="4" w:space="0" w:color="B5DDDC"/>
        <w:right w:val="single" w:sz="4" w:space="0" w:color="B5DDDC"/>
      </w:pBdr>
      <w:shd w:val="clear" w:color="000000" w:fill="B5DDDC"/>
      <w:spacing w:before="100" w:beforeAutospacing="1" w:after="100" w:afterAutospacing="1" w:line="240" w:lineRule="auto"/>
      <w:jc w:val="center"/>
    </w:pPr>
    <w:rPr>
      <w:rFonts w:ascii="Times New Roman" w:hAnsi="Times New Roman"/>
      <w:b/>
      <w:bCs/>
      <w:i/>
      <w:iCs/>
      <w:color w:val="008000"/>
      <w:sz w:val="24"/>
    </w:rPr>
  </w:style>
  <w:style w:type="paragraph" w:customStyle="1" w:styleId="xl81">
    <w:name w:val="xl81"/>
    <w:basedOn w:val="Normal"/>
    <w:rsid w:val="00A34A08"/>
    <w:pPr>
      <w:pBdr>
        <w:top w:val="single" w:sz="4" w:space="0" w:color="B5DDDC"/>
        <w:bottom w:val="single" w:sz="4" w:space="0" w:color="B5DDDC"/>
        <w:right w:val="single" w:sz="4" w:space="0" w:color="B5DDDC"/>
      </w:pBdr>
      <w:shd w:val="clear" w:color="000000" w:fill="B5DDDC"/>
      <w:spacing w:before="100" w:beforeAutospacing="1" w:after="100" w:afterAutospacing="1" w:line="240" w:lineRule="auto"/>
    </w:pPr>
    <w:rPr>
      <w:rFonts w:ascii="Times New Roman" w:hAnsi="Times New Roman"/>
      <w:b/>
      <w:bCs/>
      <w:color w:val="008000"/>
      <w:sz w:val="24"/>
    </w:rPr>
  </w:style>
  <w:style w:type="paragraph" w:customStyle="1" w:styleId="xl82">
    <w:name w:val="xl82"/>
    <w:basedOn w:val="Normal"/>
    <w:rsid w:val="00A34A08"/>
    <w:pPr>
      <w:pBdr>
        <w:top w:val="single" w:sz="4" w:space="0" w:color="B5DDDC"/>
        <w:bottom w:val="single" w:sz="4" w:space="0" w:color="B5DDDC"/>
        <w:right w:val="single" w:sz="4" w:space="0" w:color="B5DDDC"/>
      </w:pBdr>
      <w:shd w:val="clear" w:color="000000" w:fill="B5DDDC"/>
      <w:spacing w:before="100" w:beforeAutospacing="1" w:after="100" w:afterAutospacing="1" w:line="240" w:lineRule="auto"/>
    </w:pPr>
    <w:rPr>
      <w:rFonts w:ascii="Times New Roman" w:hAnsi="Times New Roman"/>
      <w:color w:val="008000"/>
      <w:sz w:val="24"/>
    </w:rPr>
  </w:style>
  <w:style w:type="paragraph" w:customStyle="1" w:styleId="xl83">
    <w:name w:val="xl83"/>
    <w:basedOn w:val="Normal"/>
    <w:rsid w:val="00A34A08"/>
    <w:pPr>
      <w:pBdr>
        <w:top w:val="single" w:sz="4" w:space="0" w:color="B5DDDC"/>
        <w:bottom w:val="single" w:sz="4" w:space="0" w:color="B5DDDC"/>
        <w:right w:val="single" w:sz="4" w:space="0" w:color="B5DDDC"/>
      </w:pBdr>
      <w:spacing w:before="100" w:beforeAutospacing="1" w:after="100" w:afterAutospacing="1" w:line="240" w:lineRule="auto"/>
      <w:jc w:val="center"/>
    </w:pPr>
    <w:rPr>
      <w:rFonts w:ascii="Times New Roman" w:hAnsi="Times New Roman"/>
      <w:sz w:val="24"/>
    </w:rPr>
  </w:style>
  <w:style w:type="paragraph" w:customStyle="1" w:styleId="xl84">
    <w:name w:val="xl84"/>
    <w:basedOn w:val="Normal"/>
    <w:rsid w:val="00A34A08"/>
    <w:pPr>
      <w:pBdr>
        <w:top w:val="single" w:sz="4" w:space="0" w:color="B5DDDC"/>
        <w:bottom w:val="single" w:sz="4" w:space="0" w:color="B5DDDC"/>
        <w:right w:val="single" w:sz="4" w:space="0" w:color="B5DDDC"/>
      </w:pBdr>
      <w:spacing w:before="100" w:beforeAutospacing="1" w:after="100" w:afterAutospacing="1" w:line="240" w:lineRule="auto"/>
      <w:jc w:val="center"/>
    </w:pPr>
    <w:rPr>
      <w:rFonts w:ascii="Times New Roman" w:hAnsi="Times New Roman"/>
      <w:sz w:val="24"/>
    </w:rPr>
  </w:style>
  <w:style w:type="paragraph" w:customStyle="1" w:styleId="xl85">
    <w:name w:val="xl85"/>
    <w:basedOn w:val="Normal"/>
    <w:rsid w:val="00A34A08"/>
    <w:pPr>
      <w:pBdr>
        <w:top w:val="single" w:sz="4" w:space="0" w:color="B5DDDC"/>
        <w:left w:val="single" w:sz="4" w:space="0" w:color="B5DDDC"/>
        <w:bottom w:val="single" w:sz="4" w:space="0" w:color="B5DDDC"/>
        <w:right w:val="single" w:sz="4" w:space="0" w:color="008000"/>
      </w:pBdr>
      <w:shd w:val="clear" w:color="000000" w:fill="B5DDDC"/>
      <w:spacing w:before="100" w:beforeAutospacing="1" w:after="100" w:afterAutospacing="1" w:line="240" w:lineRule="auto"/>
    </w:pPr>
    <w:rPr>
      <w:rFonts w:ascii="Times New Roman" w:hAnsi="Times New Roman"/>
      <w:b/>
      <w:bCs/>
      <w:color w:val="008000"/>
      <w:sz w:val="24"/>
    </w:rPr>
  </w:style>
  <w:style w:type="paragraph" w:customStyle="1" w:styleId="xl86">
    <w:name w:val="xl86"/>
    <w:basedOn w:val="Normal"/>
    <w:rsid w:val="00A34A08"/>
    <w:pPr>
      <w:pBdr>
        <w:top w:val="single" w:sz="4" w:space="0" w:color="B5DDDC"/>
        <w:left w:val="single" w:sz="4" w:space="0" w:color="B5DDDC"/>
        <w:bottom w:val="single" w:sz="4" w:space="0" w:color="B5DDDC"/>
        <w:right w:val="single" w:sz="4" w:space="0" w:color="008000"/>
      </w:pBdr>
      <w:shd w:val="clear" w:color="000000" w:fill="B5DDDC"/>
      <w:spacing w:before="100" w:beforeAutospacing="1" w:after="100" w:afterAutospacing="1" w:line="240" w:lineRule="auto"/>
    </w:pPr>
    <w:rPr>
      <w:rFonts w:ascii="Times New Roman" w:hAnsi="Times New Roman"/>
      <w:color w:val="008000"/>
      <w:sz w:val="24"/>
    </w:rPr>
  </w:style>
  <w:style w:type="paragraph" w:customStyle="1" w:styleId="xl87">
    <w:name w:val="xl87"/>
    <w:basedOn w:val="Normal"/>
    <w:rsid w:val="00A34A08"/>
    <w:pPr>
      <w:pBdr>
        <w:top w:val="single" w:sz="4" w:space="0" w:color="B5DDDC"/>
        <w:left w:val="single" w:sz="4" w:space="0" w:color="B5DDDC"/>
        <w:bottom w:val="single" w:sz="4" w:space="0" w:color="B5DDDC"/>
        <w:right w:val="single" w:sz="4" w:space="0" w:color="008000"/>
      </w:pBdr>
      <w:spacing w:before="100" w:beforeAutospacing="1" w:after="100" w:afterAutospacing="1" w:line="240" w:lineRule="auto"/>
      <w:jc w:val="center"/>
    </w:pPr>
    <w:rPr>
      <w:rFonts w:ascii="Times New Roman" w:hAnsi="Times New Roman"/>
      <w:sz w:val="24"/>
    </w:rPr>
  </w:style>
  <w:style w:type="paragraph" w:customStyle="1" w:styleId="xl88">
    <w:name w:val="xl88"/>
    <w:basedOn w:val="Normal"/>
    <w:rsid w:val="00A34A08"/>
    <w:pPr>
      <w:pBdr>
        <w:top w:val="single" w:sz="4" w:space="0" w:color="B5DDDC"/>
        <w:left w:val="single" w:sz="4" w:space="0" w:color="B5DDDC"/>
        <w:bottom w:val="single" w:sz="4" w:space="0" w:color="B5DDDC"/>
        <w:right w:val="single" w:sz="4" w:space="0" w:color="008000"/>
      </w:pBdr>
      <w:spacing w:before="100" w:beforeAutospacing="1" w:after="100" w:afterAutospacing="1" w:line="240" w:lineRule="auto"/>
      <w:jc w:val="center"/>
    </w:pPr>
    <w:rPr>
      <w:rFonts w:ascii="Times New Roman" w:hAnsi="Times New Roman"/>
      <w:sz w:val="24"/>
    </w:rPr>
  </w:style>
  <w:style w:type="paragraph" w:customStyle="1" w:styleId="xl89">
    <w:name w:val="xl89"/>
    <w:basedOn w:val="Normal"/>
    <w:rsid w:val="00A34A08"/>
    <w:pPr>
      <w:pBdr>
        <w:top w:val="single" w:sz="4" w:space="0" w:color="B5DDDC"/>
        <w:left w:val="single" w:sz="4" w:space="0" w:color="B5DDDC"/>
      </w:pBdr>
      <w:shd w:val="clear" w:color="000000" w:fill="B5DDDC"/>
      <w:spacing w:before="100" w:beforeAutospacing="1" w:after="100" w:afterAutospacing="1" w:line="240" w:lineRule="auto"/>
      <w:jc w:val="center"/>
    </w:pPr>
    <w:rPr>
      <w:rFonts w:ascii="Times New Roman" w:hAnsi="Times New Roman"/>
      <w:i/>
      <w:iCs/>
      <w:color w:val="008000"/>
      <w:sz w:val="24"/>
    </w:rPr>
  </w:style>
  <w:style w:type="paragraph" w:customStyle="1" w:styleId="xl90">
    <w:name w:val="xl90"/>
    <w:basedOn w:val="Normal"/>
    <w:rsid w:val="00A34A08"/>
    <w:pPr>
      <w:pBdr>
        <w:left w:val="single" w:sz="4" w:space="0" w:color="B5DDDC"/>
      </w:pBdr>
      <w:shd w:val="clear" w:color="000000" w:fill="B5DDDC"/>
      <w:spacing w:before="100" w:beforeAutospacing="1" w:after="100" w:afterAutospacing="1" w:line="240" w:lineRule="auto"/>
      <w:jc w:val="center"/>
    </w:pPr>
    <w:rPr>
      <w:rFonts w:ascii="Times New Roman" w:hAnsi="Times New Roman"/>
      <w:i/>
      <w:iCs/>
      <w:color w:val="008000"/>
      <w:sz w:val="24"/>
    </w:rPr>
  </w:style>
  <w:style w:type="paragraph" w:customStyle="1" w:styleId="xl91">
    <w:name w:val="xl91"/>
    <w:basedOn w:val="Normal"/>
    <w:rsid w:val="00A34A08"/>
    <w:pPr>
      <w:pBdr>
        <w:left w:val="single" w:sz="4" w:space="0" w:color="B5DDDC"/>
        <w:bottom w:val="single" w:sz="4" w:space="0" w:color="B5DDDC"/>
      </w:pBdr>
      <w:shd w:val="clear" w:color="000000" w:fill="B5DDDC"/>
      <w:spacing w:before="100" w:beforeAutospacing="1" w:after="100" w:afterAutospacing="1" w:line="240" w:lineRule="auto"/>
      <w:jc w:val="center"/>
    </w:pPr>
    <w:rPr>
      <w:rFonts w:ascii="Times New Roman" w:hAnsi="Times New Roman"/>
      <w:i/>
      <w:iCs/>
      <w:color w:val="008000"/>
      <w:sz w:val="24"/>
    </w:rPr>
  </w:style>
  <w:style w:type="paragraph" w:customStyle="1" w:styleId="xl92">
    <w:name w:val="xl92"/>
    <w:basedOn w:val="Normal"/>
    <w:rsid w:val="00A34A08"/>
    <w:pPr>
      <w:pBdr>
        <w:top w:val="single" w:sz="4" w:space="0" w:color="B5DDDC"/>
        <w:left w:val="single" w:sz="4" w:space="0" w:color="B5DDDC"/>
        <w:bottom w:val="single" w:sz="4" w:space="0" w:color="B5DDDC"/>
      </w:pBdr>
      <w:shd w:val="clear" w:color="000000" w:fill="D6EAEB"/>
      <w:spacing w:before="100" w:beforeAutospacing="1" w:after="100" w:afterAutospacing="1" w:line="240" w:lineRule="auto"/>
      <w:jc w:val="right"/>
    </w:pPr>
    <w:rPr>
      <w:rFonts w:ascii="Times New Roman" w:hAnsi="Times New Roman"/>
      <w:sz w:val="24"/>
    </w:rPr>
  </w:style>
  <w:style w:type="paragraph" w:customStyle="1" w:styleId="xl93">
    <w:name w:val="xl93"/>
    <w:basedOn w:val="Normal"/>
    <w:rsid w:val="00A34A08"/>
    <w:pPr>
      <w:pBdr>
        <w:top w:val="single" w:sz="4" w:space="0" w:color="B5DDDC"/>
        <w:left w:val="single" w:sz="4" w:space="0" w:color="B5DDDC"/>
        <w:bottom w:val="single" w:sz="4" w:space="0" w:color="B5DDDC"/>
      </w:pBdr>
      <w:shd w:val="clear" w:color="000000" w:fill="D6EAEB"/>
      <w:spacing w:before="100" w:beforeAutospacing="1" w:after="100" w:afterAutospacing="1" w:line="240" w:lineRule="auto"/>
    </w:pPr>
    <w:rPr>
      <w:rFonts w:ascii="Times New Roman" w:hAnsi="Times New Roman"/>
      <w:sz w:val="24"/>
    </w:rPr>
  </w:style>
  <w:style w:type="paragraph" w:customStyle="1" w:styleId="xl94">
    <w:name w:val="xl94"/>
    <w:basedOn w:val="Normal"/>
    <w:rsid w:val="00A34A08"/>
    <w:pPr>
      <w:pBdr>
        <w:top w:val="single" w:sz="4" w:space="0" w:color="B5DDDC"/>
        <w:left w:val="single" w:sz="4" w:space="0" w:color="008000"/>
        <w:bottom w:val="single" w:sz="4" w:space="0" w:color="B5DDDC"/>
        <w:right w:val="single" w:sz="4" w:space="0" w:color="B5DDDC"/>
      </w:pBdr>
      <w:shd w:val="clear" w:color="000000" w:fill="B5DDDC"/>
      <w:spacing w:before="100" w:beforeAutospacing="1" w:after="100" w:afterAutospacing="1" w:line="240" w:lineRule="auto"/>
    </w:pPr>
    <w:rPr>
      <w:rFonts w:ascii="Times New Roman" w:hAnsi="Times New Roman"/>
      <w:b/>
      <w:bCs/>
      <w:color w:val="008000"/>
      <w:sz w:val="24"/>
    </w:rPr>
  </w:style>
  <w:style w:type="paragraph" w:customStyle="1" w:styleId="xl95">
    <w:name w:val="xl95"/>
    <w:basedOn w:val="Normal"/>
    <w:rsid w:val="00A34A08"/>
    <w:pPr>
      <w:pBdr>
        <w:top w:val="single" w:sz="4" w:space="0" w:color="B5DDDC"/>
        <w:left w:val="single" w:sz="4" w:space="0" w:color="008000"/>
        <w:bottom w:val="single" w:sz="4" w:space="0" w:color="B5DDDC"/>
        <w:right w:val="single" w:sz="4" w:space="0" w:color="B5DDDC"/>
      </w:pBdr>
      <w:shd w:val="clear" w:color="000000" w:fill="B5DDDC"/>
      <w:spacing w:before="100" w:beforeAutospacing="1" w:after="100" w:afterAutospacing="1" w:line="240" w:lineRule="auto"/>
    </w:pPr>
    <w:rPr>
      <w:rFonts w:ascii="Times New Roman" w:hAnsi="Times New Roman"/>
      <w:color w:val="008000"/>
      <w:sz w:val="24"/>
    </w:rPr>
  </w:style>
  <w:style w:type="paragraph" w:customStyle="1" w:styleId="xl96">
    <w:name w:val="xl96"/>
    <w:basedOn w:val="Normal"/>
    <w:rsid w:val="00A34A08"/>
    <w:pPr>
      <w:pBdr>
        <w:top w:val="single" w:sz="4" w:space="0" w:color="B5DDDC"/>
        <w:left w:val="single" w:sz="4" w:space="0" w:color="008000"/>
        <w:bottom w:val="single" w:sz="4" w:space="0" w:color="B5DDDC"/>
        <w:right w:val="single" w:sz="4" w:space="0" w:color="B5DDDC"/>
      </w:pBdr>
      <w:spacing w:before="100" w:beforeAutospacing="1" w:after="100" w:afterAutospacing="1" w:line="240" w:lineRule="auto"/>
      <w:jc w:val="center"/>
    </w:pPr>
    <w:rPr>
      <w:rFonts w:ascii="Times New Roman" w:hAnsi="Times New Roman"/>
      <w:sz w:val="24"/>
    </w:rPr>
  </w:style>
  <w:style w:type="paragraph" w:customStyle="1" w:styleId="xl97">
    <w:name w:val="xl97"/>
    <w:basedOn w:val="Normal"/>
    <w:rsid w:val="00A34A08"/>
    <w:pPr>
      <w:pBdr>
        <w:top w:val="single" w:sz="4" w:space="0" w:color="B5DDDC"/>
        <w:left w:val="single" w:sz="4" w:space="0" w:color="008000"/>
        <w:bottom w:val="single" w:sz="4" w:space="0" w:color="B5DDDC"/>
        <w:right w:val="single" w:sz="4" w:space="0" w:color="B5DDDC"/>
      </w:pBdr>
      <w:spacing w:before="100" w:beforeAutospacing="1" w:after="100" w:afterAutospacing="1" w:line="240" w:lineRule="auto"/>
      <w:jc w:val="center"/>
    </w:pPr>
    <w:rPr>
      <w:rFonts w:ascii="Times New Roman" w:hAnsi="Times New Roman"/>
      <w:sz w:val="24"/>
    </w:rPr>
  </w:style>
  <w:style w:type="paragraph" w:customStyle="1" w:styleId="xl98">
    <w:name w:val="xl98"/>
    <w:basedOn w:val="Normal"/>
    <w:rsid w:val="00A34A08"/>
    <w:pPr>
      <w:pBdr>
        <w:top w:val="single" w:sz="4" w:space="0" w:color="B5DDDC"/>
        <w:left w:val="single" w:sz="4" w:space="0" w:color="B5DDDC"/>
        <w:bottom w:val="single" w:sz="4" w:space="0" w:color="B5DDDC"/>
      </w:pBdr>
      <w:shd w:val="clear" w:color="000000" w:fill="B5DDDC"/>
      <w:spacing w:before="100" w:beforeAutospacing="1" w:after="100" w:afterAutospacing="1" w:line="240" w:lineRule="auto"/>
    </w:pPr>
    <w:rPr>
      <w:rFonts w:ascii="Times New Roman" w:hAnsi="Times New Roman"/>
      <w:b/>
      <w:bCs/>
      <w:color w:val="008000"/>
      <w:sz w:val="24"/>
    </w:rPr>
  </w:style>
  <w:style w:type="paragraph" w:customStyle="1" w:styleId="xl99">
    <w:name w:val="xl99"/>
    <w:basedOn w:val="Normal"/>
    <w:rsid w:val="00A34A08"/>
    <w:pPr>
      <w:pBdr>
        <w:top w:val="single" w:sz="4" w:space="0" w:color="B5DDDC"/>
        <w:left w:val="single" w:sz="4" w:space="0" w:color="B5DDDC"/>
        <w:bottom w:val="single" w:sz="4" w:space="0" w:color="B5DDDC"/>
      </w:pBdr>
      <w:shd w:val="clear" w:color="000000" w:fill="B5DDDC"/>
      <w:spacing w:before="100" w:beforeAutospacing="1" w:after="100" w:afterAutospacing="1" w:line="240" w:lineRule="auto"/>
    </w:pPr>
    <w:rPr>
      <w:rFonts w:ascii="Times New Roman" w:hAnsi="Times New Roman"/>
      <w:color w:val="008000"/>
      <w:sz w:val="24"/>
    </w:rPr>
  </w:style>
  <w:style w:type="paragraph" w:customStyle="1" w:styleId="xl100">
    <w:name w:val="xl100"/>
    <w:basedOn w:val="Normal"/>
    <w:rsid w:val="00A34A08"/>
    <w:pPr>
      <w:pBdr>
        <w:top w:val="single" w:sz="4" w:space="0" w:color="B5DDDC"/>
        <w:left w:val="single" w:sz="4" w:space="0" w:color="B5DDDC"/>
        <w:bottom w:val="single" w:sz="4" w:space="0" w:color="B5DDDC"/>
      </w:pBdr>
      <w:spacing w:before="100" w:beforeAutospacing="1" w:after="100" w:afterAutospacing="1" w:line="240" w:lineRule="auto"/>
      <w:jc w:val="center"/>
    </w:pPr>
    <w:rPr>
      <w:rFonts w:ascii="Times New Roman" w:hAnsi="Times New Roman"/>
      <w:sz w:val="24"/>
    </w:rPr>
  </w:style>
  <w:style w:type="paragraph" w:customStyle="1" w:styleId="xl101">
    <w:name w:val="xl101"/>
    <w:basedOn w:val="Normal"/>
    <w:rsid w:val="00A34A08"/>
    <w:pPr>
      <w:pBdr>
        <w:top w:val="single" w:sz="4" w:space="0" w:color="B5DDDC"/>
        <w:left w:val="single" w:sz="4" w:space="0" w:color="B5DDDC"/>
        <w:bottom w:val="single" w:sz="4" w:space="0" w:color="B5DDDC"/>
      </w:pBdr>
      <w:spacing w:before="100" w:beforeAutospacing="1" w:after="100" w:afterAutospacing="1" w:line="240" w:lineRule="auto"/>
      <w:jc w:val="center"/>
    </w:pPr>
    <w:rPr>
      <w:rFonts w:ascii="Times New Roman" w:hAnsi="Times New Roman"/>
      <w:sz w:val="24"/>
    </w:rPr>
  </w:style>
  <w:style w:type="paragraph" w:customStyle="1" w:styleId="xl102">
    <w:name w:val="xl102"/>
    <w:basedOn w:val="Normal"/>
    <w:rsid w:val="00A34A08"/>
    <w:pPr>
      <w:pBdr>
        <w:top w:val="single" w:sz="4" w:space="0" w:color="B5DDDC"/>
        <w:left w:val="single" w:sz="4" w:space="0" w:color="008000"/>
        <w:bottom w:val="single" w:sz="4" w:space="0" w:color="B5DDDC"/>
        <w:right w:val="single" w:sz="4" w:space="0" w:color="B5DDDC"/>
      </w:pBdr>
      <w:shd w:val="clear" w:color="000000" w:fill="B5DDDC"/>
      <w:spacing w:before="100" w:beforeAutospacing="1" w:after="100" w:afterAutospacing="1" w:line="240" w:lineRule="auto"/>
    </w:pPr>
    <w:rPr>
      <w:rFonts w:ascii="Times New Roman" w:hAnsi="Times New Roman"/>
      <w:b/>
      <w:bCs/>
      <w:color w:val="008000"/>
      <w:sz w:val="24"/>
    </w:rPr>
  </w:style>
  <w:style w:type="paragraph" w:customStyle="1" w:styleId="xl103">
    <w:name w:val="xl103"/>
    <w:basedOn w:val="Normal"/>
    <w:rsid w:val="00A34A08"/>
    <w:pPr>
      <w:pBdr>
        <w:top w:val="single" w:sz="4" w:space="0" w:color="B5DDDC"/>
        <w:left w:val="single" w:sz="4" w:space="0" w:color="008000"/>
        <w:bottom w:val="single" w:sz="4" w:space="0" w:color="B5DDDC"/>
        <w:right w:val="single" w:sz="4" w:space="0" w:color="B5DDDC"/>
      </w:pBdr>
      <w:shd w:val="clear" w:color="000000" w:fill="B5DDDC"/>
      <w:spacing w:before="100" w:beforeAutospacing="1" w:after="100" w:afterAutospacing="1" w:line="240" w:lineRule="auto"/>
    </w:pPr>
    <w:rPr>
      <w:rFonts w:ascii="Times New Roman" w:hAnsi="Times New Roman"/>
      <w:color w:val="008000"/>
      <w:sz w:val="24"/>
    </w:rPr>
  </w:style>
  <w:style w:type="paragraph" w:customStyle="1" w:styleId="xl104">
    <w:name w:val="xl104"/>
    <w:basedOn w:val="Normal"/>
    <w:rsid w:val="00A34A08"/>
    <w:pPr>
      <w:pBdr>
        <w:top w:val="single" w:sz="4" w:space="0" w:color="B5DDDC"/>
        <w:bottom w:val="single" w:sz="4" w:space="0" w:color="B5DDDC"/>
        <w:right w:val="single" w:sz="4" w:space="0" w:color="B5DDDC"/>
      </w:pBdr>
      <w:shd w:val="clear" w:color="000000" w:fill="B5DDDC"/>
      <w:spacing w:before="100" w:beforeAutospacing="1" w:after="100" w:afterAutospacing="1" w:line="240" w:lineRule="auto"/>
    </w:pPr>
    <w:rPr>
      <w:rFonts w:ascii="Times New Roman" w:hAnsi="Times New Roman"/>
      <w:b/>
      <w:bCs/>
      <w:color w:val="008000"/>
      <w:sz w:val="24"/>
    </w:rPr>
  </w:style>
  <w:style w:type="paragraph" w:customStyle="1" w:styleId="xl105">
    <w:name w:val="xl105"/>
    <w:basedOn w:val="Normal"/>
    <w:rsid w:val="00A34A08"/>
    <w:pPr>
      <w:pBdr>
        <w:top w:val="single" w:sz="4" w:space="0" w:color="B5DDDC"/>
        <w:bottom w:val="single" w:sz="4" w:space="0" w:color="B5DDDC"/>
        <w:right w:val="single" w:sz="4" w:space="0" w:color="B5DDDC"/>
      </w:pBdr>
      <w:shd w:val="clear" w:color="000000" w:fill="B5DDDC"/>
      <w:spacing w:before="100" w:beforeAutospacing="1" w:after="100" w:afterAutospacing="1" w:line="240" w:lineRule="auto"/>
    </w:pPr>
    <w:rPr>
      <w:rFonts w:ascii="Times New Roman" w:hAnsi="Times New Roman"/>
      <w:color w:val="008000"/>
      <w:sz w:val="24"/>
    </w:rPr>
  </w:style>
  <w:style w:type="paragraph" w:customStyle="1" w:styleId="xl106">
    <w:name w:val="xl106"/>
    <w:basedOn w:val="Normal"/>
    <w:rsid w:val="00A34A08"/>
    <w:pPr>
      <w:pBdr>
        <w:top w:val="single" w:sz="4" w:space="0" w:color="B5DDDC"/>
        <w:left w:val="single" w:sz="4" w:space="0" w:color="B5DDDC"/>
        <w:bottom w:val="single" w:sz="4" w:space="0" w:color="B5DDDC"/>
        <w:right w:val="single" w:sz="4" w:space="0" w:color="008000"/>
      </w:pBdr>
      <w:shd w:val="clear" w:color="000000" w:fill="B5DDDC"/>
      <w:spacing w:before="100" w:beforeAutospacing="1" w:after="100" w:afterAutospacing="1" w:line="240" w:lineRule="auto"/>
    </w:pPr>
    <w:rPr>
      <w:rFonts w:ascii="Times New Roman" w:hAnsi="Times New Roman"/>
      <w:b/>
      <w:bCs/>
      <w:color w:val="008000"/>
      <w:sz w:val="24"/>
    </w:rPr>
  </w:style>
  <w:style w:type="paragraph" w:customStyle="1" w:styleId="xl107">
    <w:name w:val="xl107"/>
    <w:basedOn w:val="Normal"/>
    <w:rsid w:val="00A34A08"/>
    <w:pPr>
      <w:pBdr>
        <w:top w:val="single" w:sz="4" w:space="0" w:color="B5DDDC"/>
        <w:left w:val="single" w:sz="4" w:space="0" w:color="B5DDDC"/>
        <w:bottom w:val="single" w:sz="4" w:space="0" w:color="B5DDDC"/>
        <w:right w:val="single" w:sz="4" w:space="0" w:color="008000"/>
      </w:pBdr>
      <w:shd w:val="clear" w:color="000000" w:fill="B5DDDC"/>
      <w:spacing w:before="100" w:beforeAutospacing="1" w:after="100" w:afterAutospacing="1" w:line="240" w:lineRule="auto"/>
    </w:pPr>
    <w:rPr>
      <w:rFonts w:ascii="Times New Roman" w:hAnsi="Times New Roman"/>
      <w:color w:val="008000"/>
      <w:sz w:val="24"/>
    </w:rPr>
  </w:style>
  <w:style w:type="paragraph" w:customStyle="1" w:styleId="xl108">
    <w:name w:val="xl108"/>
    <w:basedOn w:val="Normal"/>
    <w:rsid w:val="00A34A08"/>
    <w:pPr>
      <w:pBdr>
        <w:left w:val="single" w:sz="4" w:space="0" w:color="B5DDDC"/>
        <w:bottom w:val="single" w:sz="4" w:space="0" w:color="B5DDDC"/>
        <w:right w:val="single" w:sz="4" w:space="0" w:color="B5DDDC"/>
      </w:pBdr>
      <w:shd w:val="clear" w:color="000000" w:fill="D6EAEB"/>
      <w:spacing w:before="100" w:beforeAutospacing="1" w:after="100" w:afterAutospacing="1" w:line="240" w:lineRule="auto"/>
    </w:pPr>
    <w:rPr>
      <w:rFonts w:ascii="Times New Roman" w:hAnsi="Times New Roman"/>
      <w:sz w:val="24"/>
    </w:rPr>
  </w:style>
  <w:style w:type="paragraph" w:customStyle="1" w:styleId="xl109">
    <w:name w:val="xl109"/>
    <w:basedOn w:val="Normal"/>
    <w:rsid w:val="00A34A08"/>
    <w:pPr>
      <w:pBdr>
        <w:left w:val="single" w:sz="4" w:space="0" w:color="B5DDDC"/>
        <w:bottom w:val="single" w:sz="4" w:space="0" w:color="B5DDDC"/>
      </w:pBdr>
      <w:shd w:val="clear" w:color="000000" w:fill="D6EAEB"/>
      <w:spacing w:before="100" w:beforeAutospacing="1" w:after="100" w:afterAutospacing="1" w:line="240" w:lineRule="auto"/>
    </w:pPr>
    <w:rPr>
      <w:rFonts w:ascii="Times New Roman" w:hAnsi="Times New Roman"/>
      <w:sz w:val="24"/>
    </w:rPr>
  </w:style>
  <w:style w:type="paragraph" w:customStyle="1" w:styleId="xl110">
    <w:name w:val="xl110"/>
    <w:basedOn w:val="Normal"/>
    <w:rsid w:val="00A34A08"/>
    <w:pPr>
      <w:pBdr>
        <w:left w:val="single" w:sz="4" w:space="0" w:color="008000"/>
        <w:bottom w:val="single" w:sz="4" w:space="0" w:color="B5DDDC"/>
        <w:right w:val="single" w:sz="4" w:space="0" w:color="B5DDDC"/>
      </w:pBdr>
      <w:spacing w:before="100" w:beforeAutospacing="1" w:after="100" w:afterAutospacing="1" w:line="240" w:lineRule="auto"/>
      <w:jc w:val="center"/>
    </w:pPr>
    <w:rPr>
      <w:rFonts w:ascii="Times New Roman" w:hAnsi="Times New Roman"/>
      <w:sz w:val="24"/>
    </w:rPr>
  </w:style>
  <w:style w:type="paragraph" w:customStyle="1" w:styleId="xl111">
    <w:name w:val="xl111"/>
    <w:basedOn w:val="Normal"/>
    <w:rsid w:val="00A34A08"/>
    <w:pPr>
      <w:pBdr>
        <w:left w:val="single" w:sz="4" w:space="0" w:color="B5DDDC"/>
        <w:bottom w:val="single" w:sz="4" w:space="0" w:color="B5DDDC"/>
        <w:right w:val="single" w:sz="4" w:space="0" w:color="B5DDDC"/>
      </w:pBdr>
      <w:spacing w:before="100" w:beforeAutospacing="1" w:after="100" w:afterAutospacing="1" w:line="240" w:lineRule="auto"/>
      <w:jc w:val="center"/>
    </w:pPr>
    <w:rPr>
      <w:rFonts w:ascii="Times New Roman" w:hAnsi="Times New Roman"/>
      <w:sz w:val="24"/>
    </w:rPr>
  </w:style>
  <w:style w:type="paragraph" w:customStyle="1" w:styleId="xl112">
    <w:name w:val="xl112"/>
    <w:basedOn w:val="Normal"/>
    <w:rsid w:val="00A34A08"/>
    <w:pPr>
      <w:pBdr>
        <w:left w:val="single" w:sz="4" w:space="0" w:color="B5DDDC"/>
        <w:bottom w:val="single" w:sz="4" w:space="0" w:color="B5DDDC"/>
        <w:right w:val="single" w:sz="4" w:space="0" w:color="008000"/>
      </w:pBdr>
      <w:spacing w:before="100" w:beforeAutospacing="1" w:after="100" w:afterAutospacing="1" w:line="240" w:lineRule="auto"/>
      <w:jc w:val="center"/>
    </w:pPr>
    <w:rPr>
      <w:rFonts w:ascii="Times New Roman" w:hAnsi="Times New Roman"/>
      <w:sz w:val="24"/>
    </w:rPr>
  </w:style>
  <w:style w:type="paragraph" w:customStyle="1" w:styleId="xl113">
    <w:name w:val="xl113"/>
    <w:basedOn w:val="Normal"/>
    <w:rsid w:val="00A34A08"/>
    <w:pPr>
      <w:pBdr>
        <w:bottom w:val="single" w:sz="4" w:space="0" w:color="B5DDDC"/>
        <w:right w:val="single" w:sz="4" w:space="0" w:color="B5DDDC"/>
      </w:pBdr>
      <w:spacing w:before="100" w:beforeAutospacing="1" w:after="100" w:afterAutospacing="1" w:line="240" w:lineRule="auto"/>
      <w:jc w:val="center"/>
    </w:pPr>
    <w:rPr>
      <w:rFonts w:ascii="Times New Roman" w:hAnsi="Times New Roman"/>
      <w:sz w:val="24"/>
    </w:rPr>
  </w:style>
  <w:style w:type="paragraph" w:customStyle="1" w:styleId="xl114">
    <w:name w:val="xl114"/>
    <w:basedOn w:val="Normal"/>
    <w:rsid w:val="00A34A08"/>
    <w:pPr>
      <w:pBdr>
        <w:left w:val="single" w:sz="4" w:space="0" w:color="B5DDDC"/>
        <w:bottom w:val="single" w:sz="4" w:space="0" w:color="B5DDDC"/>
      </w:pBdr>
      <w:spacing w:before="100" w:beforeAutospacing="1" w:after="100" w:afterAutospacing="1" w:line="240" w:lineRule="auto"/>
      <w:jc w:val="center"/>
    </w:pPr>
    <w:rPr>
      <w:rFonts w:ascii="Times New Roman" w:hAnsi="Times New Roman"/>
      <w:sz w:val="24"/>
    </w:rPr>
  </w:style>
  <w:style w:type="paragraph" w:customStyle="1" w:styleId="xl115">
    <w:name w:val="xl115"/>
    <w:basedOn w:val="Normal"/>
    <w:rsid w:val="00A34A08"/>
    <w:pPr>
      <w:pBdr>
        <w:top w:val="single" w:sz="4" w:space="0" w:color="B5DDDC"/>
        <w:left w:val="single" w:sz="4" w:space="0" w:color="B5DDDC"/>
        <w:bottom w:val="single" w:sz="4" w:space="0" w:color="008000"/>
        <w:right w:val="single" w:sz="4" w:space="0" w:color="B5DDDC"/>
      </w:pBdr>
      <w:shd w:val="clear" w:color="000000" w:fill="D6EAEB"/>
      <w:spacing w:before="100" w:beforeAutospacing="1" w:after="100" w:afterAutospacing="1" w:line="240" w:lineRule="auto"/>
    </w:pPr>
    <w:rPr>
      <w:rFonts w:ascii="Times New Roman" w:hAnsi="Times New Roman"/>
      <w:sz w:val="24"/>
    </w:rPr>
  </w:style>
  <w:style w:type="paragraph" w:customStyle="1" w:styleId="xl116">
    <w:name w:val="xl116"/>
    <w:basedOn w:val="Normal"/>
    <w:rsid w:val="00A34A08"/>
    <w:pPr>
      <w:pBdr>
        <w:top w:val="single" w:sz="4" w:space="0" w:color="B5DDDC"/>
        <w:left w:val="single" w:sz="4" w:space="0" w:color="B5DDDC"/>
        <w:bottom w:val="single" w:sz="4" w:space="0" w:color="008000"/>
      </w:pBdr>
      <w:shd w:val="clear" w:color="000000" w:fill="D6EAEB"/>
      <w:spacing w:before="100" w:beforeAutospacing="1" w:after="100" w:afterAutospacing="1" w:line="240" w:lineRule="auto"/>
    </w:pPr>
    <w:rPr>
      <w:rFonts w:ascii="Times New Roman" w:hAnsi="Times New Roman"/>
      <w:sz w:val="24"/>
    </w:rPr>
  </w:style>
  <w:style w:type="paragraph" w:customStyle="1" w:styleId="xl117">
    <w:name w:val="xl117"/>
    <w:basedOn w:val="Normal"/>
    <w:rsid w:val="00A34A08"/>
    <w:pPr>
      <w:pBdr>
        <w:top w:val="single" w:sz="4" w:space="0" w:color="B5DDDC"/>
        <w:left w:val="single" w:sz="4" w:space="0" w:color="008000"/>
        <w:bottom w:val="single" w:sz="4" w:space="0" w:color="008000"/>
        <w:right w:val="single" w:sz="4" w:space="0" w:color="B5DDDC"/>
      </w:pBdr>
      <w:spacing w:before="100" w:beforeAutospacing="1" w:after="100" w:afterAutospacing="1" w:line="240" w:lineRule="auto"/>
      <w:jc w:val="center"/>
    </w:pPr>
    <w:rPr>
      <w:rFonts w:ascii="Times New Roman" w:hAnsi="Times New Roman"/>
      <w:sz w:val="24"/>
    </w:rPr>
  </w:style>
  <w:style w:type="paragraph" w:customStyle="1" w:styleId="xl118">
    <w:name w:val="xl118"/>
    <w:basedOn w:val="Normal"/>
    <w:rsid w:val="00A34A08"/>
    <w:pPr>
      <w:pBdr>
        <w:top w:val="single" w:sz="4" w:space="0" w:color="B5DDDC"/>
        <w:left w:val="single" w:sz="4" w:space="0" w:color="B5DDDC"/>
        <w:bottom w:val="single" w:sz="4" w:space="0" w:color="008000"/>
        <w:right w:val="single" w:sz="4" w:space="0" w:color="B5DDDC"/>
      </w:pBdr>
      <w:spacing w:before="100" w:beforeAutospacing="1" w:after="100" w:afterAutospacing="1" w:line="240" w:lineRule="auto"/>
      <w:jc w:val="center"/>
    </w:pPr>
    <w:rPr>
      <w:rFonts w:ascii="Times New Roman" w:hAnsi="Times New Roman"/>
      <w:sz w:val="24"/>
    </w:rPr>
  </w:style>
  <w:style w:type="paragraph" w:customStyle="1" w:styleId="xl119">
    <w:name w:val="xl119"/>
    <w:basedOn w:val="Normal"/>
    <w:rsid w:val="00A34A08"/>
    <w:pPr>
      <w:pBdr>
        <w:top w:val="single" w:sz="4" w:space="0" w:color="B5DDDC"/>
        <w:left w:val="single" w:sz="4" w:space="0" w:color="B5DDDC"/>
        <w:bottom w:val="single" w:sz="4" w:space="0" w:color="008000"/>
        <w:right w:val="single" w:sz="4" w:space="0" w:color="008000"/>
      </w:pBdr>
      <w:spacing w:before="100" w:beforeAutospacing="1" w:after="100" w:afterAutospacing="1" w:line="240" w:lineRule="auto"/>
      <w:jc w:val="center"/>
    </w:pPr>
    <w:rPr>
      <w:rFonts w:ascii="Times New Roman" w:hAnsi="Times New Roman"/>
      <w:sz w:val="24"/>
    </w:rPr>
  </w:style>
  <w:style w:type="paragraph" w:customStyle="1" w:styleId="xl120">
    <w:name w:val="xl120"/>
    <w:basedOn w:val="Normal"/>
    <w:rsid w:val="00A34A08"/>
    <w:pPr>
      <w:pBdr>
        <w:top w:val="single" w:sz="4" w:space="0" w:color="B5DDDC"/>
        <w:bottom w:val="single" w:sz="4" w:space="0" w:color="008000"/>
        <w:right w:val="single" w:sz="4" w:space="0" w:color="B5DDDC"/>
      </w:pBdr>
      <w:spacing w:before="100" w:beforeAutospacing="1" w:after="100" w:afterAutospacing="1" w:line="240" w:lineRule="auto"/>
      <w:jc w:val="center"/>
    </w:pPr>
    <w:rPr>
      <w:rFonts w:ascii="Times New Roman" w:hAnsi="Times New Roman"/>
      <w:sz w:val="24"/>
    </w:rPr>
  </w:style>
  <w:style w:type="paragraph" w:customStyle="1" w:styleId="xl121">
    <w:name w:val="xl121"/>
    <w:basedOn w:val="Normal"/>
    <w:rsid w:val="00A34A08"/>
    <w:pPr>
      <w:pBdr>
        <w:top w:val="single" w:sz="4" w:space="0" w:color="B5DDDC"/>
        <w:left w:val="single" w:sz="4" w:space="0" w:color="B5DDDC"/>
        <w:bottom w:val="single" w:sz="4" w:space="0" w:color="008000"/>
      </w:pBdr>
      <w:spacing w:before="100" w:beforeAutospacing="1" w:after="100" w:afterAutospacing="1" w:line="240" w:lineRule="auto"/>
      <w:jc w:val="center"/>
    </w:pPr>
    <w:rPr>
      <w:rFonts w:ascii="Times New Roman" w:hAnsi="Times New Roman"/>
      <w:sz w:val="24"/>
    </w:rPr>
  </w:style>
  <w:style w:type="paragraph" w:customStyle="1" w:styleId="xl122">
    <w:name w:val="xl122"/>
    <w:basedOn w:val="Normal"/>
    <w:rsid w:val="00A34A08"/>
    <w:pPr>
      <w:pBdr>
        <w:top w:val="single" w:sz="4" w:space="0" w:color="B5DDDC"/>
        <w:left w:val="single" w:sz="4" w:space="0" w:color="B5DDDC"/>
        <w:right w:val="single" w:sz="4" w:space="0" w:color="B5DDDC"/>
      </w:pBdr>
      <w:shd w:val="clear" w:color="000000" w:fill="D6EAEB"/>
      <w:spacing w:before="100" w:beforeAutospacing="1" w:after="100" w:afterAutospacing="1" w:line="240" w:lineRule="auto"/>
    </w:pPr>
    <w:rPr>
      <w:rFonts w:ascii="Times New Roman" w:hAnsi="Times New Roman"/>
      <w:sz w:val="24"/>
    </w:rPr>
  </w:style>
  <w:style w:type="paragraph" w:customStyle="1" w:styleId="xl123">
    <w:name w:val="xl123"/>
    <w:basedOn w:val="Normal"/>
    <w:rsid w:val="00A34A08"/>
    <w:pPr>
      <w:pBdr>
        <w:top w:val="single" w:sz="4" w:space="0" w:color="B5DDDC"/>
        <w:left w:val="single" w:sz="4" w:space="0" w:color="B5DDDC"/>
      </w:pBdr>
      <w:shd w:val="clear" w:color="000000" w:fill="D6EAEB"/>
      <w:spacing w:before="100" w:beforeAutospacing="1" w:after="100" w:afterAutospacing="1" w:line="240" w:lineRule="auto"/>
    </w:pPr>
    <w:rPr>
      <w:rFonts w:ascii="Times New Roman" w:hAnsi="Times New Roman"/>
      <w:sz w:val="24"/>
    </w:rPr>
  </w:style>
  <w:style w:type="paragraph" w:customStyle="1" w:styleId="xl124">
    <w:name w:val="xl124"/>
    <w:basedOn w:val="Normal"/>
    <w:rsid w:val="00A34A08"/>
    <w:pPr>
      <w:pBdr>
        <w:top w:val="single" w:sz="4" w:space="0" w:color="B5DDDC"/>
        <w:left w:val="single" w:sz="4" w:space="0" w:color="008000"/>
        <w:right w:val="single" w:sz="4" w:space="0" w:color="B5DDDC"/>
      </w:pBdr>
      <w:spacing w:before="100" w:beforeAutospacing="1" w:after="100" w:afterAutospacing="1" w:line="240" w:lineRule="auto"/>
      <w:jc w:val="center"/>
    </w:pPr>
    <w:rPr>
      <w:rFonts w:ascii="Times New Roman" w:hAnsi="Times New Roman"/>
      <w:sz w:val="24"/>
    </w:rPr>
  </w:style>
  <w:style w:type="paragraph" w:customStyle="1" w:styleId="xl125">
    <w:name w:val="xl125"/>
    <w:basedOn w:val="Normal"/>
    <w:rsid w:val="00A34A08"/>
    <w:pPr>
      <w:pBdr>
        <w:top w:val="single" w:sz="4" w:space="0" w:color="B5DDDC"/>
        <w:left w:val="single" w:sz="4" w:space="0" w:color="B5DDDC"/>
        <w:right w:val="single" w:sz="4" w:space="0" w:color="B5DDDC"/>
      </w:pBdr>
      <w:spacing w:before="100" w:beforeAutospacing="1" w:after="100" w:afterAutospacing="1" w:line="240" w:lineRule="auto"/>
      <w:jc w:val="center"/>
    </w:pPr>
    <w:rPr>
      <w:rFonts w:ascii="Times New Roman" w:hAnsi="Times New Roman"/>
      <w:sz w:val="24"/>
    </w:rPr>
  </w:style>
  <w:style w:type="paragraph" w:customStyle="1" w:styleId="xl126">
    <w:name w:val="xl126"/>
    <w:basedOn w:val="Normal"/>
    <w:rsid w:val="00A34A08"/>
    <w:pPr>
      <w:pBdr>
        <w:top w:val="single" w:sz="4" w:space="0" w:color="B5DDDC"/>
        <w:left w:val="single" w:sz="4" w:space="0" w:color="B5DDDC"/>
        <w:right w:val="single" w:sz="4" w:space="0" w:color="008000"/>
      </w:pBdr>
      <w:spacing w:before="100" w:beforeAutospacing="1" w:after="100" w:afterAutospacing="1" w:line="240" w:lineRule="auto"/>
      <w:jc w:val="center"/>
    </w:pPr>
    <w:rPr>
      <w:rFonts w:ascii="Times New Roman" w:hAnsi="Times New Roman"/>
      <w:sz w:val="24"/>
    </w:rPr>
  </w:style>
  <w:style w:type="paragraph" w:customStyle="1" w:styleId="xl127">
    <w:name w:val="xl127"/>
    <w:basedOn w:val="Normal"/>
    <w:rsid w:val="00A34A08"/>
    <w:pPr>
      <w:pBdr>
        <w:top w:val="single" w:sz="4" w:space="0" w:color="B5DDDC"/>
        <w:right w:val="single" w:sz="4" w:space="0" w:color="B5DDDC"/>
      </w:pBdr>
      <w:spacing w:before="100" w:beforeAutospacing="1" w:after="100" w:afterAutospacing="1" w:line="240" w:lineRule="auto"/>
      <w:jc w:val="center"/>
    </w:pPr>
    <w:rPr>
      <w:rFonts w:ascii="Times New Roman" w:hAnsi="Times New Roman"/>
      <w:sz w:val="24"/>
    </w:rPr>
  </w:style>
  <w:style w:type="paragraph" w:customStyle="1" w:styleId="xl128">
    <w:name w:val="xl128"/>
    <w:basedOn w:val="Normal"/>
    <w:rsid w:val="00A34A08"/>
    <w:pPr>
      <w:pBdr>
        <w:top w:val="single" w:sz="4" w:space="0" w:color="B5DDDC"/>
        <w:left w:val="single" w:sz="4" w:space="0" w:color="B5DDDC"/>
      </w:pBdr>
      <w:spacing w:before="100" w:beforeAutospacing="1" w:after="100" w:afterAutospacing="1" w:line="240" w:lineRule="auto"/>
      <w:jc w:val="center"/>
    </w:pPr>
    <w:rPr>
      <w:rFonts w:ascii="Times New Roman" w:hAnsi="Times New Roman"/>
      <w:sz w:val="24"/>
    </w:rPr>
  </w:style>
  <w:style w:type="paragraph" w:customStyle="1" w:styleId="xl129">
    <w:name w:val="xl129"/>
    <w:basedOn w:val="Normal"/>
    <w:rsid w:val="00A34A08"/>
    <w:pPr>
      <w:pBdr>
        <w:left w:val="single" w:sz="4" w:space="0" w:color="B5DDDC"/>
        <w:bottom w:val="single" w:sz="4" w:space="0" w:color="008000"/>
        <w:right w:val="single" w:sz="4" w:space="0" w:color="B5DDDC"/>
      </w:pBdr>
      <w:shd w:val="clear" w:color="000000" w:fill="D6EAEB"/>
      <w:spacing w:before="100" w:beforeAutospacing="1" w:after="100" w:afterAutospacing="1" w:line="240" w:lineRule="auto"/>
    </w:pPr>
    <w:rPr>
      <w:rFonts w:ascii="Times New Roman" w:hAnsi="Times New Roman"/>
      <w:sz w:val="24"/>
    </w:rPr>
  </w:style>
  <w:style w:type="paragraph" w:customStyle="1" w:styleId="xl130">
    <w:name w:val="xl130"/>
    <w:basedOn w:val="Normal"/>
    <w:rsid w:val="00A34A08"/>
    <w:pPr>
      <w:pBdr>
        <w:left w:val="single" w:sz="4" w:space="0" w:color="B5DDDC"/>
        <w:bottom w:val="single" w:sz="4" w:space="0" w:color="008000"/>
      </w:pBdr>
      <w:shd w:val="clear" w:color="000000" w:fill="D6EAEB"/>
      <w:spacing w:before="100" w:beforeAutospacing="1" w:after="100" w:afterAutospacing="1" w:line="240" w:lineRule="auto"/>
    </w:pPr>
    <w:rPr>
      <w:rFonts w:ascii="Times New Roman" w:hAnsi="Times New Roman"/>
      <w:sz w:val="24"/>
    </w:rPr>
  </w:style>
  <w:style w:type="paragraph" w:customStyle="1" w:styleId="xl131">
    <w:name w:val="xl131"/>
    <w:basedOn w:val="Normal"/>
    <w:rsid w:val="00A34A08"/>
    <w:pPr>
      <w:pBdr>
        <w:left w:val="single" w:sz="4" w:space="0" w:color="008000"/>
        <w:bottom w:val="single" w:sz="4" w:space="0" w:color="008000"/>
        <w:right w:val="single" w:sz="4" w:space="0" w:color="B5DDDC"/>
      </w:pBdr>
      <w:spacing w:before="100" w:beforeAutospacing="1" w:after="100" w:afterAutospacing="1" w:line="240" w:lineRule="auto"/>
      <w:jc w:val="center"/>
    </w:pPr>
    <w:rPr>
      <w:rFonts w:ascii="Times New Roman" w:hAnsi="Times New Roman"/>
      <w:sz w:val="24"/>
    </w:rPr>
  </w:style>
  <w:style w:type="paragraph" w:customStyle="1" w:styleId="xl132">
    <w:name w:val="xl132"/>
    <w:basedOn w:val="Normal"/>
    <w:rsid w:val="00A34A08"/>
    <w:pPr>
      <w:pBdr>
        <w:left w:val="single" w:sz="4" w:space="0" w:color="B5DDDC"/>
        <w:bottom w:val="single" w:sz="4" w:space="0" w:color="008000"/>
        <w:right w:val="single" w:sz="4" w:space="0" w:color="B5DDDC"/>
      </w:pBdr>
      <w:spacing w:before="100" w:beforeAutospacing="1" w:after="100" w:afterAutospacing="1" w:line="240" w:lineRule="auto"/>
      <w:jc w:val="center"/>
    </w:pPr>
    <w:rPr>
      <w:rFonts w:ascii="Times New Roman" w:hAnsi="Times New Roman"/>
      <w:sz w:val="24"/>
    </w:rPr>
  </w:style>
  <w:style w:type="paragraph" w:customStyle="1" w:styleId="xl133">
    <w:name w:val="xl133"/>
    <w:basedOn w:val="Normal"/>
    <w:rsid w:val="00A34A08"/>
    <w:pPr>
      <w:pBdr>
        <w:left w:val="single" w:sz="4" w:space="0" w:color="B5DDDC"/>
        <w:bottom w:val="single" w:sz="4" w:space="0" w:color="008000"/>
        <w:right w:val="single" w:sz="4" w:space="0" w:color="008000"/>
      </w:pBdr>
      <w:spacing w:before="100" w:beforeAutospacing="1" w:after="100" w:afterAutospacing="1" w:line="240" w:lineRule="auto"/>
      <w:jc w:val="center"/>
    </w:pPr>
    <w:rPr>
      <w:rFonts w:ascii="Times New Roman" w:hAnsi="Times New Roman"/>
      <w:sz w:val="24"/>
    </w:rPr>
  </w:style>
  <w:style w:type="paragraph" w:customStyle="1" w:styleId="xl134">
    <w:name w:val="xl134"/>
    <w:basedOn w:val="Normal"/>
    <w:rsid w:val="00A34A08"/>
    <w:pPr>
      <w:pBdr>
        <w:bottom w:val="single" w:sz="4" w:space="0" w:color="008000"/>
        <w:right w:val="single" w:sz="4" w:space="0" w:color="B5DDDC"/>
      </w:pBdr>
      <w:spacing w:before="100" w:beforeAutospacing="1" w:after="100" w:afterAutospacing="1" w:line="240" w:lineRule="auto"/>
      <w:jc w:val="center"/>
    </w:pPr>
    <w:rPr>
      <w:rFonts w:ascii="Times New Roman" w:hAnsi="Times New Roman"/>
      <w:sz w:val="24"/>
    </w:rPr>
  </w:style>
  <w:style w:type="paragraph" w:customStyle="1" w:styleId="xl135">
    <w:name w:val="xl135"/>
    <w:basedOn w:val="Normal"/>
    <w:rsid w:val="00A34A08"/>
    <w:pPr>
      <w:pBdr>
        <w:left w:val="single" w:sz="4" w:space="0" w:color="B5DDDC"/>
        <w:bottom w:val="single" w:sz="4" w:space="0" w:color="008000"/>
      </w:pBdr>
      <w:spacing w:before="100" w:beforeAutospacing="1" w:after="100" w:afterAutospacing="1" w:line="240" w:lineRule="auto"/>
      <w:jc w:val="center"/>
    </w:pPr>
    <w:rPr>
      <w:rFonts w:ascii="Times New Roman" w:hAnsi="Times New Roman"/>
      <w:sz w:val="24"/>
    </w:rPr>
  </w:style>
  <w:style w:type="table" w:customStyle="1" w:styleId="DefaultTableStyle">
    <w:name w:val="Default Table Style"/>
    <w:basedOn w:val="TableNormal"/>
    <w:rsid w:val="001E4289"/>
    <w:pPr>
      <w:jc w:val="center"/>
    </w:pPr>
    <w:rPr>
      <w:rFonts w:ascii="Calibri" w:hAnsi="Calibri"/>
      <w:sz w:val="16"/>
    </w:rPr>
    <w:tblPr>
      <w:tblBorders>
        <w:top w:val="single" w:sz="4" w:space="0" w:color="B5DDDC"/>
        <w:left w:val="single" w:sz="4" w:space="0" w:color="B5DDDC"/>
        <w:bottom w:val="single" w:sz="4" w:space="0" w:color="B5DDDC"/>
        <w:right w:val="single" w:sz="4" w:space="0" w:color="B5DDDC"/>
        <w:insideH w:val="single" w:sz="4" w:space="0" w:color="B5DDDC"/>
        <w:insideV w:val="single" w:sz="4" w:space="0" w:color="B5DDDC"/>
      </w:tblBorders>
    </w:tblPr>
    <w:tcPr>
      <w:vAlign w:val="center"/>
    </w:tcPr>
    <w:tblStylePr w:type="firstRow">
      <w:pPr>
        <w:jc w:val="center"/>
      </w:pPr>
      <w:rPr>
        <w:b/>
        <w:color w:val="008000"/>
      </w:rPr>
      <w:tblPr/>
      <w:tcPr>
        <w:shd w:val="clear" w:color="auto" w:fill="B5DDDC"/>
      </w:tcPr>
    </w:tblStylePr>
    <w:tblStylePr w:type="firstCol">
      <w:pPr>
        <w:jc w:val="left"/>
      </w:pPr>
      <w:tblPr/>
      <w:tcPr>
        <w:shd w:val="clear" w:color="auto" w:fill="D6EAEB"/>
      </w:tcPr>
    </w:tblStylePr>
  </w:style>
  <w:style w:type="paragraph" w:customStyle="1" w:styleId="References">
    <w:name w:val="References"/>
    <w:basedOn w:val="Normal"/>
    <w:rsid w:val="00993484"/>
    <w:pPr>
      <w:ind w:left="720" w:hanging="720"/>
    </w:pPr>
    <w:rPr>
      <w:sz w:val="18"/>
    </w:rPr>
  </w:style>
  <w:style w:type="paragraph" w:customStyle="1" w:styleId="font5">
    <w:name w:val="font5"/>
    <w:basedOn w:val="Normal"/>
    <w:rsid w:val="00993484"/>
    <w:pPr>
      <w:spacing w:before="100" w:beforeAutospacing="1" w:after="100" w:afterAutospacing="1" w:line="240" w:lineRule="auto"/>
    </w:pPr>
    <w:rPr>
      <w:rFonts w:ascii="Calibri" w:hAnsi="Calibri"/>
      <w:i/>
      <w:iCs/>
      <w:color w:val="000000"/>
      <w:szCs w:val="20"/>
    </w:rPr>
  </w:style>
  <w:style w:type="paragraph" w:customStyle="1" w:styleId="font6">
    <w:name w:val="font6"/>
    <w:basedOn w:val="Normal"/>
    <w:rsid w:val="00993484"/>
    <w:pPr>
      <w:spacing w:before="100" w:beforeAutospacing="1" w:after="100" w:afterAutospacing="1" w:line="240" w:lineRule="auto"/>
    </w:pPr>
    <w:rPr>
      <w:rFonts w:ascii="Tahoma" w:hAnsi="Tahoma" w:cs="Tahoma"/>
      <w:b/>
      <w:bCs/>
      <w:color w:val="000000"/>
      <w:sz w:val="16"/>
      <w:szCs w:val="16"/>
    </w:rPr>
  </w:style>
  <w:style w:type="paragraph" w:customStyle="1" w:styleId="font7">
    <w:name w:val="font7"/>
    <w:basedOn w:val="Normal"/>
    <w:rsid w:val="00993484"/>
    <w:pPr>
      <w:spacing w:before="100" w:beforeAutospacing="1" w:after="100" w:afterAutospacing="1" w:line="240" w:lineRule="auto"/>
    </w:pPr>
    <w:rPr>
      <w:rFonts w:ascii="Tahoma" w:hAnsi="Tahoma" w:cs="Tahoma"/>
      <w:color w:val="000000"/>
      <w:sz w:val="16"/>
      <w:szCs w:val="16"/>
    </w:rPr>
  </w:style>
  <w:style w:type="paragraph" w:customStyle="1" w:styleId="font8">
    <w:name w:val="font8"/>
    <w:basedOn w:val="Normal"/>
    <w:rsid w:val="00993484"/>
    <w:pPr>
      <w:spacing w:before="100" w:beforeAutospacing="1" w:after="100" w:afterAutospacing="1" w:line="240" w:lineRule="auto"/>
    </w:pPr>
    <w:rPr>
      <w:rFonts w:ascii="Tahoma" w:hAnsi="Tahoma" w:cs="Tahoma"/>
      <w:b/>
      <w:bCs/>
      <w:color w:val="000000"/>
      <w:sz w:val="28"/>
      <w:szCs w:val="28"/>
    </w:rPr>
  </w:style>
  <w:style w:type="paragraph" w:customStyle="1" w:styleId="font9">
    <w:name w:val="font9"/>
    <w:basedOn w:val="Normal"/>
    <w:rsid w:val="00993484"/>
    <w:pPr>
      <w:spacing w:before="100" w:beforeAutospacing="1" w:after="100" w:afterAutospacing="1" w:line="240" w:lineRule="auto"/>
    </w:pPr>
    <w:rPr>
      <w:rFonts w:ascii="Tahoma" w:hAnsi="Tahoma" w:cs="Tahoma"/>
      <w:color w:val="000000"/>
      <w:sz w:val="28"/>
      <w:szCs w:val="28"/>
    </w:rPr>
  </w:style>
  <w:style w:type="paragraph" w:customStyle="1" w:styleId="font10">
    <w:name w:val="font10"/>
    <w:basedOn w:val="Normal"/>
    <w:rsid w:val="00993484"/>
    <w:pPr>
      <w:spacing w:before="100" w:beforeAutospacing="1" w:after="100" w:afterAutospacing="1" w:line="240" w:lineRule="auto"/>
    </w:pPr>
    <w:rPr>
      <w:rFonts w:ascii="Tahoma" w:hAnsi="Tahoma" w:cs="Tahoma"/>
      <w:b/>
      <w:bCs/>
      <w:color w:val="000000"/>
      <w:sz w:val="18"/>
      <w:szCs w:val="18"/>
    </w:rPr>
  </w:style>
  <w:style w:type="paragraph" w:customStyle="1" w:styleId="font11">
    <w:name w:val="font11"/>
    <w:basedOn w:val="Normal"/>
    <w:rsid w:val="00993484"/>
    <w:pPr>
      <w:spacing w:before="100" w:beforeAutospacing="1" w:after="100" w:afterAutospacing="1" w:line="240" w:lineRule="auto"/>
    </w:pPr>
    <w:rPr>
      <w:rFonts w:ascii="Tahoma" w:hAnsi="Tahoma" w:cs="Tahoma"/>
      <w:color w:val="000000"/>
      <w:sz w:val="18"/>
      <w:szCs w:val="18"/>
    </w:rPr>
  </w:style>
  <w:style w:type="paragraph" w:customStyle="1" w:styleId="xl136">
    <w:name w:val="xl136"/>
    <w:basedOn w:val="Normal"/>
    <w:rsid w:val="00993484"/>
    <w:pPr>
      <w:pBdr>
        <w:top w:val="single" w:sz="4" w:space="0" w:color="B5DDDC"/>
        <w:left w:val="single" w:sz="4" w:space="0" w:color="008000"/>
        <w:bottom w:val="single" w:sz="4" w:space="0" w:color="B5DDDC"/>
        <w:right w:val="single" w:sz="4" w:space="0" w:color="B5DDDC"/>
      </w:pBdr>
      <w:spacing w:before="100" w:beforeAutospacing="1" w:after="100" w:afterAutospacing="1" w:line="240" w:lineRule="auto"/>
      <w:textAlignment w:val="top"/>
    </w:pPr>
    <w:rPr>
      <w:rFonts w:ascii="Times New Roman" w:hAnsi="Times New Roman"/>
      <w:color w:val="A5A5A5"/>
      <w:sz w:val="18"/>
      <w:szCs w:val="18"/>
    </w:rPr>
  </w:style>
  <w:style w:type="paragraph" w:customStyle="1" w:styleId="xl137">
    <w:name w:val="xl137"/>
    <w:basedOn w:val="Normal"/>
    <w:rsid w:val="00993484"/>
    <w:pPr>
      <w:pBdr>
        <w:top w:val="single" w:sz="4" w:space="0" w:color="B5DDDC"/>
        <w:left w:val="single" w:sz="4" w:space="0" w:color="008000"/>
        <w:bottom w:val="single" w:sz="4" w:space="0" w:color="B5DDDC"/>
        <w:right w:val="single" w:sz="4" w:space="0" w:color="B5DDDC"/>
      </w:pBdr>
      <w:spacing w:before="100" w:beforeAutospacing="1" w:after="100" w:afterAutospacing="1" w:line="240" w:lineRule="auto"/>
      <w:jc w:val="center"/>
    </w:pPr>
    <w:rPr>
      <w:rFonts w:ascii="Times New Roman" w:hAnsi="Times New Roman"/>
      <w:color w:val="A5A5A5"/>
      <w:sz w:val="18"/>
      <w:szCs w:val="18"/>
    </w:rPr>
  </w:style>
  <w:style w:type="paragraph" w:customStyle="1" w:styleId="xl138">
    <w:name w:val="xl138"/>
    <w:basedOn w:val="Normal"/>
    <w:rsid w:val="00993484"/>
    <w:pPr>
      <w:pBdr>
        <w:top w:val="single" w:sz="4" w:space="0" w:color="B5DDDC"/>
        <w:left w:val="single" w:sz="4" w:space="0" w:color="008000"/>
        <w:bottom w:val="single" w:sz="4" w:space="0" w:color="auto"/>
        <w:right w:val="single" w:sz="4" w:space="0" w:color="B5DDDC"/>
      </w:pBdr>
      <w:spacing w:before="100" w:beforeAutospacing="1" w:after="100" w:afterAutospacing="1" w:line="240" w:lineRule="auto"/>
      <w:jc w:val="right"/>
    </w:pPr>
    <w:rPr>
      <w:rFonts w:ascii="Times New Roman" w:hAnsi="Times New Roman"/>
      <w:color w:val="A5A5A5"/>
      <w:sz w:val="18"/>
      <w:szCs w:val="18"/>
    </w:rPr>
  </w:style>
  <w:style w:type="paragraph" w:customStyle="1" w:styleId="xl139">
    <w:name w:val="xl139"/>
    <w:basedOn w:val="Normal"/>
    <w:rsid w:val="00993484"/>
    <w:pPr>
      <w:spacing w:before="100" w:beforeAutospacing="1" w:after="100" w:afterAutospacing="1" w:line="240" w:lineRule="auto"/>
    </w:pPr>
    <w:rPr>
      <w:rFonts w:ascii="Times New Roman" w:hAnsi="Times New Roman"/>
      <w:color w:val="A5A5A5"/>
      <w:sz w:val="18"/>
      <w:szCs w:val="18"/>
    </w:rPr>
  </w:style>
  <w:style w:type="paragraph" w:customStyle="1" w:styleId="xl140">
    <w:name w:val="xl140"/>
    <w:basedOn w:val="Normal"/>
    <w:rsid w:val="00993484"/>
    <w:pPr>
      <w:pBdr>
        <w:top w:val="single" w:sz="4" w:space="0" w:color="B5DDDC"/>
        <w:left w:val="single" w:sz="4" w:space="0" w:color="B5DDDC"/>
        <w:bottom w:val="single" w:sz="4" w:space="0" w:color="B5DDDC"/>
        <w:right w:val="single" w:sz="4" w:space="0" w:color="008000"/>
      </w:pBdr>
      <w:shd w:val="clear" w:color="000000" w:fill="B5DDDC"/>
      <w:spacing w:before="100" w:beforeAutospacing="1" w:after="100" w:afterAutospacing="1" w:line="240" w:lineRule="auto"/>
      <w:jc w:val="center"/>
      <w:textAlignment w:val="center"/>
    </w:pPr>
    <w:rPr>
      <w:rFonts w:ascii="Times New Roman" w:hAnsi="Times New Roman"/>
      <w:color w:val="A5A5A5"/>
      <w:sz w:val="18"/>
      <w:szCs w:val="18"/>
    </w:rPr>
  </w:style>
  <w:style w:type="paragraph" w:customStyle="1" w:styleId="xl141">
    <w:name w:val="xl141"/>
    <w:basedOn w:val="Normal"/>
    <w:rsid w:val="00993484"/>
    <w:pPr>
      <w:pBdr>
        <w:top w:val="single" w:sz="4" w:space="0" w:color="B5DDDC"/>
        <w:left w:val="single" w:sz="4" w:space="0" w:color="B5DDDC"/>
        <w:bottom w:val="single" w:sz="4" w:space="0" w:color="B5DDDC"/>
        <w:right w:val="single" w:sz="4" w:space="0" w:color="008000"/>
      </w:pBdr>
      <w:shd w:val="clear" w:color="000000" w:fill="B5DDDC"/>
      <w:spacing w:before="100" w:beforeAutospacing="1" w:after="100" w:afterAutospacing="1" w:line="240" w:lineRule="auto"/>
      <w:jc w:val="center"/>
    </w:pPr>
    <w:rPr>
      <w:rFonts w:ascii="Times New Roman" w:hAnsi="Times New Roman"/>
      <w:color w:val="A5A5A5"/>
      <w:sz w:val="18"/>
      <w:szCs w:val="18"/>
    </w:rPr>
  </w:style>
  <w:style w:type="paragraph" w:customStyle="1" w:styleId="xl142">
    <w:name w:val="xl142"/>
    <w:basedOn w:val="Normal"/>
    <w:rsid w:val="00993484"/>
    <w:pPr>
      <w:pBdr>
        <w:top w:val="single" w:sz="4" w:space="0" w:color="B5DDDC"/>
        <w:left w:val="single" w:sz="4" w:space="0" w:color="B5DDDC"/>
        <w:bottom w:val="single" w:sz="4" w:space="0" w:color="B5DDDC"/>
        <w:right w:val="single" w:sz="4" w:space="0" w:color="008000"/>
      </w:pBdr>
      <w:spacing w:before="100" w:beforeAutospacing="1" w:after="100" w:afterAutospacing="1" w:line="240" w:lineRule="auto"/>
      <w:jc w:val="right"/>
    </w:pPr>
    <w:rPr>
      <w:rFonts w:ascii="Times New Roman" w:hAnsi="Times New Roman"/>
      <w:color w:val="A5A5A5"/>
      <w:sz w:val="18"/>
      <w:szCs w:val="18"/>
    </w:rPr>
  </w:style>
  <w:style w:type="paragraph" w:customStyle="1" w:styleId="xl143">
    <w:name w:val="xl143"/>
    <w:basedOn w:val="Normal"/>
    <w:rsid w:val="00993484"/>
    <w:pPr>
      <w:pBdr>
        <w:top w:val="single" w:sz="4" w:space="0" w:color="B5DDDC"/>
        <w:left w:val="single" w:sz="4" w:space="0" w:color="B5DDDC"/>
        <w:bottom w:val="single" w:sz="4" w:space="0" w:color="B5DDDC"/>
        <w:right w:val="single" w:sz="4" w:space="0" w:color="008000"/>
      </w:pBdr>
      <w:spacing w:before="100" w:beforeAutospacing="1" w:after="100" w:afterAutospacing="1" w:line="240" w:lineRule="auto"/>
    </w:pPr>
    <w:rPr>
      <w:rFonts w:ascii="Times New Roman" w:hAnsi="Times New Roman"/>
      <w:color w:val="A5A5A5"/>
      <w:sz w:val="18"/>
      <w:szCs w:val="18"/>
    </w:rPr>
  </w:style>
  <w:style w:type="paragraph" w:customStyle="1" w:styleId="xl144">
    <w:name w:val="xl144"/>
    <w:basedOn w:val="Normal"/>
    <w:rsid w:val="00993484"/>
    <w:pPr>
      <w:pBdr>
        <w:top w:val="single" w:sz="4" w:space="0" w:color="B5DDDC"/>
        <w:left w:val="single" w:sz="4" w:space="0" w:color="B5DDDC"/>
        <w:bottom w:val="single" w:sz="4" w:space="0" w:color="B5DDDC"/>
        <w:right w:val="single" w:sz="4" w:space="0" w:color="008000"/>
      </w:pBdr>
      <w:spacing w:before="100" w:beforeAutospacing="1" w:after="100" w:afterAutospacing="1" w:line="240" w:lineRule="auto"/>
    </w:pPr>
    <w:rPr>
      <w:rFonts w:ascii="Times New Roman" w:hAnsi="Times New Roman"/>
      <w:color w:val="A5A5A5"/>
      <w:sz w:val="18"/>
      <w:szCs w:val="18"/>
    </w:rPr>
  </w:style>
  <w:style w:type="paragraph" w:customStyle="1" w:styleId="xl145">
    <w:name w:val="xl145"/>
    <w:basedOn w:val="Normal"/>
    <w:rsid w:val="00993484"/>
    <w:pPr>
      <w:pBdr>
        <w:top w:val="single" w:sz="4" w:space="0" w:color="B5DDDC"/>
        <w:left w:val="single" w:sz="4" w:space="0" w:color="B5DDDC"/>
        <w:right w:val="single" w:sz="4" w:space="0" w:color="008000"/>
      </w:pBdr>
      <w:spacing w:before="100" w:beforeAutospacing="1" w:after="100" w:afterAutospacing="1" w:line="240" w:lineRule="auto"/>
      <w:jc w:val="right"/>
    </w:pPr>
    <w:rPr>
      <w:rFonts w:ascii="Times New Roman" w:hAnsi="Times New Roman"/>
      <w:color w:val="A5A5A5"/>
      <w:sz w:val="18"/>
      <w:szCs w:val="18"/>
    </w:rPr>
  </w:style>
  <w:style w:type="paragraph" w:customStyle="1" w:styleId="xl146">
    <w:name w:val="xl146"/>
    <w:basedOn w:val="Normal"/>
    <w:rsid w:val="00993484"/>
    <w:pPr>
      <w:pBdr>
        <w:left w:val="single" w:sz="4" w:space="0" w:color="B5DDDC"/>
        <w:bottom w:val="single" w:sz="4" w:space="0" w:color="B5DDDC"/>
        <w:right w:val="single" w:sz="4" w:space="0" w:color="008000"/>
      </w:pBdr>
      <w:spacing w:before="100" w:beforeAutospacing="1" w:after="100" w:afterAutospacing="1" w:line="240" w:lineRule="auto"/>
      <w:jc w:val="right"/>
    </w:pPr>
    <w:rPr>
      <w:rFonts w:ascii="Times New Roman" w:hAnsi="Times New Roman"/>
      <w:color w:val="A5A5A5"/>
      <w:sz w:val="18"/>
      <w:szCs w:val="18"/>
    </w:rPr>
  </w:style>
  <w:style w:type="paragraph" w:customStyle="1" w:styleId="xl147">
    <w:name w:val="xl147"/>
    <w:basedOn w:val="Normal"/>
    <w:rsid w:val="00993484"/>
    <w:pPr>
      <w:pBdr>
        <w:top w:val="single" w:sz="4" w:space="0" w:color="B5DDDC"/>
        <w:left w:val="single" w:sz="4" w:space="0" w:color="B5DDDC"/>
        <w:bottom w:val="single" w:sz="4" w:space="0" w:color="auto"/>
        <w:right w:val="single" w:sz="4" w:space="0" w:color="008000"/>
      </w:pBdr>
      <w:spacing w:before="100" w:beforeAutospacing="1" w:after="100" w:afterAutospacing="1" w:line="240" w:lineRule="auto"/>
      <w:jc w:val="right"/>
    </w:pPr>
    <w:rPr>
      <w:rFonts w:ascii="Times New Roman" w:hAnsi="Times New Roman"/>
      <w:color w:val="A5A5A5"/>
      <w:sz w:val="18"/>
      <w:szCs w:val="18"/>
    </w:rPr>
  </w:style>
  <w:style w:type="paragraph" w:customStyle="1" w:styleId="xl148">
    <w:name w:val="xl148"/>
    <w:basedOn w:val="Normal"/>
    <w:rsid w:val="00993484"/>
    <w:pPr>
      <w:pBdr>
        <w:top w:val="single" w:sz="4" w:space="0" w:color="B5DDDC"/>
        <w:left w:val="single" w:sz="4" w:space="0" w:color="B5DDDC"/>
        <w:bottom w:val="single" w:sz="4" w:space="0" w:color="B5DDDC"/>
        <w:right w:val="single" w:sz="4" w:space="0" w:color="008000"/>
      </w:pBdr>
      <w:spacing w:before="100" w:beforeAutospacing="1" w:after="100" w:afterAutospacing="1" w:line="240" w:lineRule="auto"/>
      <w:jc w:val="right"/>
    </w:pPr>
    <w:rPr>
      <w:rFonts w:ascii="Times New Roman" w:hAnsi="Times New Roman"/>
      <w:color w:val="A5A5A5"/>
      <w:sz w:val="18"/>
      <w:szCs w:val="18"/>
    </w:rPr>
  </w:style>
  <w:style w:type="paragraph" w:customStyle="1" w:styleId="xl149">
    <w:name w:val="xl149"/>
    <w:basedOn w:val="Normal"/>
    <w:rsid w:val="00993484"/>
    <w:pPr>
      <w:pBdr>
        <w:top w:val="single" w:sz="4" w:space="0" w:color="B5DDDC"/>
        <w:left w:val="single" w:sz="4" w:space="0" w:color="B5DDDC"/>
        <w:bottom w:val="single" w:sz="4" w:space="0" w:color="B5DDDC"/>
        <w:right w:val="single" w:sz="4" w:space="0" w:color="008000"/>
      </w:pBdr>
      <w:spacing w:before="100" w:beforeAutospacing="1" w:after="100" w:afterAutospacing="1" w:line="240" w:lineRule="auto"/>
      <w:textAlignment w:val="top"/>
    </w:pPr>
    <w:rPr>
      <w:rFonts w:ascii="Times New Roman" w:hAnsi="Times New Roman"/>
      <w:color w:val="A5A5A5"/>
      <w:sz w:val="18"/>
      <w:szCs w:val="18"/>
    </w:rPr>
  </w:style>
  <w:style w:type="paragraph" w:customStyle="1" w:styleId="xl150">
    <w:name w:val="xl150"/>
    <w:basedOn w:val="Normal"/>
    <w:rsid w:val="00993484"/>
    <w:pPr>
      <w:pBdr>
        <w:top w:val="single" w:sz="4" w:space="0" w:color="B5DDDC"/>
        <w:left w:val="single" w:sz="4" w:space="0" w:color="B5DDDC"/>
        <w:bottom w:val="single" w:sz="4" w:space="0" w:color="B5DDDC"/>
        <w:right w:val="single" w:sz="4" w:space="0" w:color="008000"/>
      </w:pBdr>
      <w:spacing w:before="100" w:beforeAutospacing="1" w:after="100" w:afterAutospacing="1" w:line="240" w:lineRule="auto"/>
      <w:jc w:val="center"/>
    </w:pPr>
    <w:rPr>
      <w:rFonts w:ascii="Times New Roman" w:hAnsi="Times New Roman"/>
      <w:color w:val="A5A5A5"/>
      <w:sz w:val="18"/>
      <w:szCs w:val="18"/>
    </w:rPr>
  </w:style>
  <w:style w:type="paragraph" w:customStyle="1" w:styleId="xl151">
    <w:name w:val="xl151"/>
    <w:basedOn w:val="Normal"/>
    <w:rsid w:val="00993484"/>
    <w:pPr>
      <w:pBdr>
        <w:top w:val="single" w:sz="4" w:space="0" w:color="B5DDDC"/>
        <w:left w:val="single" w:sz="4" w:space="0" w:color="B5DDDC"/>
        <w:bottom w:val="single" w:sz="4" w:space="0" w:color="auto"/>
        <w:right w:val="single" w:sz="4" w:space="0" w:color="008000"/>
      </w:pBdr>
      <w:spacing w:before="100" w:beforeAutospacing="1" w:after="100" w:afterAutospacing="1" w:line="240" w:lineRule="auto"/>
      <w:jc w:val="right"/>
    </w:pPr>
    <w:rPr>
      <w:rFonts w:ascii="Times New Roman" w:hAnsi="Times New Roman"/>
      <w:color w:val="A5A5A5"/>
      <w:sz w:val="18"/>
      <w:szCs w:val="18"/>
    </w:rPr>
  </w:style>
  <w:style w:type="paragraph" w:customStyle="1" w:styleId="xl152">
    <w:name w:val="xl152"/>
    <w:basedOn w:val="Normal"/>
    <w:rsid w:val="00993484"/>
    <w:pPr>
      <w:pBdr>
        <w:top w:val="single" w:sz="4" w:space="0" w:color="B5DDDC"/>
        <w:bottom w:val="single" w:sz="4" w:space="0" w:color="B5DDDC"/>
      </w:pBdr>
      <w:spacing w:before="100" w:beforeAutospacing="1" w:after="100" w:afterAutospacing="1" w:line="240" w:lineRule="auto"/>
      <w:jc w:val="right"/>
    </w:pPr>
    <w:rPr>
      <w:rFonts w:ascii="Times New Roman" w:hAnsi="Times New Roman"/>
      <w:sz w:val="18"/>
      <w:szCs w:val="18"/>
    </w:rPr>
  </w:style>
  <w:style w:type="paragraph" w:customStyle="1" w:styleId="xl153">
    <w:name w:val="xl153"/>
    <w:basedOn w:val="Normal"/>
    <w:rsid w:val="00993484"/>
    <w:pPr>
      <w:pBdr>
        <w:top w:val="single" w:sz="4" w:space="0" w:color="B5DDDC"/>
        <w:left w:val="single" w:sz="4" w:space="0" w:color="B5DDDC"/>
        <w:bottom w:val="single" w:sz="4" w:space="0" w:color="auto"/>
      </w:pBdr>
      <w:spacing w:before="100" w:beforeAutospacing="1" w:after="100" w:afterAutospacing="1" w:line="240" w:lineRule="auto"/>
      <w:jc w:val="right"/>
    </w:pPr>
    <w:rPr>
      <w:rFonts w:ascii="Times New Roman" w:hAnsi="Times New Roman"/>
      <w:sz w:val="18"/>
      <w:szCs w:val="18"/>
    </w:rPr>
  </w:style>
  <w:style w:type="paragraph" w:customStyle="1" w:styleId="xl154">
    <w:name w:val="xl154"/>
    <w:basedOn w:val="Normal"/>
    <w:rsid w:val="00993484"/>
    <w:pPr>
      <w:pBdr>
        <w:top w:val="single" w:sz="4" w:space="0" w:color="B5DDDC"/>
        <w:bottom w:val="single" w:sz="4" w:space="0" w:color="B5DDDC"/>
        <w:right w:val="single" w:sz="4" w:space="0" w:color="B5DDDC"/>
      </w:pBdr>
      <w:shd w:val="clear" w:color="000000" w:fill="B5DDDC"/>
      <w:spacing w:before="100" w:beforeAutospacing="1" w:after="100" w:afterAutospacing="1" w:line="240" w:lineRule="auto"/>
      <w:jc w:val="center"/>
      <w:textAlignment w:val="center"/>
    </w:pPr>
    <w:rPr>
      <w:rFonts w:ascii="Times New Roman" w:hAnsi="Times New Roman"/>
      <w:color w:val="C00000"/>
      <w:sz w:val="18"/>
      <w:szCs w:val="18"/>
    </w:rPr>
  </w:style>
  <w:style w:type="paragraph" w:customStyle="1" w:styleId="xl155">
    <w:name w:val="xl155"/>
    <w:basedOn w:val="Normal"/>
    <w:rsid w:val="00993484"/>
    <w:pPr>
      <w:pBdr>
        <w:top w:val="single" w:sz="4" w:space="0" w:color="B5DDDC"/>
        <w:bottom w:val="single" w:sz="4" w:space="0" w:color="B5DDDC"/>
      </w:pBdr>
      <w:shd w:val="clear" w:color="000000" w:fill="B5DDDC"/>
      <w:spacing w:before="100" w:beforeAutospacing="1" w:after="100" w:afterAutospacing="1" w:line="240" w:lineRule="auto"/>
      <w:jc w:val="center"/>
    </w:pPr>
    <w:rPr>
      <w:rFonts w:ascii="Times New Roman" w:hAnsi="Times New Roman"/>
      <w:color w:val="C00000"/>
      <w:sz w:val="18"/>
      <w:szCs w:val="18"/>
    </w:rPr>
  </w:style>
  <w:style w:type="paragraph" w:customStyle="1" w:styleId="xl156">
    <w:name w:val="xl156"/>
    <w:basedOn w:val="Normal"/>
    <w:rsid w:val="00993484"/>
    <w:pPr>
      <w:pBdr>
        <w:top w:val="single" w:sz="4" w:space="0" w:color="B5DDDC"/>
        <w:bottom w:val="single" w:sz="4" w:space="0" w:color="B5DDDC"/>
      </w:pBdr>
      <w:spacing w:before="100" w:beforeAutospacing="1" w:after="100" w:afterAutospacing="1" w:line="240" w:lineRule="auto"/>
      <w:jc w:val="right"/>
    </w:pPr>
    <w:rPr>
      <w:rFonts w:ascii="Times New Roman" w:hAnsi="Times New Roman"/>
      <w:color w:val="C00000"/>
      <w:sz w:val="18"/>
      <w:szCs w:val="18"/>
    </w:rPr>
  </w:style>
  <w:style w:type="paragraph" w:customStyle="1" w:styleId="xl157">
    <w:name w:val="xl157"/>
    <w:basedOn w:val="Normal"/>
    <w:rsid w:val="00993484"/>
    <w:pPr>
      <w:pBdr>
        <w:top w:val="single" w:sz="4" w:space="0" w:color="B5DDDC"/>
        <w:bottom w:val="single" w:sz="4" w:space="0" w:color="auto"/>
      </w:pBdr>
      <w:spacing w:before="100" w:beforeAutospacing="1" w:after="100" w:afterAutospacing="1" w:line="240" w:lineRule="auto"/>
      <w:jc w:val="right"/>
    </w:pPr>
    <w:rPr>
      <w:rFonts w:ascii="Times New Roman" w:hAnsi="Times New Roman"/>
      <w:color w:val="C00000"/>
      <w:sz w:val="18"/>
      <w:szCs w:val="18"/>
    </w:rPr>
  </w:style>
  <w:style w:type="paragraph" w:customStyle="1" w:styleId="xl158">
    <w:name w:val="xl158"/>
    <w:basedOn w:val="Normal"/>
    <w:rsid w:val="00993484"/>
    <w:pPr>
      <w:spacing w:before="100" w:beforeAutospacing="1" w:after="100" w:afterAutospacing="1" w:line="240" w:lineRule="auto"/>
    </w:pPr>
    <w:rPr>
      <w:rFonts w:ascii="Times New Roman" w:hAnsi="Times New Roman"/>
      <w:color w:val="C00000"/>
      <w:sz w:val="18"/>
      <w:szCs w:val="18"/>
    </w:rPr>
  </w:style>
  <w:style w:type="paragraph" w:customStyle="1" w:styleId="xl159">
    <w:name w:val="xl159"/>
    <w:basedOn w:val="Normal"/>
    <w:rsid w:val="00993484"/>
    <w:pPr>
      <w:pBdr>
        <w:top w:val="single" w:sz="4" w:space="0" w:color="B5DDDC"/>
        <w:left w:val="single" w:sz="4" w:space="0" w:color="B5DDDC"/>
        <w:bottom w:val="single" w:sz="4" w:space="0" w:color="B5DDDC"/>
      </w:pBdr>
      <w:shd w:val="clear" w:color="000000" w:fill="B5DDDC"/>
      <w:spacing w:before="100" w:beforeAutospacing="1" w:after="100" w:afterAutospacing="1" w:line="240" w:lineRule="auto"/>
      <w:jc w:val="center"/>
    </w:pPr>
    <w:rPr>
      <w:rFonts w:ascii="Times New Roman" w:hAnsi="Times New Roman"/>
      <w:sz w:val="18"/>
      <w:szCs w:val="18"/>
    </w:rPr>
  </w:style>
  <w:style w:type="numbering" w:customStyle="1" w:styleId="Style1">
    <w:name w:val="Style1"/>
    <w:uiPriority w:val="99"/>
    <w:rsid w:val="00FD487B"/>
    <w:pPr>
      <w:numPr>
        <w:numId w:val="6"/>
      </w:numPr>
    </w:pPr>
  </w:style>
  <w:style w:type="character" w:customStyle="1" w:styleId="ListParagraphChar">
    <w:name w:val="List Paragraph Char"/>
    <w:basedOn w:val="DefaultParagraphFont"/>
    <w:link w:val="ListParagraph"/>
    <w:uiPriority w:val="34"/>
    <w:locked/>
    <w:rsid w:val="005D5ADE"/>
    <w:rPr>
      <w:rFonts w:ascii="Arial" w:hAnsi="Arial"/>
      <w:szCs w:val="24"/>
      <w:lang w:val="en-GB" w:eastAsia="en-US"/>
    </w:rPr>
  </w:style>
  <w:style w:type="character" w:customStyle="1" w:styleId="CaptionChar">
    <w:name w:val="Caption Char"/>
    <w:aliases w:val="AWT Caption Char,Caption Char Char Char,Caption Char1 Char,Figure Char,Item Char,TABLE Char"/>
    <w:basedOn w:val="DefaultParagraphFont"/>
    <w:link w:val="Caption"/>
    <w:uiPriority w:val="35"/>
    <w:rsid w:val="00F364AE"/>
    <w:rPr>
      <w:rFonts w:ascii="Arial" w:hAnsi="Arial"/>
      <w:i/>
      <w:sz w:val="18"/>
      <w:szCs w:val="24"/>
    </w:rPr>
  </w:style>
  <w:style w:type="character" w:customStyle="1" w:styleId="mw-headline">
    <w:name w:val="mw-headline"/>
    <w:basedOn w:val="DefaultParagraphFont"/>
    <w:rsid w:val="00142C34"/>
  </w:style>
  <w:style w:type="paragraph" w:styleId="TableofFigures">
    <w:name w:val="table of figures"/>
    <w:basedOn w:val="Normal"/>
    <w:next w:val="Normal"/>
    <w:uiPriority w:val="99"/>
    <w:unhideWhenUsed/>
    <w:rsid w:val="00530770"/>
    <w:pPr>
      <w:spacing w:after="0"/>
    </w:pPr>
  </w:style>
  <w:style w:type="character" w:customStyle="1" w:styleId="UnresolvedMention1">
    <w:name w:val="Unresolved Mention1"/>
    <w:basedOn w:val="DefaultParagraphFont"/>
    <w:uiPriority w:val="99"/>
    <w:semiHidden/>
    <w:unhideWhenUsed/>
    <w:rsid w:val="00740B50"/>
    <w:rPr>
      <w:color w:val="808080"/>
      <w:shd w:val="clear" w:color="auto" w:fill="E6E6E6"/>
    </w:rPr>
  </w:style>
  <w:style w:type="table" w:customStyle="1" w:styleId="TableGrid0">
    <w:name w:val="TableGrid"/>
    <w:rsid w:val="00064BF0"/>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paragraph" w:styleId="Bibliography">
    <w:name w:val="Bibliography"/>
    <w:basedOn w:val="Normal"/>
    <w:next w:val="Normal"/>
    <w:uiPriority w:val="37"/>
    <w:unhideWhenUsed/>
    <w:rsid w:val="00C6670B"/>
    <w:pPr>
      <w:spacing w:after="240" w:line="240" w:lineRule="auto"/>
      <w:ind w:left="720" w:hanging="720"/>
    </w:pPr>
  </w:style>
  <w:style w:type="paragraph" w:customStyle="1" w:styleId="footnote">
    <w:name w:val="footnote"/>
    <w:basedOn w:val="Normal"/>
    <w:link w:val="footnoteChar"/>
    <w:uiPriority w:val="1"/>
    <w:qFormat/>
    <w:rsid w:val="001673A4"/>
    <w:pPr>
      <w:spacing w:before="0" w:after="0" w:line="240" w:lineRule="auto"/>
    </w:pPr>
    <w:rPr>
      <w:rFonts w:eastAsia="Arial" w:cs="Arial"/>
      <w:sz w:val="14"/>
      <w:szCs w:val="16"/>
      <w:lang w:eastAsia="en-US"/>
    </w:rPr>
  </w:style>
  <w:style w:type="character" w:customStyle="1" w:styleId="footnoteChar">
    <w:name w:val="footnote Char"/>
    <w:basedOn w:val="DefaultParagraphFont"/>
    <w:link w:val="footnote"/>
    <w:uiPriority w:val="1"/>
    <w:rsid w:val="001673A4"/>
    <w:rPr>
      <w:rFonts w:ascii="Arial" w:eastAsia="Arial" w:hAnsi="Arial" w:cs="Arial"/>
      <w:sz w:val="14"/>
      <w:szCs w:val="16"/>
      <w:lang w:eastAsia="en-US"/>
    </w:rPr>
  </w:style>
  <w:style w:type="table" w:customStyle="1" w:styleId="DPS3">
    <w:name w:val="DPS3"/>
    <w:basedOn w:val="TableProfessional"/>
    <w:uiPriority w:val="99"/>
    <w:rsid w:val="001673A4"/>
    <w:pPr>
      <w:jc w:val="right"/>
    </w:pPr>
    <w:rPr>
      <w:rFonts w:ascii="Arial" w:eastAsia="Arial" w:hAnsi="Arial" w:cstheme="majorBidi"/>
      <w:color w:val="FFFFFF" w:themeColor="background1"/>
      <w:sz w:val="16"/>
      <w:lang w:val="en-US" w:eastAsia="en-US"/>
    </w:rPr>
    <w:tblPr>
      <w:tblStyleRowBandSize w:val="1"/>
      <w:tblBorders>
        <w:top w:val="single" w:sz="4" w:space="0" w:color="288C28"/>
        <w:left w:val="single" w:sz="4" w:space="0" w:color="288C28"/>
        <w:bottom w:val="single" w:sz="4" w:space="0" w:color="288C28"/>
        <w:right w:val="single" w:sz="4" w:space="0" w:color="288C28"/>
        <w:insideH w:val="single" w:sz="4" w:space="0" w:color="288C28"/>
        <w:insideV w:val="single" w:sz="4" w:space="0" w:color="288C28"/>
      </w:tblBorders>
    </w:tblPr>
    <w:tcPr>
      <w:shd w:val="clear" w:color="auto" w:fill="FFFFFF" w:themeFill="background1"/>
      <w:vAlign w:val="center"/>
    </w:tcPr>
    <w:tblStylePr w:type="firstRow">
      <w:pPr>
        <w:wordWrap/>
        <w:spacing w:line="240" w:lineRule="exact"/>
        <w:contextualSpacing w:val="0"/>
        <w:jc w:val="center"/>
      </w:pPr>
      <w:rPr>
        <w:rFonts w:ascii="Arial" w:hAnsi="Arial"/>
        <w:b w:val="0"/>
        <w:bCs/>
        <w:color w:val="auto"/>
        <w:sz w:val="16"/>
      </w:rPr>
      <w:tblPr/>
      <w:tcPr>
        <w:tcBorders>
          <w:tl2br w:val="none" w:sz="0" w:space="0" w:color="auto"/>
          <w:tr2bl w:val="none" w:sz="0" w:space="0" w:color="auto"/>
        </w:tcBorders>
        <w:shd w:val="clear" w:color="auto" w:fill="33CC33"/>
      </w:tcPr>
    </w:tblStylePr>
    <w:tblStylePr w:type="firstCol">
      <w:pPr>
        <w:jc w:val="left"/>
      </w:pPr>
    </w:tblStylePr>
    <w:tblStylePr w:type="band1Horz">
      <w:pPr>
        <w:wordWrap/>
        <w:spacing w:line="240" w:lineRule="exact"/>
      </w:pPr>
    </w:tblStylePr>
  </w:style>
  <w:style w:type="table" w:styleId="TableProfessional">
    <w:name w:val="Table Professional"/>
    <w:basedOn w:val="TableNormal"/>
    <w:semiHidden/>
    <w:unhideWhenUsed/>
    <w:rsid w:val="001673A4"/>
    <w:pPr>
      <w:spacing w:before="120" w:after="120" w:line="288"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ightGrid-Accent1">
    <w:name w:val="Light Grid Accent 1"/>
    <w:basedOn w:val="TableNormal"/>
    <w:rsid w:val="00406A72"/>
    <w:rPr>
      <w:sz w:val="24"/>
      <w:szCs w:val="24"/>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DefaultTableStyle1">
    <w:name w:val="Default Table Style1"/>
    <w:basedOn w:val="TableNormal"/>
    <w:rsid w:val="00D4004B"/>
    <w:pPr>
      <w:jc w:val="center"/>
    </w:pPr>
    <w:rPr>
      <w:rFonts w:ascii="Calibri" w:hAnsi="Calibri"/>
      <w:sz w:val="16"/>
    </w:rPr>
    <w:tblPr>
      <w:tblBorders>
        <w:top w:val="single" w:sz="4" w:space="0" w:color="B5DDDC"/>
        <w:left w:val="single" w:sz="4" w:space="0" w:color="B5DDDC"/>
        <w:bottom w:val="single" w:sz="4" w:space="0" w:color="B5DDDC"/>
        <w:right w:val="single" w:sz="4" w:space="0" w:color="B5DDDC"/>
        <w:insideH w:val="single" w:sz="4" w:space="0" w:color="B5DDDC"/>
        <w:insideV w:val="single" w:sz="4" w:space="0" w:color="B5DDDC"/>
      </w:tblBorders>
    </w:tblPr>
    <w:tcPr>
      <w:vAlign w:val="center"/>
    </w:tcPr>
    <w:tblStylePr w:type="firstRow">
      <w:pPr>
        <w:jc w:val="center"/>
      </w:pPr>
      <w:rPr>
        <w:b/>
        <w:color w:val="008000"/>
      </w:rPr>
      <w:tblPr/>
      <w:tcPr>
        <w:shd w:val="clear" w:color="auto" w:fill="B5DDDC"/>
      </w:tcPr>
    </w:tblStylePr>
    <w:tblStylePr w:type="firstCol">
      <w:pPr>
        <w:jc w:val="left"/>
      </w:pPr>
      <w:tblPr/>
      <w:tcPr>
        <w:shd w:val="clear" w:color="auto" w:fill="D6EAEB"/>
      </w:tcPr>
    </w:tblStylePr>
  </w:style>
  <w:style w:type="character" w:styleId="PlaceholderText">
    <w:name w:val="Placeholder Text"/>
    <w:basedOn w:val="DefaultParagraphFont"/>
    <w:uiPriority w:val="99"/>
    <w:semiHidden/>
    <w:rsid w:val="00C44B7B"/>
    <w:rPr>
      <w:color w:val="808080"/>
    </w:rPr>
  </w:style>
  <w:style w:type="paragraph" w:styleId="Quote">
    <w:name w:val="Quote"/>
    <w:basedOn w:val="Normal"/>
    <w:next w:val="Normal"/>
    <w:link w:val="QuoteChar"/>
    <w:uiPriority w:val="29"/>
    <w:qFormat/>
    <w:rsid w:val="006D56F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D56F4"/>
    <w:rPr>
      <w:rFonts w:ascii="Arial" w:hAnsi="Arial"/>
      <w:i/>
      <w:iCs/>
      <w:color w:val="404040" w:themeColor="text1" w:themeTint="BF"/>
      <w:szCs w:val="24"/>
    </w:rPr>
  </w:style>
  <w:style w:type="character" w:customStyle="1" w:styleId="lrzxr">
    <w:name w:val="lrzxr"/>
    <w:basedOn w:val="DefaultParagraphFont"/>
    <w:rsid w:val="00B17865"/>
  </w:style>
  <w:style w:type="paragraph" w:customStyle="1" w:styleId="Dannormal">
    <w:name w:val="Dan normal"/>
    <w:rsid w:val="00D4145D"/>
    <w:pPr>
      <w:spacing w:after="200" w:line="360" w:lineRule="auto"/>
    </w:pPr>
    <w:rPr>
      <w:rFonts w:ascii="Arial" w:hAnsi="Arial"/>
      <w:lang w:eastAsia="en-US"/>
    </w:rPr>
  </w:style>
  <w:style w:type="paragraph" w:customStyle="1" w:styleId="msonormal0">
    <w:name w:val="msonormal"/>
    <w:basedOn w:val="Normal"/>
    <w:rsid w:val="005C4FD1"/>
    <w:pPr>
      <w:spacing w:before="100" w:beforeAutospacing="1" w:after="100" w:afterAutospacing="1" w:line="240" w:lineRule="auto"/>
    </w:pPr>
    <w:rPr>
      <w:rFonts w:ascii="Times New Roman" w:hAnsi="Times New Roman"/>
      <w:sz w:val="24"/>
    </w:rPr>
  </w:style>
  <w:style w:type="paragraph" w:customStyle="1" w:styleId="SEWTitle">
    <w:name w:val="SEW Title"/>
    <w:next w:val="Normal"/>
    <w:link w:val="SEWTitleChar"/>
    <w:qFormat/>
    <w:rsid w:val="00773D5C"/>
    <w:pPr>
      <w:keepNext/>
      <w:pageBreakBefore/>
      <w:spacing w:after="240"/>
    </w:pPr>
    <w:rPr>
      <w:rFonts w:ascii="Calibri" w:eastAsia="MS Gothic" w:hAnsi="Calibri" w:cs="Arial"/>
      <w:b/>
      <w:bCs/>
      <w:noProof/>
      <w:color w:val="0098DB"/>
      <w:kern w:val="32"/>
      <w:sz w:val="44"/>
      <w:szCs w:val="44"/>
      <w:lang w:val="en-US" w:eastAsia="ja-JP"/>
    </w:rPr>
  </w:style>
  <w:style w:type="paragraph" w:customStyle="1" w:styleId="SEWSubTitle1">
    <w:name w:val="SEW Sub Title 1"/>
    <w:next w:val="Normal"/>
    <w:qFormat/>
    <w:rsid w:val="00773D5C"/>
    <w:pPr>
      <w:spacing w:after="630"/>
    </w:pPr>
    <w:rPr>
      <w:rFonts w:ascii="Calibri" w:eastAsia="MS Mincho" w:hAnsi="Calibri"/>
      <w:color w:val="0082BB"/>
      <w:sz w:val="44"/>
      <w:szCs w:val="24"/>
      <w:lang w:val="en-US" w:eastAsia="ja-JP"/>
    </w:rPr>
  </w:style>
  <w:style w:type="character" w:customStyle="1" w:styleId="SEWTitleChar">
    <w:name w:val="SEW Title Char"/>
    <w:basedOn w:val="Heading1Char"/>
    <w:link w:val="SEWTitle"/>
    <w:rsid w:val="00773D5C"/>
    <w:rPr>
      <w:rFonts w:ascii="Calibri" w:eastAsia="MS Gothic" w:hAnsi="Calibri" w:cs="Arial"/>
      <w:b/>
      <w:bCs/>
      <w:noProof/>
      <w:color w:val="0098DB"/>
      <w:kern w:val="32"/>
      <w:sz w:val="44"/>
      <w:szCs w:val="44"/>
      <w:lang w:val="en-US" w:eastAsia="ja-JP"/>
    </w:rPr>
  </w:style>
  <w:style w:type="paragraph" w:customStyle="1" w:styleId="SEWSubTitle2">
    <w:name w:val="SEW Sub Title 2"/>
    <w:qFormat/>
    <w:rsid w:val="00773D5C"/>
    <w:pPr>
      <w:spacing w:after="240"/>
    </w:pPr>
    <w:rPr>
      <w:rFonts w:ascii="Calibri" w:eastAsia="MS Mincho" w:hAnsi="Calibri"/>
      <w:b/>
      <w:color w:val="0082BB"/>
      <w:sz w:val="28"/>
      <w:szCs w:val="24"/>
      <w:lang w:eastAsia="ja-JP"/>
    </w:rPr>
  </w:style>
  <w:style w:type="paragraph" w:customStyle="1" w:styleId="xl160">
    <w:name w:val="xl160"/>
    <w:basedOn w:val="Normal"/>
    <w:rsid w:val="00BC1FA1"/>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pPr>
    <w:rPr>
      <w:rFonts w:ascii="Times New Roman" w:hAnsi="Times New Roman"/>
      <w:sz w:val="24"/>
    </w:rPr>
  </w:style>
  <w:style w:type="paragraph" w:customStyle="1" w:styleId="xl161">
    <w:name w:val="xl161"/>
    <w:basedOn w:val="Normal"/>
    <w:rsid w:val="00BC1FA1"/>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ascii="Times New Roman" w:hAnsi="Times New Roman"/>
      <w:sz w:val="24"/>
    </w:rPr>
  </w:style>
  <w:style w:type="paragraph" w:customStyle="1" w:styleId="xl162">
    <w:name w:val="xl162"/>
    <w:basedOn w:val="Normal"/>
    <w:rsid w:val="00BC1F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hAnsi="Times New Roman"/>
      <w:sz w:val="24"/>
    </w:rPr>
  </w:style>
  <w:style w:type="paragraph" w:customStyle="1" w:styleId="xl163">
    <w:name w:val="xl163"/>
    <w:basedOn w:val="Normal"/>
    <w:rsid w:val="00BC1FA1"/>
    <w:pPr>
      <w:shd w:val="clear" w:color="000000" w:fill="F4B084"/>
      <w:spacing w:before="100" w:beforeAutospacing="1" w:after="100" w:afterAutospacing="1" w:line="240" w:lineRule="auto"/>
    </w:pPr>
    <w:rPr>
      <w:rFonts w:ascii="Times New Roman" w:hAnsi="Times New Roman"/>
      <w:sz w:val="24"/>
    </w:rPr>
  </w:style>
  <w:style w:type="paragraph" w:customStyle="1" w:styleId="xl164">
    <w:name w:val="xl164"/>
    <w:basedOn w:val="Normal"/>
    <w:rsid w:val="00BC1FA1"/>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right"/>
    </w:pPr>
    <w:rPr>
      <w:rFonts w:ascii="Times New Roman" w:hAnsi="Times New Roman"/>
      <w:sz w:val="24"/>
    </w:rPr>
  </w:style>
  <w:style w:type="paragraph" w:customStyle="1" w:styleId="xl165">
    <w:name w:val="xl165"/>
    <w:basedOn w:val="Normal"/>
    <w:rsid w:val="00BC1FA1"/>
    <w:pPr>
      <w:pBdr>
        <w:top w:val="single" w:sz="4" w:space="0" w:color="auto"/>
        <w:left w:val="single" w:sz="8" w:space="0" w:color="auto"/>
        <w:bottom w:val="single" w:sz="8" w:space="0" w:color="auto"/>
        <w:right w:val="single" w:sz="4" w:space="0" w:color="auto"/>
      </w:pBdr>
      <w:shd w:val="clear" w:color="000000" w:fill="F4B084"/>
      <w:spacing w:before="100" w:beforeAutospacing="1" w:after="100" w:afterAutospacing="1" w:line="240" w:lineRule="auto"/>
      <w:jc w:val="right"/>
    </w:pPr>
    <w:rPr>
      <w:rFonts w:ascii="Times New Roman" w:hAnsi="Times New Roman"/>
      <w:sz w:val="24"/>
    </w:rPr>
  </w:style>
  <w:style w:type="paragraph" w:customStyle="1" w:styleId="xl166">
    <w:name w:val="xl166"/>
    <w:basedOn w:val="Normal"/>
    <w:rsid w:val="00BC1FA1"/>
    <w:pPr>
      <w:pBdr>
        <w:top w:val="single" w:sz="4" w:space="0" w:color="auto"/>
        <w:bottom w:val="single" w:sz="8" w:space="0" w:color="auto"/>
        <w:right w:val="single" w:sz="4" w:space="0" w:color="auto"/>
      </w:pBdr>
      <w:shd w:val="clear" w:color="000000" w:fill="F4B084"/>
      <w:spacing w:before="100" w:beforeAutospacing="1" w:after="100" w:afterAutospacing="1" w:line="240" w:lineRule="auto"/>
      <w:jc w:val="right"/>
    </w:pPr>
    <w:rPr>
      <w:rFonts w:ascii="Times New Roman" w:hAnsi="Times New Roman"/>
      <w:sz w:val="24"/>
    </w:rPr>
  </w:style>
  <w:style w:type="paragraph" w:customStyle="1" w:styleId="xl167">
    <w:name w:val="xl167"/>
    <w:basedOn w:val="Normal"/>
    <w:rsid w:val="00BC1FA1"/>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right"/>
    </w:pPr>
    <w:rPr>
      <w:rFonts w:ascii="Times New Roman" w:hAnsi="Times New Roman"/>
      <w:sz w:val="24"/>
    </w:rPr>
  </w:style>
  <w:style w:type="paragraph" w:customStyle="1" w:styleId="xl168">
    <w:name w:val="xl168"/>
    <w:basedOn w:val="Normal"/>
    <w:rsid w:val="00BC1FA1"/>
    <w:pPr>
      <w:pBdr>
        <w:top w:val="single" w:sz="4" w:space="0" w:color="auto"/>
        <w:left w:val="single" w:sz="4" w:space="0" w:color="auto"/>
        <w:bottom w:val="single" w:sz="8" w:space="0" w:color="auto"/>
        <w:right w:val="single" w:sz="8" w:space="0" w:color="auto"/>
      </w:pBdr>
      <w:shd w:val="clear" w:color="000000" w:fill="F4B084"/>
      <w:spacing w:before="100" w:beforeAutospacing="1" w:after="100" w:afterAutospacing="1" w:line="240" w:lineRule="auto"/>
      <w:jc w:val="right"/>
    </w:pPr>
    <w:rPr>
      <w:rFonts w:ascii="Times New Roman" w:hAnsi="Times New Roman"/>
      <w:sz w:val="24"/>
    </w:rPr>
  </w:style>
  <w:style w:type="paragraph" w:customStyle="1" w:styleId="xl169">
    <w:name w:val="xl169"/>
    <w:basedOn w:val="Normal"/>
    <w:rsid w:val="00BC1FA1"/>
    <w:pPr>
      <w:pBdr>
        <w:top w:val="single" w:sz="4" w:space="0" w:color="auto"/>
        <w:left w:val="single" w:sz="4" w:space="0" w:color="auto"/>
        <w:bottom w:val="single" w:sz="8" w:space="0" w:color="auto"/>
        <w:right w:val="single" w:sz="4" w:space="0" w:color="auto"/>
      </w:pBdr>
      <w:shd w:val="clear" w:color="000000" w:fill="F4B084"/>
      <w:spacing w:before="100" w:beforeAutospacing="1" w:after="100" w:afterAutospacing="1" w:line="240" w:lineRule="auto"/>
      <w:jc w:val="right"/>
    </w:pPr>
    <w:rPr>
      <w:rFonts w:ascii="Times New Roman" w:hAnsi="Times New Roman"/>
      <w:sz w:val="24"/>
    </w:rPr>
  </w:style>
  <w:style w:type="paragraph" w:customStyle="1" w:styleId="xl170">
    <w:name w:val="xl170"/>
    <w:basedOn w:val="Normal"/>
    <w:rsid w:val="00BC1FA1"/>
    <w:pPr>
      <w:pBdr>
        <w:top w:val="single" w:sz="4" w:space="0" w:color="auto"/>
        <w:left w:val="single" w:sz="8" w:space="0" w:color="auto"/>
        <w:bottom w:val="single" w:sz="8" w:space="0" w:color="auto"/>
        <w:right w:val="single" w:sz="4" w:space="0" w:color="auto"/>
      </w:pBdr>
      <w:shd w:val="clear" w:color="000000" w:fill="C6E0B4"/>
      <w:spacing w:before="100" w:beforeAutospacing="1" w:after="100" w:afterAutospacing="1" w:line="240" w:lineRule="auto"/>
      <w:jc w:val="right"/>
    </w:pPr>
    <w:rPr>
      <w:rFonts w:ascii="Times New Roman" w:hAnsi="Times New Roman"/>
      <w:sz w:val="24"/>
    </w:rPr>
  </w:style>
  <w:style w:type="paragraph" w:customStyle="1" w:styleId="xl171">
    <w:name w:val="xl171"/>
    <w:basedOn w:val="Normal"/>
    <w:rsid w:val="00BC1FA1"/>
    <w:pPr>
      <w:pBdr>
        <w:top w:val="single" w:sz="4" w:space="0" w:color="auto"/>
        <w:bottom w:val="single" w:sz="8" w:space="0" w:color="auto"/>
        <w:right w:val="single" w:sz="4" w:space="0" w:color="auto"/>
      </w:pBdr>
      <w:shd w:val="clear" w:color="000000" w:fill="C6E0B4"/>
      <w:spacing w:before="100" w:beforeAutospacing="1" w:after="100" w:afterAutospacing="1" w:line="240" w:lineRule="auto"/>
      <w:jc w:val="right"/>
    </w:pPr>
    <w:rPr>
      <w:rFonts w:ascii="Times New Roman" w:hAnsi="Times New Roman"/>
      <w:sz w:val="24"/>
    </w:rPr>
  </w:style>
  <w:style w:type="paragraph" w:customStyle="1" w:styleId="xl172">
    <w:name w:val="xl172"/>
    <w:basedOn w:val="Normal"/>
    <w:rsid w:val="00BC1FA1"/>
    <w:pPr>
      <w:pBdr>
        <w:top w:val="single" w:sz="4" w:space="0" w:color="auto"/>
        <w:left w:val="single" w:sz="4" w:space="0" w:color="auto"/>
        <w:bottom w:val="single" w:sz="8" w:space="0" w:color="auto"/>
        <w:right w:val="single" w:sz="4" w:space="0" w:color="auto"/>
      </w:pBdr>
      <w:shd w:val="clear" w:color="000000" w:fill="FF0000"/>
      <w:spacing w:before="100" w:beforeAutospacing="1" w:after="100" w:afterAutospacing="1" w:line="240" w:lineRule="auto"/>
      <w:jc w:val="right"/>
    </w:pPr>
    <w:rPr>
      <w:rFonts w:ascii="Times New Roman" w:hAnsi="Times New Roman"/>
      <w:sz w:val="24"/>
    </w:rPr>
  </w:style>
  <w:style w:type="paragraph" w:customStyle="1" w:styleId="xl173">
    <w:name w:val="xl173"/>
    <w:basedOn w:val="Normal"/>
    <w:rsid w:val="00BC1FA1"/>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line="240" w:lineRule="auto"/>
      <w:jc w:val="right"/>
    </w:pPr>
    <w:rPr>
      <w:rFonts w:ascii="Times New Roman" w:hAnsi="Times New Roman"/>
      <w:sz w:val="24"/>
    </w:rPr>
  </w:style>
  <w:style w:type="paragraph" w:customStyle="1" w:styleId="xl174">
    <w:name w:val="xl174"/>
    <w:basedOn w:val="Normal"/>
    <w:rsid w:val="00BC1FA1"/>
    <w:pPr>
      <w:pBdr>
        <w:top w:val="single" w:sz="4" w:space="0" w:color="auto"/>
        <w:left w:val="single" w:sz="4" w:space="0" w:color="auto"/>
        <w:bottom w:val="single" w:sz="8" w:space="0" w:color="auto"/>
      </w:pBdr>
      <w:shd w:val="clear" w:color="000000" w:fill="C6E0B4"/>
      <w:spacing w:before="100" w:beforeAutospacing="1" w:after="100" w:afterAutospacing="1" w:line="240" w:lineRule="auto"/>
      <w:jc w:val="right"/>
    </w:pPr>
    <w:rPr>
      <w:rFonts w:ascii="Times New Roman" w:hAnsi="Times New Roman"/>
      <w:sz w:val="24"/>
    </w:rPr>
  </w:style>
  <w:style w:type="paragraph" w:customStyle="1" w:styleId="xl175">
    <w:name w:val="xl175"/>
    <w:basedOn w:val="Normal"/>
    <w:rsid w:val="00BC1FA1"/>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line="240" w:lineRule="auto"/>
    </w:pPr>
    <w:rPr>
      <w:rFonts w:ascii="Times New Roman" w:hAnsi="Times New Roman"/>
      <w:sz w:val="24"/>
    </w:rPr>
  </w:style>
  <w:style w:type="paragraph" w:customStyle="1" w:styleId="xl176">
    <w:name w:val="xl176"/>
    <w:basedOn w:val="Normal"/>
    <w:rsid w:val="00BC1FA1"/>
    <w:pPr>
      <w:pBdr>
        <w:top w:val="single" w:sz="4" w:space="0" w:color="auto"/>
        <w:left w:val="single" w:sz="4" w:space="0" w:color="auto"/>
        <w:bottom w:val="single" w:sz="8" w:space="0" w:color="auto"/>
        <w:right w:val="single" w:sz="8" w:space="0" w:color="auto"/>
      </w:pBdr>
      <w:shd w:val="clear" w:color="000000" w:fill="C6E0B4"/>
      <w:spacing w:before="100" w:beforeAutospacing="1" w:after="100" w:afterAutospacing="1" w:line="240" w:lineRule="auto"/>
      <w:jc w:val="right"/>
    </w:pPr>
    <w:rPr>
      <w:rFonts w:ascii="Times New Roman" w:hAnsi="Times New Roman"/>
      <w:sz w:val="24"/>
    </w:rPr>
  </w:style>
  <w:style w:type="paragraph" w:customStyle="1" w:styleId="xl177">
    <w:name w:val="xl177"/>
    <w:basedOn w:val="Normal"/>
    <w:rsid w:val="00BC1FA1"/>
    <w:pPr>
      <w:pBdr>
        <w:top w:val="single" w:sz="4" w:space="0" w:color="auto"/>
        <w:left w:val="single" w:sz="8" w:space="0" w:color="auto"/>
        <w:bottom w:val="single" w:sz="8" w:space="0" w:color="auto"/>
        <w:right w:val="single" w:sz="4" w:space="0" w:color="auto"/>
      </w:pBdr>
      <w:shd w:val="clear" w:color="000000" w:fill="00B0F0"/>
      <w:spacing w:before="100" w:beforeAutospacing="1" w:after="100" w:afterAutospacing="1" w:line="240" w:lineRule="auto"/>
      <w:jc w:val="right"/>
    </w:pPr>
    <w:rPr>
      <w:rFonts w:ascii="Times New Roman" w:hAnsi="Times New Roman"/>
      <w:sz w:val="24"/>
    </w:rPr>
  </w:style>
  <w:style w:type="paragraph" w:customStyle="1" w:styleId="xl178">
    <w:name w:val="xl178"/>
    <w:basedOn w:val="Normal"/>
    <w:rsid w:val="00BC1FA1"/>
    <w:pPr>
      <w:pBdr>
        <w:top w:val="single" w:sz="4" w:space="0" w:color="auto"/>
        <w:left w:val="single" w:sz="4" w:space="0" w:color="auto"/>
        <w:bottom w:val="single" w:sz="8" w:space="0" w:color="auto"/>
        <w:right w:val="single" w:sz="4" w:space="0" w:color="auto"/>
      </w:pBdr>
      <w:shd w:val="clear" w:color="000000" w:fill="00B0F0"/>
      <w:spacing w:before="100" w:beforeAutospacing="1" w:after="100" w:afterAutospacing="1" w:line="240" w:lineRule="auto"/>
    </w:pPr>
    <w:rPr>
      <w:rFonts w:ascii="Times New Roman" w:hAnsi="Times New Roman"/>
      <w:sz w:val="24"/>
    </w:rPr>
  </w:style>
  <w:style w:type="paragraph" w:customStyle="1" w:styleId="xl179">
    <w:name w:val="xl179"/>
    <w:basedOn w:val="Normal"/>
    <w:rsid w:val="00BC1FA1"/>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pPr>
    <w:rPr>
      <w:rFonts w:ascii="Times New Roman" w:hAnsi="Times New Roman"/>
      <w:sz w:val="24"/>
    </w:rPr>
  </w:style>
  <w:style w:type="paragraph" w:customStyle="1" w:styleId="xl180">
    <w:name w:val="xl180"/>
    <w:basedOn w:val="Normal"/>
    <w:rsid w:val="00BC1FA1"/>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pPr>
    <w:rPr>
      <w:rFonts w:ascii="Times New Roman" w:hAnsi="Times New Roman"/>
      <w:sz w:val="24"/>
    </w:rPr>
  </w:style>
  <w:style w:type="paragraph" w:customStyle="1" w:styleId="xl181">
    <w:name w:val="xl181"/>
    <w:basedOn w:val="Normal"/>
    <w:rsid w:val="00BC1FA1"/>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right"/>
    </w:pPr>
    <w:rPr>
      <w:rFonts w:ascii="Times New Roman" w:hAnsi="Times New Roman"/>
      <w:sz w:val="24"/>
    </w:rPr>
  </w:style>
  <w:style w:type="paragraph" w:customStyle="1" w:styleId="xl182">
    <w:name w:val="xl182"/>
    <w:basedOn w:val="Normal"/>
    <w:rsid w:val="00BC1FA1"/>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right"/>
    </w:pPr>
    <w:rPr>
      <w:rFonts w:ascii="Times New Roman" w:hAnsi="Times New Roman"/>
      <w:sz w:val="24"/>
    </w:rPr>
  </w:style>
  <w:style w:type="paragraph" w:customStyle="1" w:styleId="xl183">
    <w:name w:val="xl183"/>
    <w:basedOn w:val="Normal"/>
    <w:rsid w:val="00BC1FA1"/>
    <w:pPr>
      <w:pBdr>
        <w:top w:val="single" w:sz="4" w:space="0" w:color="auto"/>
        <w:bottom w:val="single" w:sz="4" w:space="0" w:color="auto"/>
        <w:right w:val="single" w:sz="4" w:space="0" w:color="auto"/>
      </w:pBdr>
      <w:shd w:val="clear" w:color="000000" w:fill="DDEBF7"/>
      <w:spacing w:before="100" w:beforeAutospacing="1" w:after="100" w:afterAutospacing="1" w:line="240" w:lineRule="auto"/>
      <w:jc w:val="right"/>
    </w:pPr>
    <w:rPr>
      <w:rFonts w:ascii="Times New Roman" w:hAnsi="Times New Roman"/>
      <w:sz w:val="24"/>
    </w:rPr>
  </w:style>
  <w:style w:type="paragraph" w:customStyle="1" w:styleId="xl184">
    <w:name w:val="xl184"/>
    <w:basedOn w:val="Normal"/>
    <w:rsid w:val="00BC1FA1"/>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pPr>
    <w:rPr>
      <w:rFonts w:ascii="Times New Roman" w:hAnsi="Times New Roman"/>
      <w:sz w:val="24"/>
    </w:rPr>
  </w:style>
  <w:style w:type="paragraph" w:customStyle="1" w:styleId="xl185">
    <w:name w:val="xl185"/>
    <w:basedOn w:val="Normal"/>
    <w:rsid w:val="00BC1FA1"/>
    <w:pPr>
      <w:pBdr>
        <w:top w:val="single" w:sz="8" w:space="0" w:color="auto"/>
        <w:left w:val="single" w:sz="8" w:space="0" w:color="auto"/>
        <w:bottom w:val="single" w:sz="4" w:space="0" w:color="auto"/>
      </w:pBdr>
      <w:shd w:val="clear" w:color="000000" w:fill="DDEBF7"/>
      <w:spacing w:before="100" w:beforeAutospacing="1" w:after="100" w:afterAutospacing="1" w:line="240" w:lineRule="auto"/>
      <w:jc w:val="center"/>
    </w:pPr>
    <w:rPr>
      <w:rFonts w:ascii="Times New Roman" w:hAnsi="Times New Roman"/>
      <w:sz w:val="24"/>
    </w:rPr>
  </w:style>
  <w:style w:type="paragraph" w:customStyle="1" w:styleId="xl186">
    <w:name w:val="xl186"/>
    <w:basedOn w:val="Normal"/>
    <w:rsid w:val="00BC1FA1"/>
    <w:pPr>
      <w:pBdr>
        <w:top w:val="single" w:sz="8" w:space="0" w:color="auto"/>
        <w:bottom w:val="single" w:sz="4" w:space="0" w:color="auto"/>
      </w:pBdr>
      <w:shd w:val="clear" w:color="000000" w:fill="DDEBF7"/>
      <w:spacing w:before="100" w:beforeAutospacing="1" w:after="100" w:afterAutospacing="1" w:line="240" w:lineRule="auto"/>
      <w:jc w:val="center"/>
    </w:pPr>
    <w:rPr>
      <w:rFonts w:ascii="Times New Roman" w:hAnsi="Times New Roman"/>
      <w:sz w:val="24"/>
    </w:rPr>
  </w:style>
  <w:style w:type="paragraph" w:customStyle="1" w:styleId="xl187">
    <w:name w:val="xl187"/>
    <w:basedOn w:val="Normal"/>
    <w:rsid w:val="00BC1FA1"/>
    <w:pPr>
      <w:pBdr>
        <w:top w:val="single" w:sz="8" w:space="0" w:color="auto"/>
        <w:bottom w:val="single" w:sz="4" w:space="0" w:color="auto"/>
        <w:right w:val="single" w:sz="8" w:space="0" w:color="auto"/>
      </w:pBdr>
      <w:shd w:val="clear" w:color="000000" w:fill="DDEBF7"/>
      <w:spacing w:before="100" w:beforeAutospacing="1" w:after="100" w:afterAutospacing="1" w:line="240" w:lineRule="auto"/>
      <w:jc w:val="center"/>
    </w:pPr>
    <w:rPr>
      <w:rFonts w:ascii="Times New Roman" w:hAnsi="Times New Roman"/>
      <w:sz w:val="24"/>
    </w:rPr>
  </w:style>
  <w:style w:type="paragraph" w:customStyle="1" w:styleId="xl188">
    <w:name w:val="xl188"/>
    <w:basedOn w:val="Normal"/>
    <w:rsid w:val="00BC1FA1"/>
    <w:pPr>
      <w:pBdr>
        <w:top w:val="single" w:sz="8" w:space="0" w:color="auto"/>
        <w:left w:val="single" w:sz="8" w:space="0" w:color="auto"/>
        <w:bottom w:val="single" w:sz="4" w:space="0" w:color="auto"/>
        <w:right w:val="single" w:sz="4" w:space="0" w:color="auto"/>
      </w:pBdr>
      <w:shd w:val="clear" w:color="000000" w:fill="C6E0B4"/>
      <w:spacing w:before="100" w:beforeAutospacing="1" w:after="100" w:afterAutospacing="1" w:line="240" w:lineRule="auto"/>
      <w:jc w:val="center"/>
    </w:pPr>
    <w:rPr>
      <w:rFonts w:ascii="Times New Roman" w:hAnsi="Times New Roman"/>
      <w:sz w:val="24"/>
    </w:rPr>
  </w:style>
  <w:style w:type="paragraph" w:customStyle="1" w:styleId="xl189">
    <w:name w:val="xl189"/>
    <w:basedOn w:val="Normal"/>
    <w:rsid w:val="00BC1FA1"/>
    <w:pPr>
      <w:pBdr>
        <w:top w:val="single" w:sz="8" w:space="0" w:color="auto"/>
        <w:bottom w:val="single" w:sz="4" w:space="0" w:color="auto"/>
        <w:right w:val="single" w:sz="4" w:space="0" w:color="auto"/>
      </w:pBdr>
      <w:shd w:val="clear" w:color="000000" w:fill="C6E0B4"/>
      <w:spacing w:before="100" w:beforeAutospacing="1" w:after="100" w:afterAutospacing="1" w:line="240" w:lineRule="auto"/>
      <w:jc w:val="center"/>
    </w:pPr>
    <w:rPr>
      <w:rFonts w:ascii="Times New Roman" w:hAnsi="Times New Roman"/>
      <w:sz w:val="24"/>
    </w:rPr>
  </w:style>
  <w:style w:type="paragraph" w:customStyle="1" w:styleId="xl190">
    <w:name w:val="xl190"/>
    <w:basedOn w:val="Normal"/>
    <w:rsid w:val="00BC1FA1"/>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pPr>
    <w:rPr>
      <w:rFonts w:ascii="Times New Roman" w:hAnsi="Times New Roman"/>
      <w:sz w:val="24"/>
    </w:rPr>
  </w:style>
  <w:style w:type="paragraph" w:customStyle="1" w:styleId="xl191">
    <w:name w:val="xl191"/>
    <w:basedOn w:val="Normal"/>
    <w:rsid w:val="00BC1FA1"/>
    <w:pPr>
      <w:pBdr>
        <w:top w:val="single" w:sz="8" w:space="0" w:color="auto"/>
        <w:left w:val="single" w:sz="4" w:space="0" w:color="auto"/>
        <w:bottom w:val="single" w:sz="4" w:space="0" w:color="auto"/>
      </w:pBdr>
      <w:shd w:val="clear" w:color="000000" w:fill="C6E0B4"/>
      <w:spacing w:before="100" w:beforeAutospacing="1" w:after="100" w:afterAutospacing="1" w:line="240" w:lineRule="auto"/>
      <w:jc w:val="center"/>
    </w:pPr>
    <w:rPr>
      <w:rFonts w:ascii="Times New Roman" w:hAnsi="Times New Roman"/>
      <w:sz w:val="24"/>
    </w:rPr>
  </w:style>
  <w:style w:type="paragraph" w:customStyle="1" w:styleId="xl192">
    <w:name w:val="xl192"/>
    <w:basedOn w:val="Normal"/>
    <w:rsid w:val="00BC1FA1"/>
    <w:pPr>
      <w:pBdr>
        <w:top w:val="single" w:sz="8" w:space="0" w:color="auto"/>
        <w:left w:val="single" w:sz="4" w:space="0" w:color="auto"/>
        <w:bottom w:val="single" w:sz="4" w:space="0" w:color="auto"/>
        <w:right w:val="single" w:sz="8" w:space="0" w:color="auto"/>
      </w:pBdr>
      <w:shd w:val="clear" w:color="000000" w:fill="C6E0B4"/>
      <w:spacing w:before="100" w:beforeAutospacing="1" w:after="100" w:afterAutospacing="1" w:line="240" w:lineRule="auto"/>
      <w:jc w:val="center"/>
    </w:pPr>
    <w:rPr>
      <w:rFonts w:ascii="Times New Roman" w:hAnsi="Times New Roman"/>
      <w:sz w:val="24"/>
    </w:rPr>
  </w:style>
  <w:style w:type="paragraph" w:customStyle="1" w:styleId="xl193">
    <w:name w:val="xl193"/>
    <w:basedOn w:val="Normal"/>
    <w:rsid w:val="00BC1FA1"/>
    <w:pPr>
      <w:pBdr>
        <w:top w:val="single" w:sz="8" w:space="0" w:color="auto"/>
        <w:left w:val="single" w:sz="8"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hAnsi="Times New Roman"/>
      <w:sz w:val="24"/>
    </w:rPr>
  </w:style>
  <w:style w:type="paragraph" w:customStyle="1" w:styleId="xl194">
    <w:name w:val="xl194"/>
    <w:basedOn w:val="Normal"/>
    <w:rsid w:val="00BC1FA1"/>
    <w:pPr>
      <w:pBdr>
        <w:top w:val="single" w:sz="8"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hAnsi="Times New Roman"/>
      <w:sz w:val="24"/>
    </w:rPr>
  </w:style>
  <w:style w:type="paragraph" w:customStyle="1" w:styleId="xl195">
    <w:name w:val="xl195"/>
    <w:basedOn w:val="Normal"/>
    <w:rsid w:val="00BC1FA1"/>
    <w:pPr>
      <w:pBdr>
        <w:top w:val="single" w:sz="8"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hAnsi="Times New Roman"/>
      <w:sz w:val="24"/>
    </w:rPr>
  </w:style>
  <w:style w:type="paragraph" w:customStyle="1" w:styleId="xl196">
    <w:name w:val="xl196"/>
    <w:basedOn w:val="Normal"/>
    <w:rsid w:val="00BC1FA1"/>
    <w:pPr>
      <w:pBdr>
        <w:top w:val="single" w:sz="8" w:space="0" w:color="auto"/>
        <w:left w:val="single" w:sz="4" w:space="0" w:color="auto"/>
        <w:bottom w:val="single" w:sz="4" w:space="0" w:color="auto"/>
      </w:pBdr>
      <w:shd w:val="clear" w:color="000000" w:fill="F4B084"/>
      <w:spacing w:before="100" w:beforeAutospacing="1" w:after="100" w:afterAutospacing="1" w:line="240" w:lineRule="auto"/>
      <w:jc w:val="center"/>
    </w:pPr>
    <w:rPr>
      <w:rFonts w:ascii="Times New Roman" w:hAnsi="Times New Roman"/>
      <w:sz w:val="24"/>
    </w:rPr>
  </w:style>
  <w:style w:type="paragraph" w:customStyle="1" w:styleId="xl197">
    <w:name w:val="xl197"/>
    <w:basedOn w:val="Normal"/>
    <w:rsid w:val="00BC1FA1"/>
    <w:pPr>
      <w:pBdr>
        <w:top w:val="single" w:sz="8" w:space="0" w:color="auto"/>
        <w:left w:val="single" w:sz="4" w:space="0" w:color="auto"/>
        <w:bottom w:val="single" w:sz="4" w:space="0" w:color="auto"/>
        <w:right w:val="single" w:sz="8" w:space="0" w:color="auto"/>
      </w:pBdr>
      <w:shd w:val="clear" w:color="000000" w:fill="F4B084"/>
      <w:spacing w:before="100" w:beforeAutospacing="1" w:after="100" w:afterAutospacing="1" w:line="240" w:lineRule="auto"/>
      <w:jc w:val="center"/>
    </w:pPr>
    <w:rPr>
      <w:rFonts w:ascii="Times New Roman" w:hAnsi="Times New Roman"/>
      <w:sz w:val="24"/>
    </w:rPr>
  </w:style>
  <w:style w:type="paragraph" w:customStyle="1" w:styleId="xl198">
    <w:name w:val="xl198"/>
    <w:basedOn w:val="Normal"/>
    <w:rsid w:val="00BC1FA1"/>
    <w:pPr>
      <w:pBdr>
        <w:top w:val="single" w:sz="8" w:space="0" w:color="auto"/>
        <w:left w:val="single" w:sz="8" w:space="0" w:color="auto"/>
      </w:pBdr>
      <w:spacing w:before="100" w:beforeAutospacing="1" w:after="100" w:afterAutospacing="1" w:line="240" w:lineRule="auto"/>
      <w:jc w:val="center"/>
      <w:textAlignment w:val="center"/>
    </w:pPr>
    <w:rPr>
      <w:rFonts w:ascii="Times New Roman" w:hAnsi="Times New Roman"/>
      <w:b/>
      <w:bCs/>
      <w:sz w:val="24"/>
    </w:rPr>
  </w:style>
  <w:style w:type="paragraph" w:customStyle="1" w:styleId="xl199">
    <w:name w:val="xl199"/>
    <w:basedOn w:val="Normal"/>
    <w:rsid w:val="00BC1FA1"/>
    <w:pPr>
      <w:pBdr>
        <w:top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rPr>
  </w:style>
  <w:style w:type="paragraph" w:customStyle="1" w:styleId="xl200">
    <w:name w:val="xl200"/>
    <w:basedOn w:val="Normal"/>
    <w:rsid w:val="00BC1FA1"/>
    <w:pPr>
      <w:pBdr>
        <w:left w:val="single" w:sz="8" w:space="0" w:color="auto"/>
      </w:pBdr>
      <w:spacing w:before="100" w:beforeAutospacing="1" w:after="100" w:afterAutospacing="1" w:line="240" w:lineRule="auto"/>
      <w:jc w:val="center"/>
      <w:textAlignment w:val="center"/>
    </w:pPr>
    <w:rPr>
      <w:rFonts w:ascii="Times New Roman" w:hAnsi="Times New Roman"/>
      <w:b/>
      <w:bCs/>
      <w:sz w:val="24"/>
    </w:rPr>
  </w:style>
  <w:style w:type="paragraph" w:customStyle="1" w:styleId="xl201">
    <w:name w:val="xl201"/>
    <w:basedOn w:val="Normal"/>
    <w:rsid w:val="00BC1FA1"/>
    <w:pPr>
      <w:pBdr>
        <w:right w:val="single" w:sz="8" w:space="0" w:color="auto"/>
      </w:pBdr>
      <w:spacing w:before="100" w:beforeAutospacing="1" w:after="100" w:afterAutospacing="1" w:line="240" w:lineRule="auto"/>
      <w:jc w:val="center"/>
      <w:textAlignment w:val="center"/>
    </w:pPr>
    <w:rPr>
      <w:rFonts w:ascii="Times New Roman" w:hAnsi="Times New Roman"/>
      <w:b/>
      <w:bCs/>
      <w:sz w:val="24"/>
    </w:rPr>
  </w:style>
  <w:style w:type="paragraph" w:customStyle="1" w:styleId="xl202">
    <w:name w:val="xl202"/>
    <w:basedOn w:val="Normal"/>
    <w:rsid w:val="00BC1FA1"/>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right"/>
    </w:pPr>
    <w:rPr>
      <w:rFonts w:ascii="Times New Roman" w:hAnsi="Times New Roman"/>
      <w:color w:val="FF0000"/>
      <w:sz w:val="24"/>
    </w:rPr>
  </w:style>
  <w:style w:type="paragraph" w:customStyle="1" w:styleId="xl203">
    <w:name w:val="xl203"/>
    <w:basedOn w:val="Normal"/>
    <w:rsid w:val="00BC1FA1"/>
    <w:pPr>
      <w:pBdr>
        <w:top w:val="single" w:sz="4" w:space="0" w:color="auto"/>
        <w:bottom w:val="single" w:sz="4" w:space="0" w:color="auto"/>
        <w:right w:val="single" w:sz="4" w:space="0" w:color="auto"/>
      </w:pBdr>
      <w:shd w:val="clear" w:color="000000" w:fill="DDEBF7"/>
      <w:spacing w:before="100" w:beforeAutospacing="1" w:after="100" w:afterAutospacing="1" w:line="240" w:lineRule="auto"/>
      <w:jc w:val="right"/>
    </w:pPr>
    <w:rPr>
      <w:rFonts w:ascii="Times New Roman" w:hAnsi="Times New Roman"/>
      <w:color w:val="FF0000"/>
      <w:sz w:val="24"/>
    </w:rPr>
  </w:style>
  <w:style w:type="paragraph" w:customStyle="1" w:styleId="xl204">
    <w:name w:val="xl204"/>
    <w:basedOn w:val="Normal"/>
    <w:rsid w:val="00BC1FA1"/>
    <w:pPr>
      <w:pBdr>
        <w:top w:val="single" w:sz="4" w:space="0" w:color="auto"/>
        <w:bottom w:val="single" w:sz="4" w:space="0" w:color="auto"/>
        <w:right w:val="single" w:sz="4" w:space="0" w:color="auto"/>
      </w:pBdr>
      <w:shd w:val="clear" w:color="000000" w:fill="DDEBF7"/>
      <w:spacing w:before="100" w:beforeAutospacing="1" w:after="100" w:afterAutospacing="1" w:line="240" w:lineRule="auto"/>
      <w:jc w:val="right"/>
    </w:pPr>
    <w:rPr>
      <w:rFonts w:ascii="Times New Roman" w:hAnsi="Times New Roman"/>
      <w:color w:val="FF0000"/>
      <w:sz w:val="24"/>
    </w:rPr>
  </w:style>
  <w:style w:type="paragraph" w:styleId="BodyText">
    <w:name w:val="Body Text"/>
    <w:basedOn w:val="Normal"/>
    <w:link w:val="BodyTextChar"/>
    <w:semiHidden/>
    <w:unhideWhenUsed/>
    <w:rsid w:val="006C082C"/>
  </w:style>
  <w:style w:type="character" w:customStyle="1" w:styleId="BodyTextChar">
    <w:name w:val="Body Text Char"/>
    <w:basedOn w:val="DefaultParagraphFont"/>
    <w:link w:val="BodyText"/>
    <w:semiHidden/>
    <w:rsid w:val="006C082C"/>
    <w:rPr>
      <w:rFonts w:ascii="Arial" w:hAnsi="Arial"/>
      <w:szCs w:val="24"/>
    </w:rPr>
  </w:style>
  <w:style w:type="paragraph" w:customStyle="1" w:styleId="TableParagraph">
    <w:name w:val="Table Paragraph"/>
    <w:basedOn w:val="Normal"/>
    <w:uiPriority w:val="1"/>
    <w:qFormat/>
    <w:rsid w:val="006C082C"/>
    <w:pPr>
      <w:widowControl w:val="0"/>
      <w:autoSpaceDE w:val="0"/>
      <w:autoSpaceDN w:val="0"/>
      <w:spacing w:before="13" w:after="0" w:line="240" w:lineRule="auto"/>
      <w:ind w:left="107"/>
    </w:pPr>
    <w:rPr>
      <w:rFonts w:eastAsia="Arial" w:cs="Arial"/>
      <w:sz w:val="22"/>
      <w:szCs w:val="22"/>
      <w:lang w:bidi="en-AU"/>
    </w:rPr>
  </w:style>
  <w:style w:type="character" w:customStyle="1" w:styleId="UnresolvedMention2">
    <w:name w:val="Unresolved Mention2"/>
    <w:basedOn w:val="DefaultParagraphFont"/>
    <w:uiPriority w:val="99"/>
    <w:semiHidden/>
    <w:unhideWhenUsed/>
    <w:rsid w:val="00FC3137"/>
    <w:rPr>
      <w:color w:val="605E5C"/>
      <w:shd w:val="clear" w:color="auto" w:fill="E1DFDD"/>
    </w:rPr>
  </w:style>
  <w:style w:type="character" w:customStyle="1" w:styleId="A1">
    <w:name w:val="A1"/>
    <w:uiPriority w:val="99"/>
    <w:rsid w:val="00927B63"/>
    <w:rPr>
      <w:color w:val="000000"/>
    </w:rPr>
  </w:style>
  <w:style w:type="character" w:customStyle="1" w:styleId="UnresolvedMention3">
    <w:name w:val="Unresolved Mention3"/>
    <w:basedOn w:val="DefaultParagraphFont"/>
    <w:uiPriority w:val="99"/>
    <w:semiHidden/>
    <w:unhideWhenUsed/>
    <w:rsid w:val="003F1802"/>
    <w:rPr>
      <w:color w:val="605E5C"/>
      <w:shd w:val="clear" w:color="auto" w:fill="E1DFDD"/>
    </w:rPr>
  </w:style>
  <w:style w:type="character" w:styleId="UnresolvedMention">
    <w:name w:val="Unresolved Mention"/>
    <w:basedOn w:val="DefaultParagraphFont"/>
    <w:uiPriority w:val="99"/>
    <w:semiHidden/>
    <w:unhideWhenUsed/>
    <w:rsid w:val="001A67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4147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image" Target="media/image3.png"/><Relationship Id="rId26" Type="http://schemas.openxmlformats.org/officeDocument/2006/relationships/hyperlink" Target="https://www.environment.gov.au/system/files/resources/2fadf1bc-b0b6-44cb-a192-78c522d5ec3f/files/pfas-nemp-2.pdf" TargetMode="External"/><Relationship Id="rId39" Type="http://schemas.openxmlformats.org/officeDocument/2006/relationships/header" Target="header10.xml"/><Relationship Id="rId21" Type="http://schemas.openxmlformats.org/officeDocument/2006/relationships/header" Target="header1.xml"/><Relationship Id="rId34" Type="http://schemas.openxmlformats.org/officeDocument/2006/relationships/header" Target="header5.xm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agreetrust.org/agree-ii/" TargetMode="External"/><Relationship Id="rId20" Type="http://schemas.openxmlformats.org/officeDocument/2006/relationships/image" Target="media/image5.png"/><Relationship Id="rId29" Type="http://schemas.openxmlformats.org/officeDocument/2006/relationships/hyperlink" Target="http://www.epa.gov/ncea/efh"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32" Type="http://schemas.openxmlformats.org/officeDocument/2006/relationships/header" Target="header3.xml"/><Relationship Id="rId37" Type="http://schemas.openxmlformats.org/officeDocument/2006/relationships/header" Target="header8.xml"/><Relationship Id="rId40" Type="http://schemas.openxmlformats.org/officeDocument/2006/relationships/header" Target="header11.xml"/><Relationship Id="rId5" Type="http://schemas.openxmlformats.org/officeDocument/2006/relationships/customXml" Target="../customXml/item5.xml"/><Relationship Id="rId15" Type="http://schemas.openxmlformats.org/officeDocument/2006/relationships/hyperlink" Target="http://www.ecosec.com.au" TargetMode="External"/><Relationship Id="rId23" Type="http://schemas.openxmlformats.org/officeDocument/2006/relationships/header" Target="header2.xml"/><Relationship Id="rId28" Type="http://schemas.openxmlformats.org/officeDocument/2006/relationships/hyperlink" Target="https://www.nhmrc.gov.au/about-us/publications/australian-guidelines-water-recycling" TargetMode="External"/><Relationship Id="rId36" Type="http://schemas.openxmlformats.org/officeDocument/2006/relationships/header" Target="header7.xml"/><Relationship Id="rId10" Type="http://schemas.openxmlformats.org/officeDocument/2006/relationships/footnotes" Target="footnotes.xml"/><Relationship Id="rId19" Type="http://schemas.openxmlformats.org/officeDocument/2006/relationships/image" Target="media/image4.png"/><Relationship Id="rId31" Type="http://schemas.openxmlformats.org/officeDocument/2006/relationships/hyperlink" Target="https://www.nhmrc.gov.au/sites/default/files/documents/attachments/guidance-on-PFAS-in-recreational-water.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cos@ecosec.com.au" TargetMode="External"/><Relationship Id="rId22" Type="http://schemas.openxmlformats.org/officeDocument/2006/relationships/footer" Target="footer1.xml"/><Relationship Id="rId27" Type="http://schemas.openxmlformats.org/officeDocument/2006/relationships/hyperlink" Target="https://www.nhmrc.gov.au/about-us/publications/australian-guidelines-water-recycling" TargetMode="External"/><Relationship Id="rId30" Type="http://schemas.openxmlformats.org/officeDocument/2006/relationships/hyperlink" Target="https://apps.who.int/iris/bitstream/handle/10665/246196/9789241510554-eng.pdf?sequence=1" TargetMode="External"/><Relationship Id="rId35" Type="http://schemas.openxmlformats.org/officeDocument/2006/relationships/header" Target="header6.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s://www.agreetrust.org/agree-ii/" TargetMode="External"/><Relationship Id="rId25" Type="http://schemas.openxmlformats.org/officeDocument/2006/relationships/hyperlink" Target="https://central.bac-lac.gc.ca/.item?id=H129-15-2012-eng&amp;op=pdf&amp;app=Library" TargetMode="External"/><Relationship Id="rId33" Type="http://schemas.openxmlformats.org/officeDocument/2006/relationships/header" Target="header4.xml"/><Relationship Id="rId38" Type="http://schemas.openxmlformats.org/officeDocument/2006/relationships/header" Target="header9.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10.xml.rels><?xml version="1.0" encoding="UTF-8" standalone="yes"?>
<Relationships xmlns="http://schemas.openxmlformats.org/package/2006/relationships"><Relationship Id="rId1" Type="http://schemas.openxmlformats.org/officeDocument/2006/relationships/image" Target="media/image6.jpeg"/></Relationships>
</file>

<file path=word/_rels/header1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_rels/header4.xml.rels><?xml version="1.0" encoding="UTF-8" standalone="yes"?>
<Relationships xmlns="http://schemas.openxmlformats.org/package/2006/relationships"><Relationship Id="rId1" Type="http://schemas.openxmlformats.org/officeDocument/2006/relationships/image" Target="media/image6.jpeg"/></Relationships>
</file>

<file path=word/_rels/header6.xml.rels><?xml version="1.0" encoding="UTF-8" standalone="yes"?>
<Relationships xmlns="http://schemas.openxmlformats.org/package/2006/relationships"><Relationship Id="rId1" Type="http://schemas.openxmlformats.org/officeDocument/2006/relationships/image" Target="media/image6.jpeg"/></Relationships>
</file>

<file path=word/_rels/header7.xml.rels><?xml version="1.0" encoding="UTF-8" standalone="yes"?>
<Relationships xmlns="http://schemas.openxmlformats.org/package/2006/relationships"><Relationship Id="rId1" Type="http://schemas.openxmlformats.org/officeDocument/2006/relationships/image" Target="media/image6.jpeg"/></Relationships>
</file>

<file path=word/_rels/header8.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F:\Ecos%20Quality%20Management%20System\QMS%20Forms\F25%20-%20Ecos_small_repor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030A58EFCB05439C4C109195641468" ma:contentTypeVersion="23" ma:contentTypeDescription="Create a new document." ma:contentTypeScope="" ma:versionID="b9e7766e9963014f8442b086c04e1683">
  <xsd:schema xmlns:xsd="http://www.w3.org/2001/XMLSchema" xmlns:xs="http://www.w3.org/2001/XMLSchema" xmlns:p="http://schemas.microsoft.com/office/2006/metadata/properties" xmlns:ns1="http://schemas.microsoft.com/sharepoint/v3" xmlns:ns2="ef8499da-f70f-48c9-a6de-e578977a26c0" xmlns:ns3="f4994564-c68c-4417-8c9c-13eb9ecde3d6" targetNamespace="http://schemas.microsoft.com/office/2006/metadata/properties" ma:root="true" ma:fieldsID="1bc9670c29d119932263ef1494a69450" ns1:_="" ns2:_="" ns3:_="">
    <xsd:import namespace="http://schemas.microsoft.com/sharepoint/v3"/>
    <xsd:import namespace="ef8499da-f70f-48c9-a6de-e578977a26c0"/>
    <xsd:import namespace="f4994564-c68c-4417-8c9c-13eb9ecde3d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GenerationTime" minOccurs="0"/>
                <xsd:element ref="ns3:MediaServiceEventHashCode" minOccurs="0"/>
                <xsd:element ref="ns2:SharedWithUsers" minOccurs="0"/>
                <xsd:element ref="ns2:SharedWithDetails" minOccurs="0"/>
                <xsd:element ref="ns3:lcf76f155ced4ddcb4097134ff3c332f" minOccurs="0"/>
                <xsd:element ref="ns2:TaxCatchAll" minOccurs="0"/>
                <xsd:element ref="ns3:MediaServiceOCR" minOccurs="0"/>
                <xsd:element ref="ns3:MediaServiceObjectDetectorVersions" minOccurs="0"/>
                <xsd:element ref="ns3:MediaServiceSearchProperties" minOccurs="0"/>
                <xsd:element ref="ns3:MediaServiceLocation" minOccurs="0"/>
                <xsd:element ref="ns3:person" minOccurs="0"/>
                <xsd:element ref="ns3:Comments" minOccurs="0"/>
                <xsd:element ref="ns3:Statu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2" nillable="true" ma:displayName="Unified Compliance Policy Properties" ma:hidden="true" ma:internalName="_ip_UnifiedCompliancePolicyProperties">
      <xsd:simpleType>
        <xsd:restriction base="dms:Note"/>
      </xsd:simpleType>
    </xsd:element>
    <xsd:element name="_ip_UnifiedCompliancePolicyUIAction" ma:index="3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8499da-f70f-48c9-a6de-e578977a26c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edc90cd-4b5d-4287-ade8-c7001a6f2aff}" ma:internalName="TaxCatchAll" ma:showField="CatchAllData" ma:web="ef8499da-f70f-48c9-a6de-e578977a26c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4994564-c68c-4417-8c9c-13eb9ecde3d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c482b5b-748e-4687-9c7b-3c897542f2f8"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description="" ma:indexed="true" ma:internalName="MediaServiceLocation" ma:readOnly="true">
      <xsd:simpleType>
        <xsd:restriction base="dms:Text"/>
      </xsd:simpleType>
    </xsd:element>
    <xsd:element name="person" ma:index="29"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s" ma:index="30" nillable="true" ma:displayName="Comments" ma:format="Dropdown" ma:internalName="Comments">
      <xsd:simpleType>
        <xsd:restriction base="dms:Text">
          <xsd:maxLength value="255"/>
        </xsd:restriction>
      </xsd:simpleType>
    </xsd:element>
    <xsd:element name="Status" ma:index="31" nillable="true" ma:displayName="Status" ma:description="Status of document in clearance process" ma:format="Dropdown" ma:internalName="Statu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4994564-c68c-4417-8c9c-13eb9ecde3d6">
      <Terms xmlns="http://schemas.microsoft.com/office/infopath/2007/PartnerControls"/>
    </lcf76f155ced4ddcb4097134ff3c332f>
    <TaxCatchAll xmlns="ef8499da-f70f-48c9-a6de-e578977a26c0" xsi:nil="true"/>
    <_dlc_DocId xmlns="ef8499da-f70f-48c9-a6de-e578977a26c0">RESTRANS-1864802524-202705</_dlc_DocId>
    <_dlc_DocIdUrl xmlns="ef8499da-f70f-48c9-a6de-e578977a26c0">
      <Url>https://nhmrc.sharepoint.com/sites/restrans/_layouts/15/DocIdRedir.aspx?ID=RESTRANS-1864802524-202705</Url>
      <Description>RESTRANS-1864802524-202705</Description>
    </_dlc_DocIdUrl>
    <person xmlns="f4994564-c68c-4417-8c9c-13eb9ecde3d6">
      <UserInfo>
        <DisplayName/>
        <AccountId xsi:nil="true"/>
        <AccountType/>
      </UserInfo>
    </person>
    <_ip_UnifiedCompliancePolicyUIAction xmlns="http://schemas.microsoft.com/sharepoint/v3" xsi:nil="true"/>
    <Comments xmlns="f4994564-c68c-4417-8c9c-13eb9ecde3d6" xsi:nil="true"/>
    <_ip_UnifiedCompliancePolicyProperties xmlns="http://schemas.microsoft.com/sharepoint/v3" xsi:nil="true"/>
    <Status xmlns="f4994564-c68c-4417-8c9c-13eb9ecde3d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30A820-750C-40D6-BCE0-1F39ECBAC2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8499da-f70f-48c9-a6de-e578977a26c0"/>
    <ds:schemaRef ds:uri="f4994564-c68c-4417-8c9c-13eb9ecde3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1BB505-C161-4298-B7D3-4629738805A0}">
  <ds:schemaRefs>
    <ds:schemaRef ds:uri="http://schemas.microsoft.com/sharepoint/v3/contenttype/forms"/>
  </ds:schemaRefs>
</ds:datastoreItem>
</file>

<file path=customXml/itemProps3.xml><?xml version="1.0" encoding="utf-8"?>
<ds:datastoreItem xmlns:ds="http://schemas.openxmlformats.org/officeDocument/2006/customXml" ds:itemID="{8FA5DD0D-067D-49C2-B2C8-0BF88EA4A027}">
  <ds:schemaRefs>
    <ds:schemaRef ds:uri="http://schemas.microsoft.com/sharepoint/events"/>
  </ds:schemaRefs>
</ds:datastoreItem>
</file>

<file path=customXml/itemProps4.xml><?xml version="1.0" encoding="utf-8"?>
<ds:datastoreItem xmlns:ds="http://schemas.openxmlformats.org/officeDocument/2006/customXml" ds:itemID="{0B780D8F-4A60-49FA-9115-970B5F337054}">
  <ds:schemaRefs>
    <ds:schemaRef ds:uri="http://schemas.microsoft.com/office/2006/metadata/properties"/>
    <ds:schemaRef ds:uri="http://schemas.microsoft.com/office/infopath/2007/PartnerControls"/>
    <ds:schemaRef ds:uri="f4994564-c68c-4417-8c9c-13eb9ecde3d6"/>
    <ds:schemaRef ds:uri="ef8499da-f70f-48c9-a6de-e578977a26c0"/>
    <ds:schemaRef ds:uri="http://schemas.microsoft.com/sharepoint/v3"/>
  </ds:schemaRefs>
</ds:datastoreItem>
</file>

<file path=customXml/itemProps5.xml><?xml version="1.0" encoding="utf-8"?>
<ds:datastoreItem xmlns:ds="http://schemas.openxmlformats.org/officeDocument/2006/customXml" ds:itemID="{6D4CF69C-E23A-4CDC-B01A-558B31B87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F25 - Ecos_small_report_template.dot</Template>
  <TotalTime>1</TotalTime>
  <Pages>3</Pages>
  <Words>31794</Words>
  <Characters>182501</Characters>
  <DocSecurity>2</DocSecurity>
  <Lines>6759</Lines>
  <Paragraphs>3401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2018-11-20T05:43:00Z</cp:lastPrinted>
  <dcterms:created xsi:type="dcterms:W3CDTF">2022-06-28T00:55:00Z</dcterms:created>
  <dcterms:modified xsi:type="dcterms:W3CDTF">2026-01-14T04:14:00Z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0x01010018030A58EFCB05439C4C109195641468</vt:lpwstr>
  </property>
  <property fmtid="{D5CDD505-2E9C-101B-9397-08002B2CF9AE}" pid="3" name="LINKTEK-CHUNK-1">
    <vt:lpwstr>010021{"F":2,"I":"07E9-1799-2FDD-03F8"}</vt:lpwstr>
  </property>
  <property fmtid="{D5CDD505-2E9C-101B-9397-08002B2CF9AE}" pid="4" name="ZOTERO_PREF_1">
    <vt:lpwstr>&lt;data data-version="3" zotero-version="5.0.96.2"&gt;&lt;session id="981PuySd"/&gt;&lt;style id="http://www.zotero.org/styles/water-science-and-technology" hasBibliography="1" bibliographyStyleHasBeenSet="1"/&gt;&lt;prefs&gt;&lt;pref name="fieldType" value="Field"/&gt;&lt;/prefs&gt;&lt;/data</vt:lpwstr>
  </property>
  <property fmtid="{D5CDD505-2E9C-101B-9397-08002B2CF9AE}" pid="5" name="ZOTERO_PREF_2">
    <vt:lpwstr>&gt;</vt:lpwstr>
  </property>
  <property fmtid="{D5CDD505-2E9C-101B-9397-08002B2CF9AE}" pid="6" name="_dlc_DocIdItemGuid">
    <vt:lpwstr>8ef21ee8-c89e-4e89-975c-e8c2c8c87507</vt:lpwstr>
  </property>
  <property fmtid="{D5CDD505-2E9C-101B-9397-08002B2CF9AE}" pid="7" name="MediaServiceImageTags">
    <vt:lpwstr/>
  </property>
  <property fmtid="{D5CDD505-2E9C-101B-9397-08002B2CF9AE}" pid="8" name="MSIP_Label_9a5e7792-7543-4db2-bcc9-9caeff0b8eb1_Enabled">
    <vt:lpwstr>true</vt:lpwstr>
  </property>
  <property fmtid="{D5CDD505-2E9C-101B-9397-08002B2CF9AE}" pid="9" name="MSIP_Label_9a5e7792-7543-4db2-bcc9-9caeff0b8eb1_SetDate">
    <vt:lpwstr>2023-02-16T22:38:04Z</vt:lpwstr>
  </property>
  <property fmtid="{D5CDD505-2E9C-101B-9397-08002B2CF9AE}" pid="10" name="MSIP_Label_9a5e7792-7543-4db2-bcc9-9caeff0b8eb1_Method">
    <vt:lpwstr>Privileged</vt:lpwstr>
  </property>
  <property fmtid="{D5CDD505-2E9C-101B-9397-08002B2CF9AE}" pid="11" name="MSIP_Label_9a5e7792-7543-4db2-bcc9-9caeff0b8eb1_Name">
    <vt:lpwstr>OFFICIAL</vt:lpwstr>
  </property>
  <property fmtid="{D5CDD505-2E9C-101B-9397-08002B2CF9AE}" pid="12" name="MSIP_Label_9a5e7792-7543-4db2-bcc9-9caeff0b8eb1_SiteId">
    <vt:lpwstr>402fca06-dc9c-412f-9bf9-1a335a4671f7</vt:lpwstr>
  </property>
  <property fmtid="{D5CDD505-2E9C-101B-9397-08002B2CF9AE}" pid="13" name="MSIP_Label_9a5e7792-7543-4db2-bcc9-9caeff0b8eb1_ActionId">
    <vt:lpwstr>c9a16815-1cb7-4cc7-af08-c9b6fffb3a04</vt:lpwstr>
  </property>
  <property fmtid="{D5CDD505-2E9C-101B-9397-08002B2CF9AE}" pid="14" name="MSIP_Label_9a5e7792-7543-4db2-bcc9-9caeff0b8eb1_ContentBits">
    <vt:lpwstr>0</vt:lpwstr>
  </property>
</Properties>
</file>